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C39A4A"/>
          <w:sz w:val="20"/>
        </w:rPr>
        <w:t>METHODOLOGY &amp; OPERATING GUIDE</w:t>
      </w:r>
    </w:p>
    <w:p>
      <w:pPr>
        <w:pStyle w:val="Title"/>
        <w:jc w:val="center"/>
      </w:pPr>
      <w:r>
        <w:t>Regulatory Analysis Foundry</w:t>
      </w:r>
    </w:p>
    <w:p>
      <w:pPr>
        <w:pStyle w:val="Subtitle"/>
        <w:jc w:val="center"/>
      </w:pPr>
      <w:r>
        <w:t>From authoritative public records to human-reviewed recommendations</w:t>
      </w:r>
    </w:p>
    <w:p>
      <w:pPr>
        <w:jc w:val="center"/>
      </w:pPr>
      <w:r>
        <w:rPr>
          <w:b/>
          <w:color w:val="1F5A46"/>
          <w:sz w:val="24"/>
        </w:rPr>
        <w:t>CPSC Request for Information: Reducing Regulatory Burdens</w:t>
        <w:br/>
        <w:t>Docket CPSC-2025-0009</w:t>
      </w:r>
    </w:p>
    <w:p>
      <w:pPr>
        <w:spacing w:after="560"/>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20" w:type="dxa"/>
              <w:bottom w:w="100" w:type="dxa"/>
              <w:end w:w="120" w:type="dxa"/>
            </w:tcMar>
            <w:vAlign w:val="center"/>
            <w:shd w:fill="F1E9D7"/>
          </w:tcPr>
          <w:p>
            <w:pPr>
              <w:spacing w:after="60" w:line="240" w:lineRule="auto"/>
            </w:pPr>
            <w:r>
              <w:rPr>
                <w:b/>
                <w:color w:val="795B24"/>
                <w:sz w:val="18"/>
              </w:rPr>
              <w:t>PURPOSE</w:t>
            </w:r>
          </w:p>
          <w:p>
            <w:pPr>
              <w:spacing w:after="40" w:line="259" w:lineRule="auto"/>
            </w:pPr>
            <w:r>
              <w:t>This guide explains the proposed six-agent architecture, the verified public-source workflow, the analysis and review controls, and what the current CPSC Regulatory Review Workspace does—and does not—do.</w:t>
            </w:r>
          </w:p>
        </w:tc>
      </w:tr>
    </w:tbl>
    <w:p>
      <w:pPr>
        <w:spacing w:after="40"/>
      </w:pPr>
    </w:p>
    <w:p>
      <w:pPr>
        <w:jc w:val="center"/>
      </w:pPr>
      <w:r>
        <w:rPr>
          <w:color w:val="617068"/>
          <w:sz w:val="18"/>
        </w:rPr>
        <w:t>Verification date: August 18, 2026</w:t>
      </w:r>
    </w:p>
    <w:p>
      <w:r>
        <w:br w:type="page"/>
      </w:r>
    </w:p>
    <w:p>
      <w:pPr>
        <w:pStyle w:val="Heading1"/>
      </w:pPr>
      <w:r>
        <w:t>Executive guide</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20" w:type="dxa"/>
              <w:bottom w:w="100" w:type="dxa"/>
              <w:end w:w="120" w:type="dxa"/>
            </w:tcMar>
            <w:vAlign w:val="center"/>
            <w:shd w:fill="E6EEE9"/>
          </w:tcPr>
          <w:p>
            <w:pPr>
              <w:spacing w:after="60" w:line="240" w:lineRule="auto"/>
            </w:pPr>
            <w:r>
              <w:rPr>
                <w:b/>
                <w:color w:val="1F5A46"/>
                <w:sz w:val="18"/>
              </w:rPr>
              <w:t>BOTTOM LINE</w:t>
            </w:r>
          </w:p>
          <w:p>
            <w:pPr>
              <w:spacing w:after="40" w:line="259" w:lineRule="auto"/>
            </w:pPr>
            <w:r>
              <w:t>The design treats source records, machine interpretation, and human determination as three different layers. Regulations.gov is the primary docket record. Reginfo.gov supplies linked Unified Agenda context for cited RINs, not evidence of what commenters said and not proof that an agency adopted a proposal. Draft recommendations remain agency work product until reviewed by authorized people.</w:t>
            </w:r>
          </w:p>
        </w:tc>
      </w:tr>
    </w:tbl>
    <w:p>
      <w:pPr>
        <w:spacing w:after="40"/>
      </w:pPr>
    </w:p>
    <w:p>
      <w:pPr>
        <w:pStyle w:val="Heading2"/>
      </w:pPr>
      <w:r>
        <w:t>What was verified</w:t>
      </w:r>
    </w:p>
    <w:tbl>
      <w:tblPr>
        <w:tblStyle w:val="TableGrid"/>
        <w:tblW w:type="dxa" w:w="9360"/>
        <w:jc w:val="left"/>
        <w:tblLayout w:type="fixed"/>
        <w:tblLook w:firstColumn="1" w:firstRow="1" w:lastColumn="0" w:lastRow="0" w:noHBand="0" w:noVBand="1" w:val="04A0"/>
        <w:tblInd w:w="120" w:type="dxa"/>
      </w:tblPr>
      <w:tblGrid>
        <w:gridCol w:w="1900"/>
        <w:gridCol w:w="3100"/>
        <w:gridCol w:w="4360"/>
      </w:tblGrid>
      <w:tr>
        <w:trPr>
          <w:cantSplit/>
          <w:tblHeader/>
        </w:trPr>
        <w:tc>
          <w:tcPr>
            <w:tcW w:type="dxa" w:w="19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Item</w:t>
            </w:r>
          </w:p>
        </w:tc>
        <w:tc>
          <w:tcPr>
            <w:tcW w:type="dxa" w:w="31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Verified state</w:t>
            </w:r>
          </w:p>
        </w:tc>
        <w:tc>
          <w:tcPr>
            <w:tcW w:type="dxa" w:w="436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Meaning</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Docket</w:t>
            </w:r>
          </w:p>
        </w:tc>
        <w:tc>
          <w:tcPr>
            <w:tcW w:type="dxa" w:w="3100"/>
            <w:tcMar>
              <w:top w:w="100" w:type="dxa"/>
              <w:start w:w="120" w:type="dxa"/>
              <w:bottom w:w="100" w:type="dxa"/>
              <w:end w:w="120" w:type="dxa"/>
            </w:tcMar>
            <w:vAlign w:val="center"/>
          </w:tcPr>
          <w:p>
            <w:pPr>
              <w:spacing w:after="40" w:line="240" w:lineRule="auto"/>
            </w:pPr>
            <w:r>
              <w:rPr>
                <w:rFonts w:ascii="Calibri" w:hAnsi="Calibri"/>
                <w:sz w:val="19"/>
              </w:rPr>
              <w:t>CPSC-2025-0009; “Burden Reduction Request for Information”; Nonrulemaking</w:t>
            </w:r>
          </w:p>
        </w:tc>
        <w:tc>
          <w:tcPr>
            <w:tcW w:type="dxa" w:w="4360"/>
            <w:tcMar>
              <w:top w:w="100" w:type="dxa"/>
              <w:start w:w="120" w:type="dxa"/>
              <w:bottom w:w="100" w:type="dxa"/>
              <w:end w:w="120" w:type="dxa"/>
            </w:tcMar>
            <w:vAlign w:val="center"/>
          </w:tcPr>
          <w:p>
            <w:pPr>
              <w:spacing w:after="40" w:line="240" w:lineRule="auto"/>
            </w:pPr>
            <w:r>
              <w:rPr>
                <w:rFonts w:ascii="Calibri" w:hAnsi="Calibri"/>
                <w:sz w:val="19"/>
              </w:rPr>
              <w:t>The project is anchored to a specific CPSC public docket.</w:t>
            </w:r>
          </w:p>
        </w:tc>
      </w:tr>
      <w:tr>
        <w:trPr>
          <w:cantSplit/>
        </w:trPr>
        <w:tc>
          <w:tcPr>
            <w:tcW w:type="dxa" w:w="1900"/>
            <w:tcMar>
              <w:top w:w="100" w:type="dxa"/>
              <w:start w:w="120" w:type="dxa"/>
              <w:bottom w:w="100" w:type="dxa"/>
              <w:end w:w="120" w:type="dxa"/>
            </w:tcMar>
            <w:vAlign w:val="center"/>
            <w:shd w:fill="F5F7F5"/>
          </w:tcPr>
          <w:p>
            <w:pPr>
              <w:spacing w:after="40" w:line="240" w:lineRule="auto"/>
            </w:pPr>
            <w:r>
              <w:rPr>
                <w:rFonts w:ascii="Calibri" w:hAnsi="Calibri"/>
                <w:sz w:val="19"/>
              </w:rPr>
              <w:t>Notice</w:t>
            </w:r>
          </w:p>
        </w:tc>
        <w:tc>
          <w:tcPr>
            <w:tcW w:type="dxa" w:w="3100"/>
            <w:tcMar>
              <w:top w:w="100" w:type="dxa"/>
              <w:start w:w="120" w:type="dxa"/>
              <w:bottom w:w="100" w:type="dxa"/>
              <w:end w:w="120" w:type="dxa"/>
            </w:tcMar>
            <w:vAlign w:val="center"/>
            <w:shd w:fill="F5F7F5"/>
          </w:tcPr>
          <w:p>
            <w:pPr>
              <w:spacing w:after="40" w:line="240" w:lineRule="auto"/>
            </w:pPr>
            <w:r>
              <w:rPr>
                <w:rFonts w:ascii="Calibri" w:hAnsi="Calibri"/>
                <w:sz w:val="19"/>
              </w:rPr>
              <w:t>CPSC-2025-0009-0001; Federal Register document 2025-10686; 90 FR 24791</w:t>
            </w:r>
          </w:p>
        </w:tc>
        <w:tc>
          <w:tcPr>
            <w:tcW w:type="dxa" w:w="4360"/>
            <w:tcMar>
              <w:top w:w="100" w:type="dxa"/>
              <w:start w:w="120" w:type="dxa"/>
              <w:bottom w:w="100" w:type="dxa"/>
              <w:end w:w="120" w:type="dxa"/>
            </w:tcMar>
            <w:vAlign w:val="center"/>
            <w:shd w:fill="F5F7F5"/>
          </w:tcPr>
          <w:p>
            <w:pPr>
              <w:spacing w:after="40" w:line="240" w:lineRule="auto"/>
            </w:pPr>
            <w:r>
              <w:rPr>
                <w:rFonts w:ascii="Calibri" w:hAnsi="Calibri"/>
                <w:sz w:val="19"/>
              </w:rPr>
              <w:t>The notice is the controlling source for the request and comment framework.</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Public record count</w:t>
            </w:r>
          </w:p>
        </w:tc>
        <w:tc>
          <w:tcPr>
            <w:tcW w:type="dxa" w:w="3100"/>
            <w:tcMar>
              <w:top w:w="100" w:type="dxa"/>
              <w:start w:w="120" w:type="dxa"/>
              <w:bottom w:w="100" w:type="dxa"/>
              <w:end w:w="120" w:type="dxa"/>
            </w:tcMar>
            <w:vAlign w:val="center"/>
          </w:tcPr>
          <w:p>
            <w:pPr>
              <w:spacing w:after="40" w:line="240" w:lineRule="auto"/>
            </w:pPr>
            <w:r>
              <w:rPr>
                <w:rFonts w:ascii="Calibri" w:hAnsi="Calibri"/>
                <w:sz w:val="19"/>
              </w:rPr>
              <w:t>1 notice/document and 31 public submissions returned by the Regulations.gov API</w:t>
            </w:r>
          </w:p>
        </w:tc>
        <w:tc>
          <w:tcPr>
            <w:tcW w:type="dxa" w:w="4360"/>
            <w:tcMar>
              <w:top w:w="100" w:type="dxa"/>
              <w:start w:w="120" w:type="dxa"/>
              <w:bottom w:w="100" w:type="dxa"/>
              <w:end w:w="120" w:type="dxa"/>
            </w:tcMar>
            <w:vAlign w:val="center"/>
          </w:tcPr>
          <w:p>
            <w:pPr>
              <w:spacing w:after="40" w:line="240" w:lineRule="auto"/>
            </w:pPr>
            <w:r>
              <w:rPr>
                <w:rFonts w:ascii="Calibri" w:hAnsi="Calibri"/>
                <w:sz w:val="19"/>
              </w:rPr>
              <w:t>This is a dated observation, not a permanently hard-coded total.</w:t>
            </w:r>
          </w:p>
        </w:tc>
      </w:tr>
      <w:tr>
        <w:trPr>
          <w:cantSplit/>
        </w:trPr>
        <w:tc>
          <w:tcPr>
            <w:tcW w:type="dxa" w:w="1900"/>
            <w:tcMar>
              <w:top w:w="100" w:type="dxa"/>
              <w:start w:w="120" w:type="dxa"/>
              <w:bottom w:w="100" w:type="dxa"/>
              <w:end w:w="120" w:type="dxa"/>
            </w:tcMar>
            <w:vAlign w:val="center"/>
            <w:shd w:fill="F5F7F5"/>
          </w:tcPr>
          <w:p>
            <w:pPr>
              <w:spacing w:after="40" w:line="240" w:lineRule="auto"/>
            </w:pPr>
            <w:r>
              <w:rPr>
                <w:rFonts w:ascii="Calibri" w:hAnsi="Calibri"/>
                <w:sz w:val="19"/>
              </w:rPr>
              <w:t>Source roles</w:t>
            </w:r>
          </w:p>
        </w:tc>
        <w:tc>
          <w:tcPr>
            <w:tcW w:type="dxa" w:w="3100"/>
            <w:tcMar>
              <w:top w:w="100" w:type="dxa"/>
              <w:start w:w="120" w:type="dxa"/>
              <w:bottom w:w="100" w:type="dxa"/>
              <w:end w:w="120" w:type="dxa"/>
            </w:tcMar>
            <w:vAlign w:val="center"/>
            <w:shd w:fill="F5F7F5"/>
          </w:tcPr>
          <w:p>
            <w:pPr>
              <w:spacing w:after="40" w:line="240" w:lineRule="auto"/>
            </w:pPr>
            <w:r>
              <w:rPr>
                <w:rFonts w:ascii="Calibri" w:hAnsi="Calibri"/>
                <w:sz w:val="19"/>
              </w:rPr>
              <w:t>Regulations.gov for docket records; Reginfo.gov for Unified Agenda/RIN context</w:t>
            </w:r>
          </w:p>
        </w:tc>
        <w:tc>
          <w:tcPr>
            <w:tcW w:type="dxa" w:w="4360"/>
            <w:tcMar>
              <w:top w:w="100" w:type="dxa"/>
              <w:start w:w="120" w:type="dxa"/>
              <w:bottom w:w="100" w:type="dxa"/>
              <w:end w:w="120" w:type="dxa"/>
            </w:tcMar>
            <w:vAlign w:val="center"/>
            <w:shd w:fill="F5F7F5"/>
          </w:tcPr>
          <w:p>
            <w:pPr>
              <w:spacing w:after="40" w:line="240" w:lineRule="auto"/>
            </w:pPr>
            <w:r>
              <w:rPr>
                <w:rFonts w:ascii="Calibri" w:hAnsi="Calibri"/>
                <w:sz w:val="19"/>
              </w:rPr>
              <w:t>The two sources are not interchangeable.</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Workspace</w:t>
            </w:r>
          </w:p>
        </w:tc>
        <w:tc>
          <w:tcPr>
            <w:tcW w:type="dxa" w:w="3100"/>
            <w:tcMar>
              <w:top w:w="100" w:type="dxa"/>
              <w:start w:w="120" w:type="dxa"/>
              <w:bottom w:w="100" w:type="dxa"/>
              <w:end w:w="120" w:type="dxa"/>
            </w:tcMar>
            <w:vAlign w:val="center"/>
          </w:tcPr>
          <w:p>
            <w:pPr>
              <w:spacing w:after="40" w:line="240" w:lineRule="auto"/>
            </w:pPr>
            <w:r>
              <w:rPr>
                <w:rFonts w:ascii="Calibri" w:hAnsi="Calibri"/>
                <w:sz w:val="19"/>
              </w:rPr>
              <w:t>Private deployed prototype with representative issue analysis and draft responses</w:t>
            </w:r>
          </w:p>
        </w:tc>
        <w:tc>
          <w:tcPr>
            <w:tcW w:type="dxa" w:w="4360"/>
            <w:tcMar>
              <w:top w:w="100" w:type="dxa"/>
              <w:start w:w="120" w:type="dxa"/>
              <w:bottom w:w="100" w:type="dxa"/>
              <w:end w:w="120" w:type="dxa"/>
            </w:tcMar>
            <w:vAlign w:val="center"/>
          </w:tcPr>
          <w:p>
            <w:pPr>
              <w:spacing w:after="40" w:line="240" w:lineRule="auto"/>
            </w:pPr>
            <w:r>
              <w:rPr>
                <w:rFonts w:ascii="Calibri" w:hAnsi="Calibri"/>
                <w:sz w:val="19"/>
              </w:rPr>
              <w:t>It is not yet connected to a live ingestion service, database, or production approval API.</w:t>
            </w:r>
          </w:p>
        </w:tc>
      </w:tr>
    </w:tbl>
    <w:p>
      <w:pPr>
        <w:pStyle w:val="SourceNote"/>
      </w:pPr>
      <w:r>
        <w:rPr>
          <w:b/>
        </w:rPr>
        <w:t xml:space="preserve">Primary docket: </w:t>
      </w:r>
      <w:hyperlink r:id="rId11">
        <w:r>
          <w:rPr>
            <w:color w:val="2E74B5"/>
            <w:u w:val="single"/>
          </w:rPr>
          <w:t>Regulations.gov — CPSC-2025-0009</w:t>
        </w:r>
      </w:hyperlink>
    </w:p>
    <w:p>
      <w:pPr>
        <w:pStyle w:val="SourceNote"/>
      </w:pPr>
      <w:r>
        <w:rPr>
          <w:b/>
        </w:rPr>
        <w:t xml:space="preserve">Published notice: </w:t>
      </w:r>
      <w:hyperlink r:id="rId12">
        <w:r>
          <w:rPr>
            <w:color w:val="2E74B5"/>
            <w:u w:val="single"/>
          </w:rPr>
          <w:t>Federal Register — 2025-10686</w:t>
        </w:r>
      </w:hyperlink>
    </w:p>
    <w:p>
      <w:pPr>
        <w:pStyle w:val="Heading2"/>
      </w:pPr>
      <w:r>
        <w:t>Caveat</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20" w:type="dxa"/>
              <w:bottom w:w="100" w:type="dxa"/>
              <w:end w:w="120" w:type="dxa"/>
            </w:tcMar>
            <w:vAlign w:val="center"/>
            <w:shd w:fill="F4E4E1"/>
          </w:tcPr>
          <w:p>
            <w:pPr>
              <w:spacing w:after="60" w:line="240" w:lineRule="auto"/>
            </w:pPr>
            <w:r>
              <w:rPr>
                <w:b/>
                <w:color w:val="8C3A30"/>
                <w:sz w:val="18"/>
              </w:rPr>
              <w:t>NOT LEGAL ADVICE</w:t>
            </w:r>
          </w:p>
          <w:p>
            <w:pPr>
              <w:spacing w:after="40" w:line="259" w:lineRule="auto"/>
            </w:pPr>
            <w:r>
              <w:t>This methodology is a system design and analytical workflow. It is not legal advice, does not determine CPSC policy, and does not replace review by agency counsel, subject-matter experts, economists, technical staff, records officers, or authorized decision makers.</w:t>
            </w:r>
          </w:p>
        </w:tc>
      </w:tr>
    </w:tbl>
    <w:p>
      <w:pPr>
        <w:spacing w:after="40"/>
      </w:pPr>
    </w:p>
    <w:p>
      <w:pPr>
        <w:pStyle w:val="Heading1"/>
      </w:pPr>
      <w:r>
        <w:t>1. Architecture: six agents, four services, one durable workflow</w:t>
      </w:r>
    </w:p>
    <w:p>
      <w:r>
        <w:t>Agent Foundry supplies a configuration-first agent runtime and standardized A2A/MCP integration points. The regulatory domain contracts, evidence rules, database permissions, and review state machine sit above that runtime. The design uses structured messages and narrow tools instead of unrestricted natural-language delegation or direct database access.</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cantSplit/>
          <w:tblHeader/>
        </w:trPr>
        <w:tc>
          <w:tcPr>
            <w:tcW w:type="dxa" w:w="19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Agent</w:t>
            </w:r>
          </w:p>
        </w:tc>
        <w:tc>
          <w:tcPr>
            <w:tcW w:type="dxa" w:w="38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Job</w:t>
            </w:r>
          </w:p>
        </w:tc>
        <w:tc>
          <w:tcPr>
            <w:tcW w:type="dxa" w:w="366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Authority boundary</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Regulatory orchestrator</w:t>
            </w:r>
          </w:p>
        </w:tc>
        <w:tc>
          <w:tcPr>
            <w:tcW w:type="dxa" w:w="3800"/>
            <w:tcMar>
              <w:top w:w="100" w:type="dxa"/>
              <w:start w:w="120" w:type="dxa"/>
              <w:bottom w:w="100" w:type="dxa"/>
              <w:end w:w="120" w:type="dxa"/>
            </w:tcMar>
            <w:vAlign w:val="center"/>
          </w:tcPr>
          <w:p>
            <w:pPr>
              <w:spacing w:after="40" w:line="240" w:lineRule="auto"/>
            </w:pPr>
            <w:r>
              <w:rPr>
                <w:rFonts w:ascii="Calibri" w:hAnsi="Calibri"/>
                <w:sz w:val="19"/>
              </w:rPr>
              <w:t>Coordinates IDs, phases, retries, and review gates.</w:t>
            </w:r>
          </w:p>
        </w:tc>
        <w:tc>
          <w:tcPr>
            <w:tcW w:type="dxa" w:w="3660"/>
            <w:tcMar>
              <w:top w:w="100" w:type="dxa"/>
              <w:start w:w="120" w:type="dxa"/>
              <w:bottom w:w="100" w:type="dxa"/>
              <w:end w:w="120" w:type="dxa"/>
            </w:tcMar>
            <w:vAlign w:val="center"/>
          </w:tcPr>
          <w:p>
            <w:pPr>
              <w:spacing w:after="40" w:line="240" w:lineRule="auto"/>
            </w:pPr>
            <w:r>
              <w:rPr>
                <w:rFonts w:ascii="Calibri" w:hAnsi="Calibri"/>
                <w:sz w:val="19"/>
              </w:rPr>
              <w:t>No substantive finding; no human approval.</w:t>
            </w:r>
          </w:p>
        </w:tc>
      </w:tr>
      <w:tr>
        <w:trPr>
          <w:cantSplit/>
        </w:trPr>
        <w:tc>
          <w:tcPr>
            <w:tcW w:type="dxa" w:w="1900"/>
            <w:tcMar>
              <w:top w:w="100" w:type="dxa"/>
              <w:start w:w="120" w:type="dxa"/>
              <w:bottom w:w="100" w:type="dxa"/>
              <w:end w:w="120" w:type="dxa"/>
            </w:tcMar>
            <w:vAlign w:val="center"/>
            <w:shd w:fill="F5F7F5"/>
          </w:tcPr>
          <w:p>
            <w:pPr>
              <w:spacing w:after="40" w:line="240" w:lineRule="auto"/>
            </w:pPr>
            <w:r>
              <w:rPr>
                <w:rFonts w:ascii="Calibri" w:hAnsi="Calibri"/>
                <w:sz w:val="19"/>
              </w:rPr>
              <w:t>Rule-map agent</w:t>
            </w:r>
          </w:p>
        </w:tc>
        <w:tc>
          <w:tcPr>
            <w:tcW w:type="dxa" w:w="3800"/>
            <w:tcMar>
              <w:top w:w="100" w:type="dxa"/>
              <w:start w:w="120" w:type="dxa"/>
              <w:bottom w:w="100" w:type="dxa"/>
              <w:end w:w="120" w:type="dxa"/>
            </w:tcMar>
            <w:vAlign w:val="center"/>
            <w:shd w:fill="F5F7F5"/>
          </w:tcPr>
          <w:p>
            <w:pPr>
              <w:spacing w:after="40" w:line="240" w:lineRule="auto"/>
            </w:pPr>
            <w:r>
              <w:rPr>
                <w:rFonts w:ascii="Calibri" w:hAnsi="Calibri"/>
                <w:sz w:val="19"/>
              </w:rPr>
              <w:t>Maps notice questions, authorities, criteria, and cited provisions.</w:t>
            </w:r>
          </w:p>
        </w:tc>
        <w:tc>
          <w:tcPr>
            <w:tcW w:type="dxa" w:w="3660"/>
            <w:tcMar>
              <w:top w:w="100" w:type="dxa"/>
              <w:start w:w="120" w:type="dxa"/>
              <w:bottom w:w="100" w:type="dxa"/>
              <w:end w:w="120" w:type="dxa"/>
            </w:tcMar>
            <w:vAlign w:val="center"/>
            <w:shd w:fill="F5F7F5"/>
          </w:tcPr>
          <w:p>
            <w:pPr>
              <w:spacing w:after="40" w:line="240" w:lineRule="auto"/>
            </w:pPr>
            <w:r>
              <w:rPr>
                <w:rFonts w:ascii="Calibri" w:hAnsi="Calibri"/>
                <w:sz w:val="19"/>
              </w:rPr>
              <w:t>Candidate structure only; every item cites source blocks.</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Comment-analysis agent</w:t>
            </w:r>
          </w:p>
        </w:tc>
        <w:tc>
          <w:tcPr>
            <w:tcW w:type="dxa" w:w="3800"/>
            <w:tcMar>
              <w:top w:w="100" w:type="dxa"/>
              <w:start w:w="120" w:type="dxa"/>
              <w:bottom w:w="100" w:type="dxa"/>
              <w:end w:w="120" w:type="dxa"/>
            </w:tcMar>
            <w:vAlign w:val="center"/>
          </w:tcPr>
          <w:p>
            <w:pPr>
              <w:spacing w:after="40" w:line="240" w:lineRule="auto"/>
            </w:pPr>
            <w:r>
              <w:rPr>
                <w:rFonts w:ascii="Calibri" w:hAnsi="Calibri"/>
                <w:sz w:val="19"/>
              </w:rPr>
              <w:t>Extracts proposals, positions, arguments, evidence claims, and references from one submission at a time.</w:t>
            </w:r>
          </w:p>
        </w:tc>
        <w:tc>
          <w:tcPr>
            <w:tcW w:type="dxa" w:w="3660"/>
            <w:tcMar>
              <w:top w:w="100" w:type="dxa"/>
              <w:start w:w="120" w:type="dxa"/>
              <w:bottom w:w="100" w:type="dxa"/>
              <w:end w:w="120" w:type="dxa"/>
            </w:tcMar>
            <w:vAlign w:val="center"/>
          </w:tcPr>
          <w:p>
            <w:pPr>
              <w:spacing w:after="40" w:line="240" w:lineRule="auto"/>
            </w:pPr>
            <w:r>
              <w:rPr>
                <w:rFonts w:ascii="Calibri" w:hAnsi="Calibri"/>
                <w:sz w:val="19"/>
              </w:rPr>
              <w:t>Commenter claims remain attributed and unverified until checked.</w:t>
            </w:r>
          </w:p>
        </w:tc>
      </w:tr>
      <w:tr>
        <w:trPr>
          <w:cantSplit/>
        </w:trPr>
        <w:tc>
          <w:tcPr>
            <w:tcW w:type="dxa" w:w="1900"/>
            <w:tcMar>
              <w:top w:w="100" w:type="dxa"/>
              <w:start w:w="120" w:type="dxa"/>
              <w:bottom w:w="100" w:type="dxa"/>
              <w:end w:w="120" w:type="dxa"/>
            </w:tcMar>
            <w:vAlign w:val="center"/>
            <w:shd w:fill="F5F7F5"/>
          </w:tcPr>
          <w:p>
            <w:pPr>
              <w:spacing w:after="40" w:line="240" w:lineRule="auto"/>
            </w:pPr>
            <w:r>
              <w:rPr>
                <w:rFonts w:ascii="Calibri" w:hAnsi="Calibri"/>
                <w:sz w:val="19"/>
              </w:rPr>
              <w:t>Issue-taxonomy agent</w:t>
            </w:r>
          </w:p>
        </w:tc>
        <w:tc>
          <w:tcPr>
            <w:tcW w:type="dxa" w:w="3800"/>
            <w:tcMar>
              <w:top w:w="100" w:type="dxa"/>
              <w:start w:w="120" w:type="dxa"/>
              <w:bottom w:w="100" w:type="dxa"/>
              <w:end w:w="120" w:type="dxa"/>
            </w:tcMar>
            <w:vAlign w:val="center"/>
            <w:shd w:fill="F5F7F5"/>
          </w:tcPr>
          <w:p>
            <w:pPr>
              <w:spacing w:after="40" w:line="240" w:lineRule="auto"/>
            </w:pPr>
            <w:r>
              <w:rPr>
                <w:rFonts w:ascii="Calibri" w:hAnsi="Calibri"/>
                <w:sz w:val="19"/>
              </w:rPr>
              <w:t>Clusters proposals by targeted rule/practice and requested action.</w:t>
            </w:r>
          </w:p>
        </w:tc>
        <w:tc>
          <w:tcPr>
            <w:tcW w:type="dxa" w:w="3660"/>
            <w:tcMar>
              <w:top w:w="100" w:type="dxa"/>
              <w:start w:w="120" w:type="dxa"/>
              <w:bottom w:w="100" w:type="dxa"/>
              <w:end w:w="120" w:type="dxa"/>
            </w:tcMar>
            <w:vAlign w:val="center"/>
            <w:shd w:fill="F5F7F5"/>
          </w:tcPr>
          <w:p>
            <w:pPr>
              <w:spacing w:after="40" w:line="240" w:lineRule="auto"/>
            </w:pPr>
            <w:r>
              <w:rPr>
                <w:rFonts w:ascii="Calibri" w:hAnsi="Calibri"/>
                <w:sz w:val="19"/>
              </w:rPr>
              <w:t>Candidate taxonomy; must preserve minority and safety positions.</w:t>
            </w:r>
          </w:p>
        </w:tc>
      </w:tr>
      <w:tr>
        <w:trPr>
          <w:cantSplit/>
        </w:trPr>
        <w:tc>
          <w:tcPr>
            <w:tcW w:type="dxa" w:w="1900"/>
            <w:tcMar>
              <w:top w:w="100" w:type="dxa"/>
              <w:start w:w="120" w:type="dxa"/>
              <w:bottom w:w="100" w:type="dxa"/>
              <w:end w:w="120" w:type="dxa"/>
            </w:tcMar>
            <w:vAlign w:val="center"/>
          </w:tcPr>
          <w:p>
            <w:pPr>
              <w:spacing w:after="40" w:line="240" w:lineRule="auto"/>
            </w:pPr>
            <w:r>
              <w:rPr>
                <w:rFonts w:ascii="Calibri" w:hAnsi="Calibri"/>
                <w:sz w:val="19"/>
              </w:rPr>
              <w:t>Evidence agent</w:t>
            </w:r>
          </w:p>
        </w:tc>
        <w:tc>
          <w:tcPr>
            <w:tcW w:type="dxa" w:w="3800"/>
            <w:tcMar>
              <w:top w:w="100" w:type="dxa"/>
              <w:start w:w="120" w:type="dxa"/>
              <w:bottom w:w="100" w:type="dxa"/>
              <w:end w:w="120" w:type="dxa"/>
            </w:tcMar>
            <w:vAlign w:val="center"/>
          </w:tcPr>
          <w:p>
            <w:pPr>
              <w:spacing w:after="40" w:line="240" w:lineRule="auto"/>
            </w:pPr>
            <w:r>
              <w:rPr>
                <w:rFonts w:ascii="Calibri" w:hAnsi="Calibri"/>
                <w:sz w:val="19"/>
              </w:rPr>
              <w:t>Checks citation resolution, attribution, passage support, and linked source context.</w:t>
            </w:r>
          </w:p>
        </w:tc>
        <w:tc>
          <w:tcPr>
            <w:tcW w:type="dxa" w:w="3660"/>
            <w:tcMar>
              <w:top w:w="100" w:type="dxa"/>
              <w:start w:w="120" w:type="dxa"/>
              <w:bottom w:w="100" w:type="dxa"/>
              <w:end w:w="120" w:type="dxa"/>
            </w:tcMar>
            <w:vAlign w:val="center"/>
          </w:tcPr>
          <w:p>
            <w:pPr>
              <w:spacing w:after="40" w:line="240" w:lineRule="auto"/>
            </w:pPr>
            <w:r>
              <w:rPr>
                <w:rFonts w:ascii="Calibri" w:hAnsi="Calibri"/>
                <w:sz w:val="19"/>
              </w:rPr>
              <w:t>May label support; may not convert an assertion into a fact without evidence.</w:t>
            </w:r>
          </w:p>
        </w:tc>
      </w:tr>
      <w:tr>
        <w:trPr>
          <w:cantSplit/>
        </w:trPr>
        <w:tc>
          <w:tcPr>
            <w:tcW w:type="dxa" w:w="1900"/>
            <w:tcMar>
              <w:top w:w="100" w:type="dxa"/>
              <w:start w:w="120" w:type="dxa"/>
              <w:bottom w:w="100" w:type="dxa"/>
              <w:end w:w="120" w:type="dxa"/>
            </w:tcMar>
            <w:vAlign w:val="center"/>
            <w:shd w:fill="F5F7F5"/>
          </w:tcPr>
          <w:p>
            <w:pPr>
              <w:spacing w:after="40" w:line="240" w:lineRule="auto"/>
            </w:pPr>
            <w:r>
              <w:rPr>
                <w:rFonts w:ascii="Calibri" w:hAnsi="Calibri"/>
                <w:sz w:val="19"/>
              </w:rPr>
              <w:t>Regulatory QA agent</w:t>
            </w:r>
          </w:p>
        </w:tc>
        <w:tc>
          <w:tcPr>
            <w:tcW w:type="dxa" w:w="3800"/>
            <w:tcMar>
              <w:top w:w="100" w:type="dxa"/>
              <w:start w:w="120" w:type="dxa"/>
              <w:bottom w:w="100" w:type="dxa"/>
              <w:end w:w="120" w:type="dxa"/>
            </w:tcMar>
            <w:vAlign w:val="center"/>
            <w:shd w:fill="F5F7F5"/>
          </w:tcPr>
          <w:p>
            <w:pPr>
              <w:spacing w:after="40" w:line="240" w:lineRule="auto"/>
            </w:pPr>
            <w:r>
              <w:rPr>
                <w:rFonts w:ascii="Calibri" w:hAnsi="Calibri"/>
                <w:sz w:val="19"/>
              </w:rPr>
              <w:t>Audits completeness, counts, duplicates, orphaned items, provenance, and state violations.</w:t>
            </w:r>
          </w:p>
        </w:tc>
        <w:tc>
          <w:tcPr>
            <w:tcW w:type="dxa" w:w="3660"/>
            <w:tcMar>
              <w:top w:w="100" w:type="dxa"/>
              <w:start w:w="120" w:type="dxa"/>
              <w:bottom w:w="100" w:type="dxa"/>
              <w:end w:w="120" w:type="dxa"/>
            </w:tcMar>
            <w:vAlign w:val="center"/>
            <w:shd w:fill="F5F7F5"/>
          </w:tcPr>
          <w:p>
            <w:pPr>
              <w:spacing w:after="40" w:line="240" w:lineRule="auto"/>
            </w:pPr>
            <w:r>
              <w:rPr>
                <w:rFonts w:ascii="Calibri" w:hAnsi="Calibri"/>
                <w:sz w:val="19"/>
              </w:rPr>
              <w:t>Deterministic checks remain deterministic; QA cannot approve.</w:t>
            </w:r>
          </w:p>
        </w:tc>
      </w:tr>
    </w:tbl>
    <w:p>
      <w:pPr>
        <w:pStyle w:val="Heading2"/>
      </w:pPr>
      <w:r>
        <w:t>Service boundaries</w:t>
      </w:r>
    </w:p>
    <w:p>
      <w:r>
        <w:t>A2A carries versioned, structured agent-to-agent tasks such as BUILD_RULE_MAP or ANALYZE_COMMENT. MCP exposes four narrow service boundaries: immutable document access, citation creation/validation, domain-specific persistence, and public regulatory-record retrieval. No agent receives a generic execute_sql tool or arbitrary filesystem access.</w:t>
      </w:r>
    </w:p>
    <w:p>
      <w:pPr>
        <w:pStyle w:val="SourceNote"/>
      </w:pPr>
      <w:r>
        <w:rPr>
          <w:b/>
        </w:rPr>
        <w:t xml:space="preserve">Agent configuration: </w:t>
      </w:r>
      <w:hyperlink r:id="rId13">
        <w:r>
          <w:rPr>
            <w:color w:val="2E74B5"/>
            <w:u w:val="single"/>
          </w:rPr>
          <w:t>Agent Foundry — Strands base-agent configuration</w:t>
        </w:r>
      </w:hyperlink>
    </w:p>
    <w:p>
      <w:pPr>
        <w:pStyle w:val="SourceNote"/>
      </w:pPr>
      <w:r>
        <w:rPr>
          <w:b/>
        </w:rPr>
        <w:t xml:space="preserve">A2A protocol: </w:t>
      </w:r>
      <w:hyperlink r:id="rId14">
        <w:r>
          <w:rPr>
            <w:color w:val="2E74B5"/>
            <w:u w:val="single"/>
          </w:rPr>
          <w:t>Agent Foundry — built-in A2A protocol</w:t>
        </w:r>
      </w:hyperlink>
    </w:p>
    <w:p>
      <w:pPr>
        <w:pStyle w:val="SourceNote"/>
      </w:pPr>
      <w:r>
        <w:rPr>
          <w:b/>
        </w:rPr>
        <w:t xml:space="preserve">MCP connectivity: </w:t>
      </w:r>
      <w:hyperlink r:id="rId15">
        <w:r>
          <w:rPr>
            <w:color w:val="2E74B5"/>
            <w:u w:val="single"/>
          </w:rPr>
          <w:t>Agent Foundry — MCP servers</w:t>
        </w:r>
      </w:hyperlink>
    </w:p>
    <w:p>
      <w:pPr>
        <w:pStyle w:val="Heading1"/>
      </w:pPr>
      <w:r>
        <w:t>2. Source acquisition and provenance</w:t>
      </w:r>
    </w:p>
    <w:p>
      <w:pPr>
        <w:pStyle w:val="Heading2"/>
      </w:pPr>
      <w:r>
        <w:t>Regulations.gov is the primary docket source</w:t>
      </w:r>
    </w:p>
    <w:p>
      <w:r>
        <w:t>The read-only regulatory-record service retrieves the docket, the notice, every paginated public submission, submission details, and listed attachments through the Regulations.gov v4 API. Each fetched payload or binary is stored as an immutable snapshot with the external identifier, canonical URL, retrieval time, content hash, and relevant HTTP metadata. A later change creates a new snapshot rather than silently altering an earlier analysis run.</w:t>
      </w:r>
    </w:p>
    <w:p>
      <w:r>
        <w:t>The API explicitly supports separate endpoints for dockets, documents, and comments. Detailed document and comment responses can include attachments when requested. Public comment fields and agency-configurable fields have different availability, so absence of a public field must not be treated as a substantive fact about the commenter.</w:t>
      </w:r>
    </w:p>
    <w:p>
      <w:pPr>
        <w:pStyle w:val="SourceNote"/>
      </w:pPr>
      <w:r>
        <w:rPr>
          <w:b/>
        </w:rPr>
        <w:t xml:space="preserve">API documentation: </w:t>
      </w:r>
      <w:hyperlink r:id="rId16">
        <w:r>
          <w:rPr>
            <w:color w:val="2E74B5"/>
            <w:u w:val="single"/>
          </w:rPr>
          <w:t>GSA — Regulations.gov API v4</w:t>
        </w:r>
      </w:hyperlink>
    </w:p>
    <w:p>
      <w:pPr>
        <w:pStyle w:val="Heading2"/>
      </w:pPr>
      <w:r>
        <w:t>Reginfo.gov is linked context, not comment evidence</w:t>
      </w:r>
    </w:p>
    <w:p>
      <w:r>
        <w:t>When a comment cites a Regulation Identifier Number (RIN), the system can retrieve the corresponding Unified Agenda record for a specified publication edition. That snapshot can establish what agenda metadata was published for that RIN at that time—for example, title, stage, agency, or anticipated action. It does not establish the truth of a commenter’s burden claim, prove final agency action, or replace the docket submission.</w:t>
      </w:r>
    </w:p>
    <w:p>
      <w:pPr>
        <w:pStyle w:val="SourceNote"/>
      </w:pPr>
      <w:r>
        <w:rPr>
          <w:b/>
        </w:rPr>
        <w:t xml:space="preserve">Unified Agenda: </w:t>
      </w:r>
      <w:hyperlink r:id="rId17">
        <w:r>
          <w:rPr>
            <w:color w:val="2E74B5"/>
            <w:u w:val="single"/>
          </w:rPr>
          <w:t>Reginfo.gov — current Unified Agenda</w:t>
        </w:r>
      </w:hyperlink>
    </w:p>
    <w:p>
      <w:pPr>
        <w:pStyle w:val="SourceNote"/>
      </w:pPr>
      <w:r>
        <w:rPr>
          <w:b/>
        </w:rPr>
        <w:t xml:space="preserve">Machine-readable reports: </w:t>
      </w:r>
      <w:hyperlink r:id="rId18">
        <w:r>
          <w:rPr>
            <w:color w:val="2E74B5"/>
            <w:u w:val="single"/>
          </w:rPr>
          <w:t>Reginfo.gov — Unified Agenda XML reports</w:t>
        </w:r>
      </w:hyperlink>
    </w:p>
    <w:p>
      <w:pPr>
        <w:pStyle w:val="Heading2"/>
      </w:pPr>
      <w:r>
        <w:t>Snapshot rules</w:t>
      </w:r>
    </w:p>
    <w:p>
      <w:pPr>
        <w:pStyle w:val="ListBullet"/>
      </w:pPr>
      <w:r>
        <w:t>Preserve raw source bytes before parsing or OCR.</w:t>
      </w:r>
    </w:p>
    <w:p>
      <w:pPr>
        <w:pStyle w:val="ListBullet"/>
      </w:pPr>
      <w:r>
        <w:t>Hash the notice, each submission response, and every attachment independently.</w:t>
      </w:r>
    </w:p>
    <w:p>
      <w:pPr>
        <w:pStyle w:val="ListBullet"/>
      </w:pPr>
      <w:r>
        <w:t>Record withdrawn status and last-modified metadata; never delete the prior snapshot.</w:t>
      </w:r>
    </w:p>
    <w:p>
      <w:pPr>
        <w:pStyle w:val="ListBullet"/>
      </w:pPr>
      <w:r>
        <w:t>Represent parsed pages and blocks as derivatives linked back to the exact source snapshot.</w:t>
      </w:r>
    </w:p>
    <w:p>
      <w:pPr>
        <w:pStyle w:val="ListBullet"/>
      </w:pPr>
      <w:r>
        <w:t>Reconcile the number of retrieved records against the API response at the time of ingestion.</w:t>
      </w:r>
    </w:p>
    <w:p>
      <w:pPr>
        <w:pStyle w:val="Heading1"/>
      </w:pPr>
      <w:r>
        <w:t>3. Deterministic workflow and human review boundaries</w:t>
      </w:r>
    </w:p>
    <w:p>
      <w:r>
        <w:t>Temporal is used as the durable state machine. Workflow history carries identifiers, versions, review signals, and activity outcomes—not full documents or large model payloads. External calls, model invocations, and persistence operations execute as activities so retries are explicit and workflow replay remains deterministic.</w:t>
      </w:r>
    </w:p>
    <w:tbl>
      <w:tblPr>
        <w:tblStyle w:val="TableGrid"/>
        <w:tblW w:type="dxa" w:w="9360"/>
        <w:jc w:val="left"/>
        <w:tblLayout w:type="fixed"/>
        <w:tblLook w:firstColumn="1" w:firstRow="1" w:lastColumn="0" w:lastRow="0" w:noHBand="0" w:noVBand="1" w:val="04A0"/>
        <w:tblInd w:w="120" w:type="dxa"/>
      </w:tblPr>
      <w:tblGrid>
        <w:gridCol w:w="1250"/>
        <w:gridCol w:w="3200"/>
        <w:gridCol w:w="1800"/>
        <w:gridCol w:w="3110"/>
      </w:tblGrid>
      <w:tr>
        <w:trPr>
          <w:cantSplit/>
          <w:tblHeader/>
        </w:trPr>
        <w:tc>
          <w:tcPr>
            <w:tcW w:type="dxa" w:w="125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Phase</w:t>
            </w:r>
          </w:p>
        </w:tc>
        <w:tc>
          <w:tcPr>
            <w:tcW w:type="dxa" w:w="32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Automated work</w:t>
            </w:r>
          </w:p>
        </w:tc>
        <w:tc>
          <w:tcPr>
            <w:tcW w:type="dxa" w:w="18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Required gate</w:t>
            </w:r>
          </w:p>
        </w:tc>
        <w:tc>
          <w:tcPr>
            <w:tcW w:type="dxa" w:w="311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Failure behavior</w:t>
            </w:r>
          </w:p>
        </w:tc>
      </w:tr>
      <w:tr>
        <w:trPr>
          <w:cantSplit/>
        </w:trPr>
        <w:tc>
          <w:tcPr>
            <w:tcW w:type="dxa" w:w="1250"/>
            <w:tcMar>
              <w:top w:w="100" w:type="dxa"/>
              <w:start w:w="120" w:type="dxa"/>
              <w:bottom w:w="100" w:type="dxa"/>
              <w:end w:w="120" w:type="dxa"/>
            </w:tcMar>
            <w:vAlign w:val="center"/>
          </w:tcPr>
          <w:p>
            <w:pPr>
              <w:spacing w:after="40" w:line="240" w:lineRule="auto"/>
            </w:pPr>
            <w:r>
              <w:rPr>
                <w:rFonts w:ascii="Calibri" w:hAnsi="Calibri"/>
                <w:sz w:val="19"/>
              </w:rPr>
              <w:t>1. Ingest</w:t>
            </w:r>
          </w:p>
        </w:tc>
        <w:tc>
          <w:tcPr>
            <w:tcW w:type="dxa" w:w="3200"/>
            <w:tcMar>
              <w:top w:w="100" w:type="dxa"/>
              <w:start w:w="120" w:type="dxa"/>
              <w:bottom w:w="100" w:type="dxa"/>
              <w:end w:w="120" w:type="dxa"/>
            </w:tcMar>
            <w:vAlign w:val="center"/>
          </w:tcPr>
          <w:p>
            <w:pPr>
              <w:spacing w:after="40" w:line="240" w:lineRule="auto"/>
            </w:pPr>
            <w:r>
              <w:rPr>
                <w:rFonts w:ascii="Calibri" w:hAnsi="Calibri"/>
                <w:sz w:val="19"/>
              </w:rPr>
              <w:t>Retrieve, hash, parse, and reconcile records.</w:t>
            </w:r>
          </w:p>
        </w:tc>
        <w:tc>
          <w:tcPr>
            <w:tcW w:type="dxa" w:w="1800"/>
            <w:tcMar>
              <w:top w:w="100" w:type="dxa"/>
              <w:start w:w="120" w:type="dxa"/>
              <w:bottom w:w="100" w:type="dxa"/>
              <w:end w:w="120" w:type="dxa"/>
            </w:tcMar>
            <w:vAlign w:val="center"/>
          </w:tcPr>
          <w:p>
            <w:pPr>
              <w:spacing w:after="40" w:line="240" w:lineRule="auto"/>
            </w:pPr>
            <w:r>
              <w:rPr>
                <w:rFonts w:ascii="Calibri" w:hAnsi="Calibri"/>
                <w:sz w:val="19"/>
              </w:rPr>
              <w:t>Ingestion verified</w:t>
            </w:r>
          </w:p>
        </w:tc>
        <w:tc>
          <w:tcPr>
            <w:tcW w:type="dxa" w:w="3110"/>
            <w:tcMar>
              <w:top w:w="100" w:type="dxa"/>
              <w:start w:w="120" w:type="dxa"/>
              <w:bottom w:w="100" w:type="dxa"/>
              <w:end w:w="120" w:type="dxa"/>
            </w:tcMar>
            <w:vAlign w:val="center"/>
          </w:tcPr>
          <w:p>
            <w:pPr>
              <w:spacing w:after="40" w:line="240" w:lineRule="auto"/>
            </w:pPr>
            <w:r>
              <w:rPr>
                <w:rFonts w:ascii="Calibri" w:hAnsi="Calibri"/>
                <w:sz w:val="19"/>
              </w:rPr>
              <w:t>Missing or inconsistent source items enter remediation.</w:t>
            </w:r>
          </w:p>
        </w:tc>
      </w:tr>
      <w:tr>
        <w:trPr>
          <w:cantSplit/>
        </w:trPr>
        <w:tc>
          <w:tcPr>
            <w:tcW w:type="dxa" w:w="1250"/>
            <w:tcMar>
              <w:top w:w="100" w:type="dxa"/>
              <w:start w:w="120" w:type="dxa"/>
              <w:bottom w:w="100" w:type="dxa"/>
              <w:end w:w="120" w:type="dxa"/>
            </w:tcMar>
            <w:vAlign w:val="center"/>
            <w:shd w:fill="F5F7F5"/>
          </w:tcPr>
          <w:p>
            <w:pPr>
              <w:spacing w:after="40" w:line="240" w:lineRule="auto"/>
            </w:pPr>
            <w:r>
              <w:rPr>
                <w:rFonts w:ascii="Calibri" w:hAnsi="Calibri"/>
                <w:sz w:val="19"/>
              </w:rPr>
              <w:t>2. Notice map</w:t>
            </w:r>
          </w:p>
        </w:tc>
        <w:tc>
          <w:tcPr>
            <w:tcW w:type="dxa" w:w="3200"/>
            <w:tcMar>
              <w:top w:w="100" w:type="dxa"/>
              <w:start w:w="120" w:type="dxa"/>
              <w:bottom w:w="100" w:type="dxa"/>
              <w:end w:w="120" w:type="dxa"/>
            </w:tcMar>
            <w:vAlign w:val="center"/>
            <w:shd w:fill="F5F7F5"/>
          </w:tcPr>
          <w:p>
            <w:pPr>
              <w:spacing w:after="40" w:line="240" w:lineRule="auto"/>
            </w:pPr>
            <w:r>
              <w:rPr>
                <w:rFonts w:ascii="Calibri" w:hAnsi="Calibri"/>
                <w:sz w:val="19"/>
              </w:rPr>
              <w:t>Build a candidate map of RFI questions and criteria.</w:t>
            </w:r>
          </w:p>
        </w:tc>
        <w:tc>
          <w:tcPr>
            <w:tcW w:type="dxa" w:w="1800"/>
            <w:tcMar>
              <w:top w:w="100" w:type="dxa"/>
              <w:start w:w="120" w:type="dxa"/>
              <w:bottom w:w="100" w:type="dxa"/>
              <w:end w:w="120" w:type="dxa"/>
            </w:tcMar>
            <w:vAlign w:val="center"/>
            <w:shd w:fill="F5F7F5"/>
          </w:tcPr>
          <w:p>
            <w:pPr>
              <w:spacing w:after="40" w:line="240" w:lineRule="auto"/>
            </w:pPr>
            <w:r>
              <w:rPr>
                <w:rFonts w:ascii="Calibri" w:hAnsi="Calibri"/>
                <w:sz w:val="19"/>
              </w:rPr>
              <w:t>Rule-map review</w:t>
            </w:r>
          </w:p>
        </w:tc>
        <w:tc>
          <w:tcPr>
            <w:tcW w:type="dxa" w:w="3110"/>
            <w:tcMar>
              <w:top w:w="100" w:type="dxa"/>
              <w:start w:w="120" w:type="dxa"/>
              <w:bottom w:w="100" w:type="dxa"/>
              <w:end w:w="120" w:type="dxa"/>
            </w:tcMar>
            <w:vAlign w:val="center"/>
            <w:shd w:fill="F5F7F5"/>
          </w:tcPr>
          <w:p>
            <w:pPr>
              <w:spacing w:after="40" w:line="240" w:lineRule="auto"/>
            </w:pPr>
            <w:r>
              <w:rPr>
                <w:rFonts w:ascii="Calibri" w:hAnsi="Calibri"/>
                <w:sz w:val="19"/>
              </w:rPr>
              <w:t>Reject, modify, or rerun; approved version becomes immutable.</w:t>
            </w:r>
          </w:p>
        </w:tc>
      </w:tr>
      <w:tr>
        <w:trPr>
          <w:cantSplit/>
        </w:trPr>
        <w:tc>
          <w:tcPr>
            <w:tcW w:type="dxa" w:w="1250"/>
            <w:tcMar>
              <w:top w:w="100" w:type="dxa"/>
              <w:start w:w="120" w:type="dxa"/>
              <w:bottom w:w="100" w:type="dxa"/>
              <w:end w:w="120" w:type="dxa"/>
            </w:tcMar>
            <w:vAlign w:val="center"/>
          </w:tcPr>
          <w:p>
            <w:pPr>
              <w:spacing w:after="40" w:line="240" w:lineRule="auto"/>
            </w:pPr>
            <w:r>
              <w:rPr>
                <w:rFonts w:ascii="Calibri" w:hAnsi="Calibri"/>
                <w:sz w:val="19"/>
              </w:rPr>
              <w:t>3. Comments</w:t>
            </w:r>
          </w:p>
        </w:tc>
        <w:tc>
          <w:tcPr>
            <w:tcW w:type="dxa" w:w="3200"/>
            <w:tcMar>
              <w:top w:w="100" w:type="dxa"/>
              <w:start w:w="120" w:type="dxa"/>
              <w:bottom w:w="100" w:type="dxa"/>
              <w:end w:w="120" w:type="dxa"/>
            </w:tcMar>
            <w:vAlign w:val="center"/>
          </w:tcPr>
          <w:p>
            <w:pPr>
              <w:spacing w:after="40" w:line="240" w:lineRule="auto"/>
            </w:pPr>
            <w:r>
              <w:rPr>
                <w:rFonts w:ascii="Calibri" w:hAnsi="Calibri"/>
                <w:sz w:val="19"/>
              </w:rPr>
              <w:t>Analyze each comment independently; detect exact/near duplicates.</w:t>
            </w:r>
          </w:p>
        </w:tc>
        <w:tc>
          <w:tcPr>
            <w:tcW w:type="dxa" w:w="1800"/>
            <w:tcMar>
              <w:top w:w="100" w:type="dxa"/>
              <w:start w:w="120" w:type="dxa"/>
              <w:bottom w:w="100" w:type="dxa"/>
              <w:end w:w="120" w:type="dxa"/>
            </w:tcMar>
            <w:vAlign w:val="center"/>
          </w:tcPr>
          <w:p>
            <w:pPr>
              <w:spacing w:after="40" w:line="240" w:lineRule="auto"/>
            </w:pPr>
            <w:r>
              <w:rPr>
                <w:rFonts w:ascii="Calibri" w:hAnsi="Calibri"/>
                <w:sz w:val="19"/>
              </w:rPr>
              <w:t>None at item fan-out</w:t>
            </w:r>
          </w:p>
        </w:tc>
        <w:tc>
          <w:tcPr>
            <w:tcW w:type="dxa" w:w="3110"/>
            <w:tcMar>
              <w:top w:w="100" w:type="dxa"/>
              <w:start w:w="120" w:type="dxa"/>
              <w:bottom w:w="100" w:type="dxa"/>
              <w:end w:w="120" w:type="dxa"/>
            </w:tcMar>
            <w:vAlign w:val="center"/>
          </w:tcPr>
          <w:p>
            <w:pPr>
              <w:spacing w:after="40" w:line="240" w:lineRule="auto"/>
            </w:pPr>
            <w:r>
              <w:rPr>
                <w:rFonts w:ascii="Calibri" w:hAnsi="Calibri"/>
                <w:sz w:val="19"/>
              </w:rPr>
              <w:t>Individual items are resumable and retryable.</w:t>
            </w:r>
          </w:p>
        </w:tc>
      </w:tr>
      <w:tr>
        <w:trPr>
          <w:cantSplit/>
        </w:trPr>
        <w:tc>
          <w:tcPr>
            <w:tcW w:type="dxa" w:w="1250"/>
            <w:tcMar>
              <w:top w:w="100" w:type="dxa"/>
              <w:start w:w="120" w:type="dxa"/>
              <w:bottom w:w="100" w:type="dxa"/>
              <w:end w:w="120" w:type="dxa"/>
            </w:tcMar>
            <w:vAlign w:val="center"/>
            <w:shd w:fill="F5F7F5"/>
          </w:tcPr>
          <w:p>
            <w:pPr>
              <w:spacing w:after="40" w:line="240" w:lineRule="auto"/>
            </w:pPr>
            <w:r>
              <w:rPr>
                <w:rFonts w:ascii="Calibri" w:hAnsi="Calibri"/>
                <w:sz w:val="19"/>
              </w:rPr>
              <w:t>4. Taxonomy</w:t>
            </w:r>
          </w:p>
        </w:tc>
        <w:tc>
          <w:tcPr>
            <w:tcW w:type="dxa" w:w="3200"/>
            <w:tcMar>
              <w:top w:w="100" w:type="dxa"/>
              <w:start w:w="120" w:type="dxa"/>
              <w:bottom w:w="100" w:type="dxa"/>
              <w:end w:w="120" w:type="dxa"/>
            </w:tcMar>
            <w:vAlign w:val="center"/>
            <w:shd w:fill="F5F7F5"/>
          </w:tcPr>
          <w:p>
            <w:pPr>
              <w:spacing w:after="40" w:line="240" w:lineRule="auto"/>
            </w:pPr>
            <w:r>
              <w:rPr>
                <w:rFonts w:ascii="Calibri" w:hAnsi="Calibri"/>
                <w:sz w:val="19"/>
              </w:rPr>
              <w:t>Cluster proposals and map comments, positions, rules, and references.</w:t>
            </w:r>
          </w:p>
        </w:tc>
        <w:tc>
          <w:tcPr>
            <w:tcW w:type="dxa" w:w="1800"/>
            <w:tcMar>
              <w:top w:w="100" w:type="dxa"/>
              <w:start w:w="120" w:type="dxa"/>
              <w:bottom w:w="100" w:type="dxa"/>
              <w:end w:w="120" w:type="dxa"/>
            </w:tcMar>
            <w:vAlign w:val="center"/>
            <w:shd w:fill="F5F7F5"/>
          </w:tcPr>
          <w:p>
            <w:pPr>
              <w:spacing w:after="40" w:line="240" w:lineRule="auto"/>
            </w:pPr>
            <w:r>
              <w:rPr>
                <w:rFonts w:ascii="Calibri" w:hAnsi="Calibri"/>
                <w:sz w:val="19"/>
              </w:rPr>
              <w:t>Taxonomy review</w:t>
            </w:r>
          </w:p>
        </w:tc>
        <w:tc>
          <w:tcPr>
            <w:tcW w:type="dxa" w:w="3110"/>
            <w:tcMar>
              <w:top w:w="100" w:type="dxa"/>
              <w:start w:w="120" w:type="dxa"/>
              <w:bottom w:w="100" w:type="dxa"/>
              <w:end w:w="120" w:type="dxa"/>
            </w:tcMar>
            <w:vAlign w:val="center"/>
            <w:shd w:fill="F5F7F5"/>
          </w:tcPr>
          <w:p>
            <w:pPr>
              <w:spacing w:after="40" w:line="240" w:lineRule="auto"/>
            </w:pPr>
            <w:r>
              <w:rPr>
                <w:rFonts w:ascii="Calibri" w:hAnsi="Calibri"/>
                <w:sz w:val="19"/>
              </w:rPr>
              <w:t>Reviewer may merge, split, rename, create, or remap.</w:t>
            </w:r>
          </w:p>
        </w:tc>
      </w:tr>
      <w:tr>
        <w:trPr>
          <w:cantSplit/>
        </w:trPr>
        <w:tc>
          <w:tcPr>
            <w:tcW w:type="dxa" w:w="1250"/>
            <w:tcMar>
              <w:top w:w="100" w:type="dxa"/>
              <w:start w:w="120" w:type="dxa"/>
              <w:bottom w:w="100" w:type="dxa"/>
              <w:end w:w="120" w:type="dxa"/>
            </w:tcMar>
            <w:vAlign w:val="center"/>
          </w:tcPr>
          <w:p>
            <w:pPr>
              <w:spacing w:after="40" w:line="240" w:lineRule="auto"/>
            </w:pPr>
            <w:r>
              <w:rPr>
                <w:rFonts w:ascii="Calibri" w:hAnsi="Calibri"/>
                <w:sz w:val="19"/>
              </w:rPr>
              <w:t>5. Evidence</w:t>
            </w:r>
          </w:p>
        </w:tc>
        <w:tc>
          <w:tcPr>
            <w:tcW w:type="dxa" w:w="3200"/>
            <w:tcMar>
              <w:top w:w="100" w:type="dxa"/>
              <w:start w:w="120" w:type="dxa"/>
              <w:bottom w:w="100" w:type="dxa"/>
              <w:end w:w="120" w:type="dxa"/>
            </w:tcMar>
            <w:vAlign w:val="center"/>
          </w:tcPr>
          <w:p>
            <w:pPr>
              <w:spacing w:after="40" w:line="240" w:lineRule="auto"/>
            </w:pPr>
            <w:r>
              <w:rPr>
                <w:rFonts w:ascii="Calibri" w:hAnsi="Calibri"/>
                <w:sz w:val="19"/>
              </w:rPr>
              <w:t>Resolve citations and assess support and attribution.</w:t>
            </w:r>
          </w:p>
        </w:tc>
        <w:tc>
          <w:tcPr>
            <w:tcW w:type="dxa" w:w="1800"/>
            <w:tcMar>
              <w:top w:w="100" w:type="dxa"/>
              <w:start w:w="120" w:type="dxa"/>
              <w:bottom w:w="100" w:type="dxa"/>
              <w:end w:w="120" w:type="dxa"/>
            </w:tcMar>
            <w:vAlign w:val="center"/>
          </w:tcPr>
          <w:p>
            <w:pPr>
              <w:spacing w:after="40" w:line="240" w:lineRule="auto"/>
            </w:pPr>
            <w:r>
              <w:rPr>
                <w:rFonts w:ascii="Calibri" w:hAnsi="Calibri"/>
                <w:sz w:val="19"/>
              </w:rPr>
              <w:t>Evidence gate</w:t>
            </w:r>
          </w:p>
        </w:tc>
        <w:tc>
          <w:tcPr>
            <w:tcW w:type="dxa" w:w="3110"/>
            <w:tcMar>
              <w:top w:w="100" w:type="dxa"/>
              <w:start w:w="120" w:type="dxa"/>
              <w:bottom w:w="100" w:type="dxa"/>
              <w:end w:w="120" w:type="dxa"/>
            </w:tcMar>
            <w:vAlign w:val="center"/>
          </w:tcPr>
          <w:p>
            <w:pPr>
              <w:spacing w:after="40" w:line="240" w:lineRule="auto"/>
            </w:pPr>
            <w:r>
              <w:rPr>
                <w:rFonts w:ascii="Calibri" w:hAnsi="Calibri"/>
                <w:sz w:val="19"/>
              </w:rPr>
              <w:t>Anything short of supported enters review or blocks finalization.</w:t>
            </w:r>
          </w:p>
        </w:tc>
      </w:tr>
      <w:tr>
        <w:trPr>
          <w:cantSplit/>
        </w:trPr>
        <w:tc>
          <w:tcPr>
            <w:tcW w:type="dxa" w:w="1250"/>
            <w:tcMar>
              <w:top w:w="100" w:type="dxa"/>
              <w:start w:w="120" w:type="dxa"/>
              <w:bottom w:w="100" w:type="dxa"/>
              <w:end w:w="120" w:type="dxa"/>
            </w:tcMar>
            <w:vAlign w:val="center"/>
            <w:shd w:fill="F5F7F5"/>
          </w:tcPr>
          <w:p>
            <w:pPr>
              <w:spacing w:after="40" w:line="240" w:lineRule="auto"/>
            </w:pPr>
            <w:r>
              <w:rPr>
                <w:rFonts w:ascii="Calibri" w:hAnsi="Calibri"/>
                <w:sz w:val="19"/>
              </w:rPr>
              <w:t>6. QA</w:t>
            </w:r>
          </w:p>
        </w:tc>
        <w:tc>
          <w:tcPr>
            <w:tcW w:type="dxa" w:w="3200"/>
            <w:tcMar>
              <w:top w:w="100" w:type="dxa"/>
              <w:start w:w="120" w:type="dxa"/>
              <w:bottom w:w="100" w:type="dxa"/>
              <w:end w:w="120" w:type="dxa"/>
            </w:tcMar>
            <w:vAlign w:val="center"/>
            <w:shd w:fill="F5F7F5"/>
          </w:tcPr>
          <w:p>
            <w:pPr>
              <w:spacing w:after="40" w:line="240" w:lineRule="auto"/>
            </w:pPr>
            <w:r>
              <w:rPr>
                <w:rFonts w:ascii="Calibri" w:hAnsi="Calibri"/>
                <w:sz w:val="19"/>
              </w:rPr>
              <w:t>Run count, coverage, citation, provenance, duplicate, and state checks.</w:t>
            </w:r>
          </w:p>
        </w:tc>
        <w:tc>
          <w:tcPr>
            <w:tcW w:type="dxa" w:w="1800"/>
            <w:tcMar>
              <w:top w:w="100" w:type="dxa"/>
              <w:start w:w="120" w:type="dxa"/>
              <w:bottom w:w="100" w:type="dxa"/>
              <w:end w:w="120" w:type="dxa"/>
            </w:tcMar>
            <w:vAlign w:val="center"/>
            <w:shd w:fill="F5F7F5"/>
          </w:tcPr>
          <w:p>
            <w:pPr>
              <w:spacing w:after="40" w:line="240" w:lineRule="auto"/>
            </w:pPr>
            <w:r>
              <w:rPr>
                <w:rFonts w:ascii="Calibri" w:hAnsi="Calibri"/>
                <w:sz w:val="19"/>
              </w:rPr>
              <w:t>QA gate</w:t>
            </w:r>
          </w:p>
        </w:tc>
        <w:tc>
          <w:tcPr>
            <w:tcW w:type="dxa" w:w="3110"/>
            <w:tcMar>
              <w:top w:w="100" w:type="dxa"/>
              <w:start w:w="120" w:type="dxa"/>
              <w:bottom w:w="100" w:type="dxa"/>
              <w:end w:w="120" w:type="dxa"/>
            </w:tcMar>
            <w:vAlign w:val="center"/>
            <w:shd w:fill="F5F7F5"/>
          </w:tcPr>
          <w:p>
            <w:pPr>
              <w:spacing w:after="40" w:line="240" w:lineRule="auto"/>
            </w:pPr>
            <w:r>
              <w:rPr>
                <w:rFonts w:ascii="Calibri" w:hAnsi="Calibri"/>
                <w:sz w:val="19"/>
              </w:rPr>
              <w:t>Deterministic failures block final approval.</w:t>
            </w:r>
          </w:p>
        </w:tc>
      </w:tr>
      <w:tr>
        <w:trPr>
          <w:cantSplit/>
        </w:trPr>
        <w:tc>
          <w:tcPr>
            <w:tcW w:type="dxa" w:w="1250"/>
            <w:tcMar>
              <w:top w:w="100" w:type="dxa"/>
              <w:start w:w="120" w:type="dxa"/>
              <w:bottom w:w="100" w:type="dxa"/>
              <w:end w:w="120" w:type="dxa"/>
            </w:tcMar>
            <w:vAlign w:val="center"/>
          </w:tcPr>
          <w:p>
            <w:pPr>
              <w:spacing w:after="40" w:line="240" w:lineRule="auto"/>
            </w:pPr>
            <w:r>
              <w:rPr>
                <w:rFonts w:ascii="Calibri" w:hAnsi="Calibri"/>
                <w:sz w:val="19"/>
              </w:rPr>
              <w:t>7. Finalize</w:t>
            </w:r>
          </w:p>
        </w:tc>
        <w:tc>
          <w:tcPr>
            <w:tcW w:type="dxa" w:w="3200"/>
            <w:tcMar>
              <w:top w:w="100" w:type="dxa"/>
              <w:start w:w="120" w:type="dxa"/>
              <w:bottom w:w="100" w:type="dxa"/>
              <w:end w:w="120" w:type="dxa"/>
            </w:tcMar>
            <w:vAlign w:val="center"/>
          </w:tcPr>
          <w:p>
            <w:pPr>
              <w:spacing w:after="40" w:line="240" w:lineRule="auto"/>
            </w:pPr>
            <w:r>
              <w:rPr>
                <w:rFonts w:ascii="Calibri" w:hAnsi="Calibri"/>
                <w:sz w:val="19"/>
              </w:rPr>
              <w:t>Present issue matrix and draft recommendations.</w:t>
            </w:r>
          </w:p>
        </w:tc>
        <w:tc>
          <w:tcPr>
            <w:tcW w:type="dxa" w:w="1800"/>
            <w:tcMar>
              <w:top w:w="100" w:type="dxa"/>
              <w:start w:w="120" w:type="dxa"/>
              <w:bottom w:w="100" w:type="dxa"/>
              <w:end w:w="120" w:type="dxa"/>
            </w:tcMar>
            <w:vAlign w:val="center"/>
          </w:tcPr>
          <w:p>
            <w:pPr>
              <w:spacing w:after="40" w:line="240" w:lineRule="auto"/>
            </w:pPr>
            <w:r>
              <w:rPr>
                <w:rFonts w:ascii="Calibri" w:hAnsi="Calibri"/>
                <w:sz w:val="19"/>
              </w:rPr>
              <w:t>Final human review</w:t>
            </w:r>
          </w:p>
        </w:tc>
        <w:tc>
          <w:tcPr>
            <w:tcW w:type="dxa" w:w="3110"/>
            <w:tcMar>
              <w:top w:w="100" w:type="dxa"/>
              <w:start w:w="120" w:type="dxa"/>
              <w:bottom w:w="100" w:type="dxa"/>
              <w:end w:w="120" w:type="dxa"/>
            </w:tcMar>
            <w:vAlign w:val="center"/>
          </w:tcPr>
          <w:p>
            <w:pPr>
              <w:spacing w:after="40" w:line="240" w:lineRule="auto"/>
            </w:pPr>
            <w:r>
              <w:rPr>
                <w:rFonts w:ascii="Calibri" w:hAnsi="Calibri"/>
                <w:sz w:val="19"/>
              </w:rPr>
              <w:t>Only approved records enter an immutable manifest.</w:t>
            </w:r>
          </w:p>
        </w:tc>
      </w:tr>
    </w:tbl>
    <w:p>
      <w:pPr>
        <w:pStyle w:val="Heading2"/>
      </w:pPr>
      <w:r>
        <w:t>Review-state enforcement</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20" w:type="dxa"/>
              <w:bottom w:w="100" w:type="dxa"/>
              <w:end w:w="120" w:type="dxa"/>
            </w:tcMar>
            <w:vAlign w:val="center"/>
            <w:shd w:fill="E6EEE9"/>
          </w:tcPr>
          <w:p>
            <w:pPr>
              <w:spacing w:after="60" w:line="240" w:lineRule="auto"/>
            </w:pPr>
            <w:r>
              <w:rPr>
                <w:b/>
                <w:color w:val="1F5A46"/>
                <w:sz w:val="18"/>
              </w:rPr>
              <w:t>CONTROL</w:t>
            </w:r>
          </w:p>
          <w:p>
            <w:pPr>
              <w:spacing w:after="40" w:line="259" w:lineRule="auto"/>
            </w:pPr>
            <w:r>
              <w:t>Agents may create MACHINE_GENERATED and PENDING_REVIEW states only. APPROVED, MODIFIED, and REJECTED must come from an authenticated human-review boundary and should be reinforced through application permissions and database privileges—not merely a prompt instruction.</w:t>
            </w:r>
          </w:p>
        </w:tc>
      </w:tr>
    </w:tbl>
    <w:p>
      <w:pPr>
        <w:spacing w:after="40"/>
      </w:pPr>
    </w:p>
    <w:p>
      <w:pPr>
        <w:pStyle w:val="Heading1"/>
      </w:pPr>
      <w:r>
        <w:t>4. From comments to an issue matrix</w:t>
      </w:r>
    </w:p>
    <w:p>
      <w:pPr>
        <w:pStyle w:val="Heading2"/>
      </w:pPr>
      <w:r>
        <w:t>Comment-level extraction</w:t>
      </w:r>
    </w:p>
    <w:p>
      <w:r>
        <w:t>Each public submission is processed as its own unit of work. The system extracts discrete requested actions, claimed burdens, affected entities, product or practice targets, cited legal or regulatory references, claimed costs or time, supporting evidence, and consumer-safety implications. Each substantive annotation must point to one or more source blocks.</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trPr>
        <w:tc>
          <w:tcPr>
            <w:tcW w:type="dxa" w:w="9360"/>
            <w:tcMar>
              <w:top w:w="100" w:type="dxa"/>
              <w:start w:w="120" w:type="dxa"/>
              <w:bottom w:w="100" w:type="dxa"/>
              <w:end w:w="120" w:type="dxa"/>
            </w:tcMar>
            <w:vAlign w:val="center"/>
            <w:shd w:fill="F1E9D7"/>
          </w:tcPr>
          <w:p>
            <w:pPr>
              <w:spacing w:after="60" w:line="240" w:lineRule="auto"/>
            </w:pPr>
            <w:r>
              <w:rPr>
                <w:b/>
                <w:color w:val="795B24"/>
                <w:sz w:val="18"/>
              </w:rPr>
              <w:t>ATTRIBUTION RULE</w:t>
            </w:r>
          </w:p>
          <w:p>
            <w:pPr>
              <w:spacing w:after="40" w:line="259" w:lineRule="auto"/>
            </w:pPr>
            <w:r>
              <w:t>“The commenter estimates $X” and “the cost is $X” are different statements. The first may be supported by the submission itself. The second requires independent verification. The data model preserves that distinction with statuses such as COMMENTER_ASSERTED, EXTERNALLY_VERIFIED, CONTRADICTED, and UNVERIFIED.</w:t>
            </w:r>
          </w:p>
        </w:tc>
      </w:tr>
    </w:tbl>
    <w:p>
      <w:pPr>
        <w:spacing w:after="40"/>
      </w:pPr>
    </w:p>
    <w:p>
      <w:pPr>
        <w:pStyle w:val="Heading2"/>
      </w:pPr>
      <w:r>
        <w:t>Issue discovery and reconciliation</w:t>
      </w:r>
    </w:p>
    <w:p>
      <w:r>
        <w:t>Exact duplicate detection uses hashes and deterministic comparisons. Near-duplicate analysis may use embeddings or semantic methods but produces reviewable recommendations. The issue-taxonomy agent clusters by the specific rule or CPSC practice and the requested agency action; it must not erase product distinctions, legal differences, minority positions, or consumer-safety counterarguments.</w:t>
      </w:r>
    </w:p>
    <w:p>
      <w:pPr>
        <w:pStyle w:val="Heading2"/>
      </w:pPr>
      <w:r>
        <w:t>Evidence outcomes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trPr>
        <w:tc>
          <w:tcPr>
            <w:tcW w:type="dxa" w:w="23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Result</w:t>
            </w:r>
          </w:p>
        </w:tc>
        <w:tc>
          <w:tcPr>
            <w:tcW w:type="dxa" w:w="706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Meaning</w:t>
            </w:r>
          </w:p>
        </w:tc>
      </w:tr>
      <w:tr>
        <w:trPr>
          <w:cantSplit/>
        </w:trPr>
        <w:tc>
          <w:tcPr>
            <w:tcW w:type="dxa" w:w="2300"/>
            <w:tcMar>
              <w:top w:w="100" w:type="dxa"/>
              <w:start w:w="120" w:type="dxa"/>
              <w:bottom w:w="100" w:type="dxa"/>
              <w:end w:w="120" w:type="dxa"/>
            </w:tcMar>
            <w:vAlign w:val="center"/>
          </w:tcPr>
          <w:p>
            <w:pPr>
              <w:spacing w:after="40" w:line="240" w:lineRule="auto"/>
            </w:pPr>
            <w:r>
              <w:rPr>
                <w:rFonts w:ascii="Calibri" w:hAnsi="Calibri"/>
                <w:sz w:val="19"/>
              </w:rPr>
              <w:t>SUPPORTED</w:t>
            </w:r>
          </w:p>
        </w:tc>
        <w:tc>
          <w:tcPr>
            <w:tcW w:type="dxa" w:w="7060"/>
            <w:tcMar>
              <w:top w:w="100" w:type="dxa"/>
              <w:start w:w="120" w:type="dxa"/>
              <w:bottom w:w="100" w:type="dxa"/>
              <w:end w:w="120" w:type="dxa"/>
            </w:tcMar>
            <w:vAlign w:val="center"/>
          </w:tcPr>
          <w:p>
            <w:pPr>
              <w:spacing w:after="40" w:line="240" w:lineRule="auto"/>
            </w:pPr>
            <w:r>
              <w:rPr>
                <w:rFonts w:ascii="Calibri" w:hAnsi="Calibri"/>
                <w:sz w:val="19"/>
              </w:rPr>
              <w:t>The cited passage supports the scoped, attributed claim.</w:t>
            </w:r>
          </w:p>
        </w:tc>
      </w:tr>
      <w:tr>
        <w:trPr>
          <w:cantSplit/>
        </w:trPr>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PARTIALLY_SUPPORTED</w:t>
            </w:r>
          </w:p>
        </w:tc>
        <w:tc>
          <w:tcPr>
            <w:tcW w:type="dxa" w:w="7060"/>
            <w:tcMar>
              <w:top w:w="100" w:type="dxa"/>
              <w:start w:w="120" w:type="dxa"/>
              <w:bottom w:w="100" w:type="dxa"/>
              <w:end w:w="120" w:type="dxa"/>
            </w:tcMar>
            <w:vAlign w:val="center"/>
            <w:shd w:fill="F5F7F5"/>
          </w:tcPr>
          <w:p>
            <w:pPr>
              <w:spacing w:after="40" w:line="240" w:lineRule="auto"/>
            </w:pPr>
            <w:r>
              <w:rPr>
                <w:rFonts w:ascii="Calibri" w:hAnsi="Calibri"/>
                <w:sz w:val="19"/>
              </w:rPr>
              <w:t>Only part of the claim is supported or material qualification is missing.</w:t>
            </w:r>
          </w:p>
        </w:tc>
      </w:tr>
      <w:tr>
        <w:trPr>
          <w:cantSplit/>
        </w:trPr>
        <w:tc>
          <w:tcPr>
            <w:tcW w:type="dxa" w:w="2300"/>
            <w:tcMar>
              <w:top w:w="100" w:type="dxa"/>
              <w:start w:w="120" w:type="dxa"/>
              <w:bottom w:w="100" w:type="dxa"/>
              <w:end w:w="120" w:type="dxa"/>
            </w:tcMar>
            <w:vAlign w:val="center"/>
          </w:tcPr>
          <w:p>
            <w:pPr>
              <w:spacing w:after="40" w:line="240" w:lineRule="auto"/>
            </w:pPr>
            <w:r>
              <w:rPr>
                <w:rFonts w:ascii="Calibri" w:hAnsi="Calibri"/>
                <w:sz w:val="19"/>
              </w:rPr>
              <w:t>UNSUPPORTED</w:t>
            </w:r>
          </w:p>
        </w:tc>
        <w:tc>
          <w:tcPr>
            <w:tcW w:type="dxa" w:w="7060"/>
            <w:tcMar>
              <w:top w:w="100" w:type="dxa"/>
              <w:start w:w="120" w:type="dxa"/>
              <w:bottom w:w="100" w:type="dxa"/>
              <w:end w:w="120" w:type="dxa"/>
            </w:tcMar>
            <w:vAlign w:val="center"/>
          </w:tcPr>
          <w:p>
            <w:pPr>
              <w:spacing w:after="40" w:line="240" w:lineRule="auto"/>
            </w:pPr>
            <w:r>
              <w:rPr>
                <w:rFonts w:ascii="Calibri" w:hAnsi="Calibri"/>
                <w:sz w:val="19"/>
              </w:rPr>
              <w:t>The cited passage does not support the claim.</w:t>
            </w:r>
          </w:p>
        </w:tc>
      </w:tr>
      <w:tr>
        <w:trPr>
          <w:cantSplit/>
        </w:trPr>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SOURCE_NOT_FOUND</w:t>
            </w:r>
          </w:p>
        </w:tc>
        <w:tc>
          <w:tcPr>
            <w:tcW w:type="dxa" w:w="7060"/>
            <w:tcMar>
              <w:top w:w="100" w:type="dxa"/>
              <w:start w:w="120" w:type="dxa"/>
              <w:bottom w:w="100" w:type="dxa"/>
              <w:end w:w="120" w:type="dxa"/>
            </w:tcMar>
            <w:vAlign w:val="center"/>
            <w:shd w:fill="F5F7F5"/>
          </w:tcPr>
          <w:p>
            <w:pPr>
              <w:spacing w:after="40" w:line="240" w:lineRule="auto"/>
            </w:pPr>
            <w:r>
              <w:rPr>
                <w:rFonts w:ascii="Calibri" w:hAnsi="Calibri"/>
                <w:sz w:val="19"/>
              </w:rPr>
              <w:t>The document, attachment, page, block, or cited context cannot be resolved.</w:t>
            </w:r>
          </w:p>
        </w:tc>
      </w:tr>
      <w:tr>
        <w:trPr>
          <w:cantSplit/>
        </w:trPr>
        <w:tc>
          <w:tcPr>
            <w:tcW w:type="dxa" w:w="2300"/>
            <w:tcMar>
              <w:top w:w="100" w:type="dxa"/>
              <w:start w:w="120" w:type="dxa"/>
              <w:bottom w:w="100" w:type="dxa"/>
              <w:end w:w="120" w:type="dxa"/>
            </w:tcMar>
            <w:vAlign w:val="center"/>
          </w:tcPr>
          <w:p>
            <w:pPr>
              <w:spacing w:after="40" w:line="240" w:lineRule="auto"/>
            </w:pPr>
            <w:r>
              <w:rPr>
                <w:rFonts w:ascii="Calibri" w:hAnsi="Calibri"/>
                <w:sz w:val="19"/>
              </w:rPr>
              <w:t>AMBIGUOUS</w:t>
            </w:r>
          </w:p>
        </w:tc>
        <w:tc>
          <w:tcPr>
            <w:tcW w:type="dxa" w:w="7060"/>
            <w:tcMar>
              <w:top w:w="100" w:type="dxa"/>
              <w:start w:w="120" w:type="dxa"/>
              <w:bottom w:w="100" w:type="dxa"/>
              <w:end w:w="120" w:type="dxa"/>
            </w:tcMar>
            <w:vAlign w:val="center"/>
          </w:tcPr>
          <w:p>
            <w:pPr>
              <w:spacing w:after="40" w:line="240" w:lineRule="auto"/>
            </w:pPr>
            <w:r>
              <w:rPr>
                <w:rFonts w:ascii="Calibri" w:hAnsi="Calibri"/>
                <w:sz w:val="19"/>
              </w:rPr>
              <w:t>Support or attribution cannot be determined reliably from the available record.</w:t>
            </w:r>
          </w:p>
        </w:tc>
      </w:tr>
    </w:tbl>
    <w:p>
      <w:pPr>
        <w:pStyle w:val="Heading1"/>
      </w:pPr>
      <w:r>
        <w:t>5. Draft recommended responses</w:t>
      </w:r>
    </w:p>
    <w:p>
      <w:r>
        <w:t>A draft response is produced only after the issue, mapped comments, citations, evidence results, and QA findings are available. The draft should state what commenters requested, summarize supporting and opposing record material, distinguish assertions from verified information, identify legal or evidentiary gaps, and recommend a bounded next action. It should not imply that CPSC has adopted the recommendation.</w:t>
      </w:r>
    </w:p>
    <w:p>
      <w:pPr>
        <w:pStyle w:val="Heading2"/>
      </w:pPr>
      <w:r>
        <w:t>Minimum response checklist</w:t>
      </w:r>
    </w:p>
    <w:p>
      <w:pPr>
        <w:pStyle w:val="ListBullet"/>
      </w:pPr>
      <w:r>
        <w:t>Addresses the specific requested agency action.</w:t>
      </w:r>
    </w:p>
    <w:p>
      <w:pPr>
        <w:pStyle w:val="ListBullet"/>
      </w:pPr>
      <w:r>
        <w:t>Identifies the affected rule, guidance, interpretation, or practice.</w:t>
      </w:r>
    </w:p>
    <w:p>
      <w:pPr>
        <w:pStyle w:val="ListBullet"/>
      </w:pPr>
      <w:r>
        <w:t>Separates burden claims from verified facts.</w:t>
      </w:r>
    </w:p>
    <w:p>
      <w:pPr>
        <w:pStyle w:val="ListBullet"/>
      </w:pPr>
      <w:r>
        <w:t>Discusses consumer-safety effects and counterevidence.</w:t>
      </w:r>
    </w:p>
    <w:p>
      <w:pPr>
        <w:pStyle w:val="ListBullet"/>
      </w:pPr>
      <w:r>
        <w:t>Includes resolvable citations to the docket record.</w:t>
      </w:r>
    </w:p>
    <w:p>
      <w:pPr>
        <w:pStyle w:val="ListBullet"/>
      </w:pPr>
      <w:r>
        <w:t>Flags missing legal, economic, technical, or incident-data analysis.</w:t>
      </w:r>
    </w:p>
    <w:p>
      <w:pPr>
        <w:pStyle w:val="ListBullet"/>
      </w:pPr>
      <w:r>
        <w:t>States that the output is draft work product pending authorized human review.</w:t>
      </w:r>
    </w:p>
    <w:p>
      <w:pPr>
        <w:pStyle w:val="Heading1"/>
      </w:pPr>
      <w:r>
        <w:t>6. What the current workspace does</w:t>
      </w:r>
    </w:p>
    <w:tbl>
      <w:tblPr>
        <w:tblStyle w:val="TableGrid"/>
        <w:tblW w:type="dxa" w:w="9360"/>
        <w:jc w:val="left"/>
        <w:tblLayout w:type="fixed"/>
        <w:tblLook w:firstColumn="1" w:firstRow="1" w:lastColumn="0" w:lastRow="0" w:noHBand="0" w:noVBand="1" w:val="04A0"/>
        <w:tblInd w:w="120" w:type="dxa"/>
      </w:tblPr>
      <w:tblGrid>
        <w:gridCol w:w="2200"/>
        <w:gridCol w:w="2300"/>
        <w:gridCol w:w="4860"/>
      </w:tblGrid>
      <w:tr>
        <w:trPr>
          <w:cantSplit/>
          <w:tblHeader/>
        </w:trPr>
        <w:tc>
          <w:tcPr>
            <w:tcW w:type="dxa" w:w="22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Capability</w:t>
            </w:r>
          </w:p>
        </w:tc>
        <w:tc>
          <w:tcPr>
            <w:tcW w:type="dxa" w:w="230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Current status</w:t>
            </w:r>
          </w:p>
        </w:tc>
        <w:tc>
          <w:tcPr>
            <w:tcW w:type="dxa" w:w="4860"/>
            <w:tcMar>
              <w:top w:w="100" w:type="dxa"/>
              <w:start w:w="120" w:type="dxa"/>
              <w:bottom w:w="100" w:type="dxa"/>
              <w:end w:w="120" w:type="dxa"/>
            </w:tcMar>
            <w:vAlign w:val="center"/>
            <w:shd w:fill="143F33"/>
          </w:tcPr>
          <w:p>
            <w:pPr>
              <w:spacing w:after="40" w:line="240" w:lineRule="auto"/>
            </w:pPr>
            <w:r>
              <w:rPr>
                <w:rFonts w:ascii="Calibri" w:hAnsi="Calibri"/>
                <w:b/>
                <w:color w:val="FFFFFF"/>
                <w:sz w:val="19"/>
              </w:rPr>
              <w:t>Interpretation</w:t>
            </w:r>
          </w:p>
        </w:tc>
      </w:tr>
      <w:tr>
        <w:trPr>
          <w:cantSplit/>
        </w:trPr>
        <w:tc>
          <w:tcPr>
            <w:tcW w:type="dxa" w:w="2200"/>
            <w:tcMar>
              <w:top w:w="100" w:type="dxa"/>
              <w:start w:w="120" w:type="dxa"/>
              <w:bottom w:w="100" w:type="dxa"/>
              <w:end w:w="120" w:type="dxa"/>
            </w:tcMar>
            <w:vAlign w:val="center"/>
          </w:tcPr>
          <w:p>
            <w:pPr>
              <w:spacing w:after="40" w:line="240" w:lineRule="auto"/>
            </w:pPr>
            <w:r>
              <w:rPr>
                <w:rFonts w:ascii="Calibri" w:hAnsi="Calibri"/>
                <w:sz w:val="19"/>
              </w:rPr>
              <w:t>Executive overview</w:t>
            </w:r>
          </w:p>
        </w:tc>
        <w:tc>
          <w:tcPr>
            <w:tcW w:type="dxa" w:w="2300"/>
            <w:tcMar>
              <w:top w:w="100" w:type="dxa"/>
              <w:start w:w="120" w:type="dxa"/>
              <w:bottom w:w="100" w:type="dxa"/>
              <w:end w:w="120" w:type="dxa"/>
            </w:tcMar>
            <w:vAlign w:val="center"/>
          </w:tcPr>
          <w:p>
            <w:pPr>
              <w:spacing w:after="40" w:line="240" w:lineRule="auto"/>
            </w:pPr>
            <w:r>
              <w:rPr>
                <w:rFonts w:ascii="Calibri" w:hAnsi="Calibri"/>
                <w:sz w:val="19"/>
              </w:rPr>
              <w:t>Functional public-source query</w:t>
            </w:r>
          </w:p>
        </w:tc>
        <w:tc>
          <w:tcPr>
            <w:tcW w:type="dxa" w:w="4860"/>
            <w:tcMar>
              <w:top w:w="100" w:type="dxa"/>
              <w:start w:w="120" w:type="dxa"/>
              <w:bottom w:w="100" w:type="dxa"/>
              <w:end w:w="120" w:type="dxa"/>
            </w:tcMar>
            <w:vAlign w:val="center"/>
          </w:tcPr>
          <w:p>
            <w:pPr>
              <w:spacing w:after="40" w:line="240" w:lineRule="auto"/>
            </w:pPr>
            <w:r>
              <w:rPr>
                <w:rFonts w:ascii="Calibri" w:hAnsi="Calibri"/>
                <w:sz w:val="19"/>
              </w:rPr>
              <w:t>Independently retrieves CPSC document records posted during the rolling 12 months ending at retrieval, with official totals, supported type/cadence breakdowns, latest records, source, and caveats. If Regulations.gov is rate-limited or unavailable, an explicitly identified FederalRegister.gov fallback supplies the narrower Federal Register record view.</w:t>
            </w:r>
          </w:p>
        </w:tc>
      </w:tr>
      <w:tr>
        <w:trPr>
          <w:cantSplit/>
        </w:trPr>
        <w:tc>
          <w:tcPr>
            <w:tcW w:type="dxa" w:w="2200"/>
            <w:tcMar>
              <w:top w:w="100" w:type="dxa"/>
              <w:start w:w="120" w:type="dxa"/>
              <w:bottom w:w="100" w:type="dxa"/>
              <w:end w:w="120" w:type="dxa"/>
            </w:tcMar>
            <w:vAlign w:val="center"/>
            <w:shd w:fill="F5F7F5"/>
          </w:tcPr>
          <w:p>
            <w:pPr>
              <w:spacing w:after="40" w:line="240" w:lineRule="auto"/>
            </w:pPr>
            <w:r>
              <w:rPr>
                <w:rFonts w:ascii="Calibri" w:hAnsi="Calibri"/>
                <w:sz w:val="19"/>
              </w:rPr>
              <w:t>Selected record</w:t>
            </w:r>
          </w:p>
        </w:tc>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Functional live workspace state</w:t>
            </w:r>
          </w:p>
        </w:tc>
        <w:tc>
          <w:tcPr>
            <w:tcW w:type="dxa" w:w="4860"/>
            <w:tcMar>
              <w:top w:w="100" w:type="dxa"/>
              <w:start w:w="120" w:type="dxa"/>
              <w:bottom w:w="100" w:type="dxa"/>
              <w:end w:w="120" w:type="dxa"/>
            </w:tcMar>
            <w:vAlign w:val="center"/>
            <w:shd w:fill="F5F7F5"/>
          </w:tcPr>
          <w:p>
            <w:pPr>
              <w:spacing w:after="40" w:line="240" w:lineRule="auto"/>
            </w:pPr>
            <w:r>
              <w:rPr>
                <w:rFonts w:ascii="Calibri" w:hAnsi="Calibri"/>
                <w:sz w:val="19"/>
              </w:rPr>
              <w:t>A selected search result drives Overview context, Regulation metadata, docket comment lookup, evidence availability, draft notes, and QA. A new query or clear action removes stale state.</w:t>
            </w:r>
          </w:p>
        </w:tc>
      </w:tr>
      <w:tr>
        <w:trPr>
          <w:cantSplit/>
        </w:trPr>
        <w:tc>
          <w:tcPr>
            <w:tcW w:type="dxa" w:w="2200"/>
            <w:tcMar>
              <w:top w:w="100" w:type="dxa"/>
              <w:start w:w="120" w:type="dxa"/>
              <w:bottom w:w="100" w:type="dxa"/>
              <w:end w:w="120" w:type="dxa"/>
            </w:tcMar>
            <w:vAlign w:val="center"/>
          </w:tcPr>
          <w:p>
            <w:pPr>
              <w:spacing w:after="40" w:line="240" w:lineRule="auto"/>
            </w:pPr>
            <w:r>
              <w:rPr>
                <w:rFonts w:ascii="Calibri" w:hAnsi="Calibri"/>
                <w:sz w:val="19"/>
              </w:rPr>
              <w:t>Public submissions</w:t>
            </w:r>
          </w:p>
        </w:tc>
        <w:tc>
          <w:tcPr>
            <w:tcW w:type="dxa" w:w="2300"/>
            <w:tcMar>
              <w:top w:w="100" w:type="dxa"/>
              <w:start w:w="120" w:type="dxa"/>
              <w:bottom w:w="100" w:type="dxa"/>
              <w:end w:w="120" w:type="dxa"/>
            </w:tcMar>
            <w:vAlign w:val="center"/>
          </w:tcPr>
          <w:p>
            <w:pPr>
              <w:spacing w:after="40" w:line="240" w:lineRule="auto"/>
            </w:pPr>
            <w:r>
              <w:rPr>
                <w:rFonts w:ascii="Calibri" w:hAnsi="Calibri"/>
                <w:sz w:val="19"/>
              </w:rPr>
              <w:t>Functional selected-docket query</w:t>
            </w:r>
          </w:p>
        </w:tc>
        <w:tc>
          <w:tcPr>
            <w:tcW w:type="dxa" w:w="4860"/>
            <w:tcMar>
              <w:top w:w="100" w:type="dxa"/>
              <w:start w:w="120" w:type="dxa"/>
              <w:bottom w:w="100" w:type="dxa"/>
              <w:end w:w="120" w:type="dxa"/>
            </w:tcMar>
            <w:vAlign w:val="center"/>
          </w:tcPr>
          <w:p>
            <w:pPr>
              <w:spacing w:after="40" w:line="240" w:lineRule="auto"/>
            </w:pPr>
            <w:r>
              <w:rPr>
                <w:rFonts w:ascii="Calibri" w:hAnsi="Calibri"/>
                <w:sz w:val="19"/>
              </w:rPr>
              <w:t>When a CPSC docket ID is available, the workspace paginates real public comment records from the Regulations.gov comments endpoint; it never substitutes samples.</w:t>
            </w:r>
          </w:p>
        </w:tc>
      </w:tr>
      <w:tr>
        <w:trPr>
          <w:cantSplit/>
        </w:trPr>
        <w:tc>
          <w:tcPr>
            <w:tcW w:type="dxa" w:w="2200"/>
            <w:tcMar>
              <w:top w:w="100" w:type="dxa"/>
              <w:start w:w="120" w:type="dxa"/>
              <w:bottom w:w="100" w:type="dxa"/>
              <w:end w:w="120" w:type="dxa"/>
            </w:tcMar>
            <w:vAlign w:val="center"/>
            <w:shd w:fill="F5F7F5"/>
          </w:tcPr>
          <w:p>
            <w:pPr>
              <w:spacing w:after="40" w:line="240" w:lineRule="auto"/>
            </w:pPr>
            <w:r>
              <w:rPr>
                <w:rFonts w:ascii="Calibri" w:hAnsi="Calibri"/>
                <w:sz w:val="19"/>
              </w:rPr>
              <w:t>Issue analysis</w:t>
            </w:r>
          </w:p>
        </w:tc>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Explicitly unavailable without evidence</w:t>
            </w:r>
          </w:p>
        </w:tc>
        <w:tc>
          <w:tcPr>
            <w:tcW w:type="dxa" w:w="4860"/>
            <w:tcMar>
              <w:top w:w="100" w:type="dxa"/>
              <w:start w:w="120" w:type="dxa"/>
              <w:bottom w:w="100" w:type="dxa"/>
              <w:end w:w="120" w:type="dxa"/>
            </w:tcMar>
            <w:vAlign w:val="center"/>
            <w:shd w:fill="F5F7F5"/>
          </w:tcPr>
          <w:p>
            <w:pPr>
              <w:spacing w:after="40" w:line="240" w:lineRule="auto"/>
            </w:pPr>
            <w:r>
              <w:rPr>
                <w:rFonts w:ascii="Calibri" w:hAnsi="Calibri"/>
                <w:sz w:val="19"/>
              </w:rPr>
              <w:t>The workspace shows verified metadata and source pointers but withholds topics, stances, and recommendations until a validated full-text and attachment evidence pipeline exists.</w:t>
            </w:r>
          </w:p>
        </w:tc>
      </w:tr>
      <w:tr>
        <w:trPr>
          <w:cantSplit/>
        </w:trPr>
        <w:tc>
          <w:tcPr>
            <w:tcW w:type="dxa" w:w="2200"/>
            <w:tcMar>
              <w:top w:w="100" w:type="dxa"/>
              <w:start w:w="120" w:type="dxa"/>
              <w:bottom w:w="100" w:type="dxa"/>
              <w:end w:w="120" w:type="dxa"/>
            </w:tcMar>
            <w:vAlign w:val="center"/>
          </w:tcPr>
          <w:p>
            <w:pPr>
              <w:spacing w:after="40" w:line="240" w:lineRule="auto"/>
            </w:pPr>
            <w:r>
              <w:rPr>
                <w:rFonts w:ascii="Calibri" w:hAnsi="Calibri"/>
                <w:sz w:val="19"/>
              </w:rPr>
              <w:t>Draft response</w:t>
            </w:r>
          </w:p>
        </w:tc>
        <w:tc>
          <w:tcPr>
            <w:tcW w:type="dxa" w:w="2300"/>
            <w:tcMar>
              <w:top w:w="100" w:type="dxa"/>
              <w:start w:w="120" w:type="dxa"/>
              <w:bottom w:w="100" w:type="dxa"/>
              <w:end w:w="120" w:type="dxa"/>
            </w:tcMar>
            <w:vAlign w:val="center"/>
          </w:tcPr>
          <w:p>
            <w:pPr>
              <w:spacing w:after="40" w:line="240" w:lineRule="auto"/>
            </w:pPr>
            <w:r>
              <w:rPr>
                <w:rFonts w:ascii="Calibri" w:hAnsi="Calibri"/>
                <w:sz w:val="19"/>
              </w:rPr>
              <w:t>Empty human-authored workspace</w:t>
            </w:r>
          </w:p>
        </w:tc>
        <w:tc>
          <w:tcPr>
            <w:tcW w:type="dxa" w:w="4860"/>
            <w:tcMar>
              <w:top w:w="100" w:type="dxa"/>
              <w:start w:w="120" w:type="dxa"/>
              <w:bottom w:w="100" w:type="dxa"/>
              <w:end w:w="120" w:type="dxa"/>
            </w:tcMar>
            <w:vAlign w:val="center"/>
          </w:tcPr>
          <w:p>
            <w:pPr>
              <w:spacing w:after="40" w:line="240" w:lineRule="auto"/>
            </w:pPr>
            <w:r>
              <w:rPr>
                <w:rFonts w:ascii="Calibri" w:hAnsi="Calibri"/>
                <w:sz w:val="19"/>
              </w:rPr>
              <w:t>Notes begin empty, are tied to the selected document ID, and persist only in that browser; they are not generated, source-grounded, or agency approved.</w:t>
            </w:r>
          </w:p>
        </w:tc>
      </w:tr>
      <w:tr>
        <w:trPr>
          <w:cantSplit/>
        </w:trPr>
        <w:tc>
          <w:tcPr>
            <w:tcW w:type="dxa" w:w="2200"/>
            <w:tcMar>
              <w:top w:w="100" w:type="dxa"/>
              <w:start w:w="120" w:type="dxa"/>
              <w:bottom w:w="100" w:type="dxa"/>
              <w:end w:w="120" w:type="dxa"/>
            </w:tcMar>
            <w:vAlign w:val="center"/>
            <w:shd w:fill="F5F7F5"/>
          </w:tcPr>
          <w:p>
            <w:pPr>
              <w:spacing w:after="40" w:line="240" w:lineRule="auto"/>
            </w:pPr>
            <w:r>
              <w:rPr>
                <w:rFonts w:ascii="Calibri" w:hAnsi="Calibri"/>
                <w:sz w:val="19"/>
              </w:rPr>
              <w:t>How-it-works guide</w:t>
            </w:r>
          </w:p>
        </w:tc>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Embedded live onboarding</w:t>
            </w:r>
          </w:p>
        </w:tc>
        <w:tc>
          <w:tcPr>
            <w:tcW w:type="dxa" w:w="4860"/>
            <w:tcMar>
              <w:top w:w="100" w:type="dxa"/>
              <w:start w:w="120" w:type="dxa"/>
              <w:bottom w:w="100" w:type="dxa"/>
              <w:end w:w="120" w:type="dxa"/>
            </w:tcMar>
            <w:vAlign w:val="center"/>
            <w:shd w:fill="F5F7F5"/>
          </w:tcPr>
          <w:p>
            <w:pPr>
              <w:spacing w:after="40" w:line="240" w:lineRule="auto"/>
            </w:pPr>
            <w:r>
              <w:rPr>
                <w:rFonts w:ascii="Calibri" w:hAnsi="Calibri"/>
                <w:sz w:val="19"/>
              </w:rPr>
              <w:t>Explains the current source flow, the default rolling 12-month Regulations.gov boundary, and the optional historical Federal Register scope.</w:t>
            </w:r>
          </w:p>
        </w:tc>
      </w:tr>
      <w:tr>
        <w:trPr>
          <w:cantSplit/>
        </w:trPr>
        <w:tc>
          <w:tcPr>
            <w:tcW w:type="dxa" w:w="2200"/>
            <w:tcMar>
              <w:top w:w="100" w:type="dxa"/>
              <w:start w:w="120" w:type="dxa"/>
              <w:bottom w:w="100" w:type="dxa"/>
              <w:end w:w="120" w:type="dxa"/>
            </w:tcMar>
            <w:vAlign w:val="center"/>
          </w:tcPr>
          <w:p>
            <w:pPr>
              <w:spacing w:after="40" w:line="240" w:lineRule="auto"/>
            </w:pPr>
            <w:r>
              <w:rPr>
                <w:rFonts w:ascii="Calibri" w:hAnsi="Calibri"/>
                <w:sz w:val="19"/>
              </w:rPr>
              <w:t>Live CPSC document search</w:t>
            </w:r>
          </w:p>
        </w:tc>
        <w:tc>
          <w:tcPr>
            <w:tcW w:type="dxa" w:w="2300"/>
            <w:tcMar>
              <w:top w:w="100" w:type="dxa"/>
              <w:start w:w="120" w:type="dxa"/>
              <w:bottom w:w="100" w:type="dxa"/>
              <w:end w:w="120" w:type="dxa"/>
            </w:tcMar>
            <w:vAlign w:val="center"/>
          </w:tcPr>
          <w:p>
            <w:pPr>
              <w:spacing w:after="40" w:line="240" w:lineRule="auto"/>
            </w:pPr>
            <w:r>
              <w:rPr>
                <w:rFonts w:ascii="Calibri" w:hAnsi="Calibri"/>
                <w:sz w:val="19"/>
              </w:rPr>
              <w:t>Functional public-source query</w:t>
            </w:r>
          </w:p>
        </w:tc>
        <w:tc>
          <w:tcPr>
            <w:tcW w:type="dxa" w:w="4860"/>
            <w:tcMar>
              <w:top w:w="100" w:type="dxa"/>
              <w:start w:w="120" w:type="dxa"/>
              <w:bottom w:w="100" w:type="dxa"/>
              <w:end w:w="120" w:type="dxa"/>
            </w:tcMar>
            <w:vAlign w:val="center"/>
          </w:tcPr>
          <w:p>
            <w:pPr>
              <w:spacing w:after="40" w:line="240" w:lineRule="auto"/>
            </w:pPr>
            <w:r>
              <w:rPr>
                <w:rFonts w:ascii="Calibri" w:hAnsi="Calibri"/>
                <w:sz w:val="19"/>
              </w:rPr>
              <w:t>A validated topic term defaults to the Regulations.gov v4 documents endpoint with agency CPSC and a rolling 12-month posted-date filter. For older topics, the user may select an official FederalRegister.gov historical search with no publication-date filter. If Regulations.gov is rate-limited or unavailable in the default scope, the interface also labels and uses the narrower Federal Register fallback. Results include official links, retrieval time, selected scope, pagination, and coverage limits.</w:t>
            </w:r>
          </w:p>
        </w:tc>
      </w:tr>
      <w:tr>
        <w:trPr>
          <w:cantSplit/>
        </w:trPr>
        <w:tc>
          <w:tcPr>
            <w:tcW w:type="dxa" w:w="2200"/>
            <w:tcMar>
              <w:top w:w="100" w:type="dxa"/>
              <w:start w:w="120" w:type="dxa"/>
              <w:bottom w:w="100" w:type="dxa"/>
              <w:end w:w="120" w:type="dxa"/>
            </w:tcMar>
            <w:vAlign w:val="center"/>
            <w:shd w:fill="F5F7F5"/>
          </w:tcPr>
          <w:p>
            <w:pPr>
              <w:spacing w:after="40" w:line="240" w:lineRule="auto"/>
            </w:pPr>
            <w:r>
              <w:rPr>
                <w:rFonts w:ascii="Calibri" w:hAnsi="Calibri"/>
                <w:sz w:val="19"/>
              </w:rPr>
              <w:t>Durable review persistence</w:t>
            </w:r>
          </w:p>
        </w:tc>
        <w:tc>
          <w:tcPr>
            <w:tcW w:type="dxa" w:w="2300"/>
            <w:tcMar>
              <w:top w:w="100" w:type="dxa"/>
              <w:start w:w="120" w:type="dxa"/>
              <w:bottom w:w="100" w:type="dxa"/>
              <w:end w:w="120" w:type="dxa"/>
            </w:tcMar>
            <w:vAlign w:val="center"/>
            <w:shd w:fill="F5F7F5"/>
          </w:tcPr>
          <w:p>
            <w:pPr>
              <w:spacing w:after="40" w:line="240" w:lineRule="auto"/>
            </w:pPr>
            <w:r>
              <w:rPr>
                <w:rFonts w:ascii="Calibri" w:hAnsi="Calibri"/>
                <w:sz w:val="19"/>
              </w:rPr>
              <w:t>Not implemented in the deployed interface</w:t>
            </w:r>
          </w:p>
        </w:tc>
        <w:tc>
          <w:tcPr>
            <w:tcW w:type="dxa" w:w="4860"/>
            <w:tcMar>
              <w:top w:w="100" w:type="dxa"/>
              <w:start w:w="120" w:type="dxa"/>
              <w:bottom w:w="100" w:type="dxa"/>
              <w:end w:w="120" w:type="dxa"/>
            </w:tcMar>
            <w:vAlign w:val="center"/>
            <w:shd w:fill="F5F7F5"/>
          </w:tcPr>
          <w:p>
            <w:pPr>
              <w:spacing w:after="40" w:line="240" w:lineRule="auto"/>
            </w:pPr>
            <w:r>
              <w:rPr>
                <w:rFonts w:ascii="Calibri" w:hAnsi="Calibri"/>
                <w:sz w:val="19"/>
              </w:rPr>
              <w:t>Edits and dispositions are not yet committed to PostgreSQL or a production audit log.</w:t>
            </w:r>
          </w:p>
        </w:tc>
      </w:tr>
      <w:tr>
        <w:trPr>
          <w:cantSplit/>
        </w:trPr>
        <w:tc>
          <w:tcPr>
            <w:tcW w:type="dxa" w:w="2200"/>
            <w:tcMar>
              <w:top w:w="100" w:type="dxa"/>
              <w:start w:w="120" w:type="dxa"/>
              <w:bottom w:w="100" w:type="dxa"/>
              <w:end w:w="120" w:type="dxa"/>
            </w:tcMar>
            <w:vAlign w:val="center"/>
          </w:tcPr>
          <w:p>
            <w:pPr>
              <w:spacing w:after="40" w:line="240" w:lineRule="auto"/>
            </w:pPr>
            <w:r>
              <w:rPr>
                <w:rFonts w:ascii="Calibri" w:hAnsi="Calibri"/>
                <w:sz w:val="19"/>
              </w:rPr>
              <w:t>Production agent execution</w:t>
            </w:r>
          </w:p>
        </w:tc>
        <w:tc>
          <w:tcPr>
            <w:tcW w:type="dxa" w:w="2300"/>
            <w:tcMar>
              <w:top w:w="100" w:type="dxa"/>
              <w:start w:w="120" w:type="dxa"/>
              <w:bottom w:w="100" w:type="dxa"/>
              <w:end w:w="120" w:type="dxa"/>
            </w:tcMar>
            <w:vAlign w:val="center"/>
          </w:tcPr>
          <w:p>
            <w:pPr>
              <w:spacing w:after="40" w:line="240" w:lineRule="auto"/>
            </w:pPr>
            <w:r>
              <w:rPr>
                <w:rFonts w:ascii="Calibri" w:hAnsi="Calibri"/>
                <w:sz w:val="19"/>
              </w:rPr>
              <w:t>Architecture and starter scaffold only</w:t>
            </w:r>
          </w:p>
        </w:tc>
        <w:tc>
          <w:tcPr>
            <w:tcW w:type="dxa" w:w="4860"/>
            <w:tcMar>
              <w:top w:w="100" w:type="dxa"/>
              <w:start w:w="120" w:type="dxa"/>
              <w:bottom w:w="100" w:type="dxa"/>
              <w:end w:w="120" w:type="dxa"/>
            </w:tcMar>
            <w:vAlign w:val="center"/>
          </w:tcPr>
          <w:p>
            <w:pPr>
              <w:spacing w:after="40" w:line="240" w:lineRule="auto"/>
            </w:pPr>
            <w:r>
              <w:rPr>
                <w:rFonts w:ascii="Calibri" w:hAnsi="Calibri"/>
                <w:sz w:val="19"/>
              </w:rPr>
              <w:t>The interface does not presently run the six agents or Temporal workflow on demand.</w:t>
            </w:r>
          </w:p>
        </w:tc>
      </w:tr>
    </w:tbl>
    <w:p>
      <w:pPr>
        <w:pStyle w:val="Heading1"/>
      </w:pPr>
      <w:r>
        <w:t>7. From live query to human-reviewed recommendation</w:t>
      </w:r>
    </w:p>
    <w:p>
      <w:r>
        <w:t>The deployed interface executes an official-source research flow. By default, a query searches Regulations.gov CPSC document records posted during the rolling 12 months ending on the retrieval date. For older topics—such as a notice that predates that window—the user may select “Historical Federal Register records,” which queries official CPSC Federal Register records without a publication-date filter. Selecting a result drives verified metadata and selected-docket comment lookup when the official metadata supplies a docket ID. Issue analysis is withheld, and the draft area begins empty, unless a future validated evidence pipeline is implemented.</w:t>
      </w:r>
    </w:p>
    <w:p>
      <w:pPr>
        <w:pStyle w:val="ListNumber"/>
      </w:pPr>
      <w:r>
        <w:rPr>
          <w:b/>
        </w:rPr>
        <w:t xml:space="preserve">Run the live search: </w:t>
      </w:r>
      <w:r>
        <w:t>Validate a 2–80 character topic term. In the default scope, query Regulations.gov with agency=CPSC and postedDate greater than or equal to the date 12 calendar months before retrieval. In the historical scope, query official CPSC Federal Register records without a publication-date filter. Display at most 20 records per page and the first five pages, and label the selected source and scope.</w:t>
      </w:r>
    </w:p>
    <w:p>
      <w:pPr>
        <w:pStyle w:val="ListNumber"/>
      </w:pPr>
      <w:r>
        <w:rPr>
          <w:b/>
        </w:rPr>
        <w:t xml:space="preserve">Review authoritative results: </w:t>
      </w:r>
      <w:r>
        <w:t>Show document type, posted date, official document and docket links, retrieval time, total reported matches, page information, and the exact date window. On an API failure, show an error rather than substitute demo records.</w:t>
      </w:r>
    </w:p>
    <w:p>
      <w:pPr>
        <w:pStyle w:val="ListNumber"/>
      </w:pPr>
      <w:r>
        <w:rPr>
          <w:b/>
        </w:rPr>
        <w:t xml:space="preserve">Display the notice: </w:t>
      </w:r>
      <w:r>
        <w:t>Show the controlling RFI text, dates, questions, and evaluation criteria with citations to the exact source blocks.</w:t>
      </w:r>
    </w:p>
    <w:p>
      <w:pPr>
        <w:pStyle w:val="ListNumber"/>
      </w:pPr>
      <w:r>
        <w:rPr>
          <w:b/>
        </w:rPr>
        <w:t xml:space="preserve">List public submissions: </w:t>
      </w:r>
      <w:r>
        <w:t>When the selected record includes a docket ID, retrieve and paginate official public comment records. Do not infer comment positions from listing metadata.</w:t>
      </w:r>
    </w:p>
    <w:p>
      <w:pPr>
        <w:pStyle w:val="ListNumber"/>
      </w:pPr>
      <w:r>
        <w:rPr>
          <w:b/>
        </w:rPr>
        <w:t xml:space="preserve">Link regulatory context: </w:t>
      </w:r>
      <w:r>
        <w:t>Resolve cited RINs on Reginfo.gov for a named agenda edition without treating agenda metadata as comment evidence.</w:t>
      </w:r>
    </w:p>
    <w:p>
      <w:pPr>
        <w:pStyle w:val="ListNumber"/>
      </w:pPr>
      <w:r>
        <w:rPr>
          <w:b/>
        </w:rPr>
        <w:t xml:space="preserve">Withhold unsupported analysis: </w:t>
      </w:r>
      <w:r>
        <w:t>Show that automated issues and topics are not available when validated full text, attachments, and exact passage support have not been acquired.</w:t>
      </w:r>
    </w:p>
    <w:p>
      <w:pPr>
        <w:pStyle w:val="ListNumber"/>
      </w:pPr>
      <w:r>
        <w:rPr>
          <w:b/>
        </w:rPr>
        <w:t xml:space="preserve">Expose provenance and limits: </w:t>
      </w:r>
      <w:r>
        <w:t>Display source, retrieval time, exact rolling window, pagination, coverage limits, and source-backed empty or error states.</w:t>
      </w:r>
    </w:p>
    <w:p>
      <w:pPr>
        <w:pStyle w:val="ListNumber"/>
      </w:pPr>
      <w:r>
        <w:rPr>
          <w:b/>
        </w:rPr>
        <w:t xml:space="preserve">Open a human draft: </w:t>
      </w:r>
      <w:r>
        <w:t>Provide an empty document-specific text area stored only in the current browser; do not imply that it was generated from the live record.</w:t>
      </w:r>
    </w:p>
    <w:p>
      <w:pPr>
        <w:pStyle w:val="ListNumber"/>
      </w:pPr>
      <w:r>
        <w:rPr>
          <w:b/>
        </w:rPr>
        <w:t xml:space="preserve">Require authorized review: </w:t>
      </w:r>
      <w:r>
        <w:t>Any later analysis or recommendation must be verified by authorized reviewers; the workspace cannot approve agency policy.</w:t>
      </w:r>
    </w:p>
    <w:p>
      <w:pPr>
        <w:pStyle w:val="Heading1"/>
      </w:pPr>
      <w:r>
        <w:t>8. Limitations and safeguards</w:t>
      </w:r>
    </w:p>
    <w:p>
      <w:r>
        <w:rPr>
          <w:b/>
        </w:rPr>
        <w:t xml:space="preserve">Public-source limitations. </w:t>
      </w:r>
      <w:r>
        <w:t>Default live search covers the Regulations.gov documents endpoint for CPSC records in a rolling 12-month scope, with 20 records per page and at most five pages. Historical search covers official CPSC Federal Register records without a publication-date filter; it is not a claim of every historical CPSC or Regulations.gov record. The FederalRegister.gov historical/fallback path unions up to 1,000 matches for each of the first five query terms, removes duplicates, ranks title-term overlap, and exposes at most five pages. The workspace does not claim complete coverage of comments or attachments. Records can be corrected, withdrawn, or posted after retrieval.</w:t>
      </w:r>
    </w:p>
    <w:p>
      <w:r>
        <w:rPr>
          <w:b/>
        </w:rPr>
        <w:t xml:space="preserve">Analytical limitations. </w:t>
      </w:r>
      <w:r>
        <w:t>Semantic clustering can merge distinct proposals or split related ones. Confidence scores are triage aids, not accuracy guarantees.</w:t>
      </w:r>
    </w:p>
    <w:p>
      <w:r>
        <w:rPr>
          <w:b/>
        </w:rPr>
        <w:t xml:space="preserve">Evidence limitations. </w:t>
      </w:r>
      <w:r>
        <w:t>A submission proves what was submitted, not the truth of its factual claims. Reginfo.gov shows agenda metadata, not final legal effect.</w:t>
      </w:r>
    </w:p>
    <w:p>
      <w:r>
        <w:rPr>
          <w:b/>
        </w:rPr>
        <w:t xml:space="preserve">Governance limitations. </w:t>
      </w:r>
      <w:r>
        <w:t>A polished draft can still be legally, technically, or economically wrong. Human reviewers must verify authority, safety evidence, policy, and citations.</w:t>
      </w:r>
    </w:p>
    <w:p>
      <w:r>
        <w:rPr>
          <w:b/>
        </w:rPr>
        <w:t xml:space="preserve">Workspace limitations. </w:t>
      </w:r>
      <w:r>
        <w:t>The deployed workspace has live bounded document search, an independent executive overview, selected-record metadata, and selected-docket comment listing. It deliberately does not generate issue analysis or recommended responses without sufficient validated source text. It is not a system of record and does not make agency decisions.</w:t>
      </w:r>
    </w:p>
    <w:p>
      <w:pPr>
        <w:pStyle w:val="Heading2"/>
      </w:pPr>
      <w:r>
        <w:t>Operational acceptance checks</w:t>
      </w:r>
    </w:p>
    <w:p>
      <w:pPr>
        <w:pStyle w:val="ListBullet"/>
      </w:pPr>
      <w:r>
        <w:t>All expected non-withdrawn submissions are accounted for at the recorded retrieval time.</w:t>
      </w:r>
    </w:p>
    <w:p>
      <w:pPr>
        <w:pStyle w:val="ListBullet"/>
      </w:pPr>
      <w:r>
        <w:t>Every attachment and parsed block resolves to a stored source snapshot and hash.</w:t>
      </w:r>
    </w:p>
    <w:p>
      <w:pPr>
        <w:pStyle w:val="ListBullet"/>
      </w:pPr>
      <w:r>
        <w:t>Every substantive machine statement has at least one citation.</w:t>
      </w:r>
    </w:p>
    <w:p>
      <w:pPr>
        <w:pStyle w:val="ListBullet"/>
      </w:pPr>
      <w:r>
        <w:t>Every cited RIN is tied to a named Unified Agenda publication edition.</w:t>
      </w:r>
    </w:p>
    <w:p>
      <w:pPr>
        <w:pStyle w:val="ListBullet"/>
      </w:pPr>
      <w:r>
        <w:t>No machine actor created a human approval state.</w:t>
      </w:r>
    </w:p>
    <w:p>
      <w:pPr>
        <w:pStyle w:val="ListBullet"/>
      </w:pPr>
      <w:r>
        <w:t>Unsupported or ambiguous substantive claims are blocked or explicitly queued for review.</w:t>
      </w:r>
    </w:p>
    <w:p>
      <w:pPr>
        <w:pStyle w:val="ListBullet"/>
      </w:pPr>
      <w:r>
        <w:t>Final manifest pins source hashes, model/config versions, agent versions, and completed review actions.</w:t>
      </w:r>
    </w:p>
    <w:p>
      <w:r>
        <w:br w:type="page"/>
      </w:r>
    </w:p>
    <w:p>
      <w:pPr>
        <w:pStyle w:val="Heading1"/>
      </w:pPr>
      <w:r>
        <w:t>Sources</w:t>
      </w:r>
    </w:p>
    <w:p>
      <w:pPr>
        <w:pStyle w:val="SourceNote"/>
      </w:pPr>
      <w:hyperlink r:id="rId11">
        <w:r>
          <w:rPr>
            <w:color w:val="2E74B5"/>
            <w:u w:val="single"/>
          </w:rPr>
          <w:t>CPSC docket CPSC-2025-0009</w:t>
        </w:r>
      </w:hyperlink>
      <w:r>
        <w:br/>
        <w:t>https://www.regulations.gov/docket/CPSC-2025-0009</w:t>
      </w:r>
    </w:p>
    <w:p>
      <w:pPr>
        <w:pStyle w:val="SourceNote"/>
      </w:pPr>
      <w:hyperlink r:id="rId12">
        <w:r>
          <w:rPr>
            <w:color w:val="2E74B5"/>
            <w:u w:val="single"/>
          </w:rPr>
          <w:t>Federal Register notice 2025-10686 (90 FR 24791)</w:t>
        </w:r>
      </w:hyperlink>
      <w:r>
        <w:br/>
        <w:t>https://www.federalregister.gov/documents/2025/06/12/2025-10686/request-for-information-reducing-regulatory-burdens</w:t>
      </w:r>
    </w:p>
    <w:p>
      <w:pPr>
        <w:pStyle w:val="SourceNote"/>
      </w:pPr>
      <w:hyperlink r:id="rId16">
        <w:r>
          <w:rPr>
            <w:color w:val="2E74B5"/>
            <w:u w:val="single"/>
          </w:rPr>
          <w:t>Regulations.gov API documentation</w:t>
        </w:r>
      </w:hyperlink>
      <w:r>
        <w:br/>
        <w:t>https://open.gsa.gov/api/regulationsgov/</w:t>
      </w:r>
    </w:p>
    <w:p>
      <w:pPr>
        <w:pStyle w:val="SourceNote"/>
      </w:pPr>
      <w:hyperlink r:id="rId17">
        <w:r>
          <w:rPr>
            <w:color w:val="2E74B5"/>
            <w:u w:val="single"/>
          </w:rPr>
          <w:t>Reginfo.gov Unified Agenda</w:t>
        </w:r>
      </w:hyperlink>
      <w:r>
        <w:br/>
        <w:t>https://www.reginfo.gov/public/do/eAgendaMain</w:t>
      </w:r>
    </w:p>
    <w:p>
      <w:pPr>
        <w:pStyle w:val="SourceNote"/>
      </w:pPr>
      <w:hyperlink r:id="rId18">
        <w:r>
          <w:rPr>
            <w:color w:val="2E74B5"/>
            <w:u w:val="single"/>
          </w:rPr>
          <w:t>Reginfo.gov XML reports</w:t>
        </w:r>
      </w:hyperlink>
      <w:r>
        <w:br/>
        <w:t>https://www.reginfo.gov/public/do/eAgendaXmlReport</w:t>
      </w:r>
    </w:p>
    <w:p>
      <w:pPr>
        <w:pStyle w:val="SourceNote"/>
      </w:pPr>
      <w:hyperlink r:id="rId13">
        <w:r>
          <w:rPr>
            <w:color w:val="2E74B5"/>
            <w:u w:val="single"/>
          </w:rPr>
          <w:t>Agent Foundry configuration</w:t>
        </w:r>
      </w:hyperlink>
      <w:r>
        <w:br/>
        <w:t>https://boozallen.github.io/agent-foundry/docs/baselines/strands-base-agent/configuration</w:t>
      </w:r>
    </w:p>
    <w:p>
      <w:pPr>
        <w:pStyle w:val="SourceNote"/>
      </w:pPr>
      <w:hyperlink r:id="rId14">
        <w:r>
          <w:rPr>
            <w:color w:val="2E74B5"/>
            <w:u w:val="single"/>
          </w:rPr>
          <w:t>Agent Foundry A2A protocol</w:t>
        </w:r>
      </w:hyperlink>
      <w:r>
        <w:br/>
        <w:t>https://boozallen.github.io/agent-foundry/docs/baselines/strands-base-agent/guides/a2a-protocol</w:t>
      </w:r>
    </w:p>
    <w:p>
      <w:pPr>
        <w:pStyle w:val="SourceNote"/>
      </w:pPr>
      <w:hyperlink r:id="rId15">
        <w:r>
          <w:rPr>
            <w:color w:val="2E74B5"/>
            <w:u w:val="single"/>
          </w:rPr>
          <w:t>Agent Foundry MCP servers</w:t>
        </w:r>
      </w:hyperlink>
      <w:r>
        <w:br/>
        <w:t>https://boozallen.github.io/agent-foundry/docs/baselines/strands-base-agent/guides/mcp-servers</w:t>
      </w:r>
    </w:p>
    <w:p>
      <w:pPr>
        <w:pStyle w:val="SourceNote"/>
      </w:pPr>
      <w:r>
        <w:t>Prepared as a methodology and operating guide. This document does not state or imply an official CPSC determination.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068"/>
        <w:sz w:val="16"/>
      </w:rPr>
      <w:t xml:space="preserve">Methodology and operating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D9DEDB"/>
      </w:pBdr>
    </w:pPr>
    <w:r>
      <w:rPr>
        <w:rFonts w:ascii="Calibri" w:hAnsi="Calibri"/>
        <w:b/>
        <w:color w:val="617068"/>
        <w:sz w:val="16"/>
      </w:rPr>
      <w:t>REGULATORY ANALYSIS FOUNDRY  |  CPSC-2025-0009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5A4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A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7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72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170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80"/>
    </w:pPr>
    <w:rPr>
      <w:rFonts w:ascii="Calibri" w:hAnsi="Calibri"/>
      <w:color w:val="6170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gulations.gov/docket/CPSC-2025-0009" TargetMode="External"/><Relationship Id="rId12" Type="http://schemas.openxmlformats.org/officeDocument/2006/relationships/hyperlink" Target="https://www.federalregister.gov/documents/2025/06/12/2025-10686/request-for-information-reducing-regulatory-burdens" TargetMode="External"/><Relationship Id="rId13" Type="http://schemas.openxmlformats.org/officeDocument/2006/relationships/hyperlink" Target="https://boozallen.github.io/agent-foundry/docs/baselines/strands-base-agent/configuration" TargetMode="External"/><Relationship Id="rId14" Type="http://schemas.openxmlformats.org/officeDocument/2006/relationships/hyperlink" Target="https://boozallen.github.io/agent-foundry/docs/baselines/strands-base-agent/guides/a2a-protocol" TargetMode="External"/><Relationship Id="rId15" Type="http://schemas.openxmlformats.org/officeDocument/2006/relationships/hyperlink" Target="https://boozallen.github.io/agent-foundry/docs/baselines/strands-base-agent/guides/mcp-servers" TargetMode="External"/><Relationship Id="rId16" Type="http://schemas.openxmlformats.org/officeDocument/2006/relationships/hyperlink" Target="https://open.gsa.gov/api/regulationsgov/" TargetMode="External"/><Relationship Id="rId17" Type="http://schemas.openxmlformats.org/officeDocument/2006/relationships/hyperlink" Target="https://www.reginfo.gov/public/do/eAgendaMain" TargetMode="External"/><Relationship Id="rId18" Type="http://schemas.openxmlformats.org/officeDocument/2006/relationships/hyperlink" Target="https://www.reginfo.gov/public/do/eAgendaXm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Analysis Foundry Methodology — CPSC-2025-0009</dc:title>
  <dc:subject>Authoritative-source workflow, agent architecture, human review, and prototype limitations</dc:subject>
  <dc:creator>Regulatory Analysis Foundry</dc:creator>
  <cp:keywords>CPSC, regulations.gov, reginfo.gov, Agent Foundry, regulatory analysis, human review</cp:keywords>
  <dc:description>generated by python-docx</dc:description>
  <cp:lastModifiedBy/>
  <cp:revision>1</cp:revision>
  <dcterms:created xsi:type="dcterms:W3CDTF">2013-12-23T23:15:00Z</dcterms:created>
  <dcterms:modified xsi:type="dcterms:W3CDTF">2013-12-23T23:15:00Z</dcterms:modified>
  <cp:category/>
</cp:coreProperties>
</file>