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Retrieved live from the selected official endpoint and labeled with retrieval time</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interface does not present a permanently hard-coded comment or document total.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Public live-source research interface with deterministic public-comment theme grouping and device-local audit events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connected to a production database, identity-bound approval service, immutable audit store, or live six-agent workflow.</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cantSplit/>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cantSplit/>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12 months ending at retrieval, with official totals, supported type/cadence breakdowns, latest records, source, and caveats. If Regulations.gov is rate-limited or unavailable, an explicitly identified FederalRegister.gov fallback supplies the narrower Federal Register record view.</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Regulation metadata, docket comment lookup, source-grounded comment-theme grouping, draft notes, and QA. The executive overview remains an independent agency-wide view. A new query or clear action removes stale state.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public-comment theme grouping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For selected records with a docket ID, the workspace retrieves accessible official Regulations.gov public-comment metadata and text, then applies a disclosed deterministic taxonomy. Theme rows list official comment IDs, source links, retrieval time, and exact published submitter name/organization fields; unavailable or redacted fields are labeled. Rows remain unreviewed and are pattern groupings—not findings or legal conclusions.</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executive-overview-first flow, live source scopes, selected-record review, public-comment theme grouping, audit trail, and human-review boundary; it includes a prominent Word methodology download.</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defaults to the Regulations.gov v4 documents endpoint with agency CPSC and a rolling 12-month posted-date filter. For older topics, the user may select an official FederalRegister.gov historical search with no publication-date filter. If Regulations.gov is rate-limited or unavailable in the default scope, the interface also labels and uses the narrower Federal Register fallback. Results include official links, retrieval time, selected scope, pagination, and coverage limits.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Audit trail</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device-local record</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browser records query/scope/source/retrieval metadata, selected record and docket, comment retrieval, full-text analysis inputs and algorithm version, outcomes, and draft saves. It persists only on that device and is not immutable, identity-bound, or a federal system of record.</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begins with an independent executive overview, then executes a selected-record official-source research flow. By default, search covers Regulations.gov CPSC document records posted during the rolling 12 months ending on retrieval. For older topics, the user may select “Historical Federal Register records.” Selecting a result drives verified metadata, selected-docket comment lookup when a docket ID exists, and deterministic grouping of accessible official public-comment text. The theme matrix cites official comment IDs and source links, preserves only published submitter fields, and remains unreviewed; the draft area begins empty and stays human-authored.</w:t>
      </w:r>
    </w:p>
    <w:p>
      <w:pPr>
        <w:pStyle w:val="ListNumber"/>
      </w:pPr>
      <w:r>
        <w:rPr>
          <w:b/>
        </w:rPr>
        <w:t xml:space="preserve">Run the live search: </w:t>
      </w:r>
      <w:r>
        <w:t>Validate a 2–80 character topic term. In the default scope, query Regulations.gov with agency=CPSC and postedDate greater than or equal to the date 12 calendar months before retrieval. In the historical scope, query official CPSC Federal Register records without a publication-date filter. Display at most 20 records per page and the first five pages, and label the selected source and scope.</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Default live search covers the Regulations.gov documents endpoint for CPSC records in a rolling 12-month scope, with 20 records per page and at most five pages. Historical search covers official CPSC Federal Register records without a publication-date filter; it is not a claim of every historical CPSC or Regulations.gov record. The FederalRegister.gov historical/fallback path unions up to 1,000 matches for each of the first five query terms, removes duplicates, ranks title-term overlap, and exposes at most five pages. The workspace does not claim complete coverage of comments or attachments.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selected-docket comment listing, deterministic theme grouping over accessible public comment text, and a device-local audit trail. The current run analyzes a disclosed subset because the public API is credential/rate limited; it does not analyze attachments, private fields, withdrawn comments, or unavailable text, and theme counts are not docket-wide prevalence. The audit trail is not immutable or server-persisted. The workspace does not generate recommended responses,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p>
      <w:pPr>
        <w:pStyle w:val="Heading2"/>
      </w:pPr>
      <w:r>
        <w:t>Comment-theme matrix and retrieval safeguards</w:t>
      </w:r>
    </w:p>
    <w:p>
      <w:pPr>
        <w:spacing w:after="120"/>
      </w:pPr>
      <w:r>
        <w:t>The Issues matrix groups accessible official public-comment text into general themes, such as consumer safety and risk. Theme counts represent supporting comments in the analyzed subset and are not docket-wide prevalence. Hazard domains are assigned at the individual-comment level, not at the theme level. A comment may receive multiple evidence-based hazard domains, including electrical, mechanical, thermal, chemical, fire/explosion, choking/ingestion, laceration, fall/tip-over, entrapment/strangulation, toxicological, and labeling/instruction. Each tag is based on disclosed whole-word or stem matches; unmatched comments are marked Unclear/Needs review. Successful official API responses are briefly cached, simultaneous duplicate requests are coalesced, and transient rate-limit or server failures use bounded exponential backoff with jitter and Retry-After timing when supplied. These controls reduce repeat traffic and make the service more resilient; they do not bypass official API limits.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