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pPr>
    </w:p>
    <w:p>
      <w:pPr>
        <w:jc w:val="center"/>
      </w:pPr>
      <w:r>
        <w:rPr>
          <w:b/>
          <w:color w:val="C39A4A"/>
          <w:sz w:val="20"/>
        </w:rPr>
        <w:t>METHODOLOGY &amp; OPERATING GUIDE</w:t>
      </w:r>
    </w:p>
    <w:p>
      <w:pPr>
        <w:pStyle w:val="Title"/>
        <w:jc w:val="center"/>
      </w:pPr>
      <w:r>
        <w:t>Regulatory Analysis Foundry</w:t>
      </w:r>
    </w:p>
    <w:p>
      <w:pPr>
        <w:pStyle w:val="Subtitle"/>
        <w:jc w:val="center"/>
      </w:pPr>
      <w:r>
        <w:t>From authoritative public records to human-reviewed recommendations</w:t>
      </w:r>
    </w:p>
    <w:p>
      <w:pPr>
        <w:jc w:val="center"/>
      </w:pPr>
      <w:r>
        <w:rPr>
          <w:b/>
          <w:color w:val="1F5A46"/>
          <w:sz w:val="24"/>
        </w:rPr>
        <w:t>CPSC Request for Information: Reducing Regulatory Burdens</w:t>
        <w:br/>
        <w:t>Docket CPSC-2025-0009</w:t>
      </w:r>
    </w:p>
    <w:p>
      <w:pPr>
        <w:spacing w:after="560"/>
      </w:pPr>
    </w:p>
    <w:tbl>
      <w:tblPr>
        <w:tblStyle w:val="TableGrid"/>
        <w:tblW w:type="dxa" w:w="9360"/>
        <w:jc w:val="left"/>
        <w:tblLayout w:type="fixed"/>
        <w:tblLook w:firstColumn="1" w:firstRow="1" w:lastColumn="0" w:lastRow="0" w:noHBand="0" w:noVBand="1" w:val="04A0"/>
        <w:tblInd w:w="120" w:type="dxa"/>
      </w:tblPr>
      <w:tblGrid>
        <w:gridCol w:w="9360"/>
      </w:tblGrid>
      <w:tr>
        <w:trPr>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PURPOSE</w:t>
            </w:r>
          </w:p>
          <w:p>
            <w:pPr>
              <w:spacing w:after="40" w:line="259" w:lineRule="auto"/>
            </w:pPr>
            <w:r>
              <w:t>This guide explains the proposed six-agent architecture, the verified public-source workflow, the analysis and review controls, and what the current CPSC Regulatory Review Workspace does—and does not—do.</w:t>
            </w:r>
          </w:p>
        </w:tc>
      </w:tr>
    </w:tbl>
    <w:p>
      <w:pPr>
        <w:spacing w:after="40"/>
      </w:pPr>
    </w:p>
    <w:p>
      <w:pPr>
        <w:jc w:val="center"/>
      </w:pPr>
      <w:r>
        <w:rPr>
          <w:color w:val="617068"/>
          <w:sz w:val="18"/>
        </w:rPr>
        <w:t>Verification date: August 18, 2026</w:t>
      </w:r>
    </w:p>
    <w:p>
      <w:r>
        <w:br w:type="page"/>
      </w:r>
    </w:p>
    <w:p>
      <w:pPr>
        <w:pStyle w:val="Heading1"/>
      </w:pPr>
      <w:r>
        <w:t>Executive guide</w:t>
      </w:r>
    </w:p>
    <w:tbl>
      <w:tblPr>
        <w:tblStyle w:val="TableGrid"/>
        <w:tblW w:type="dxa" w:w="9360"/>
        <w:jc w:val="left"/>
        <w:tblLayout w:type="fixed"/>
        <w:tblLook w:firstColumn="1" w:firstRow="1" w:lastColumn="0" w:lastRow="0" w:noHBand="0" w:noVBand="1" w:val="04A0"/>
        <w:tblInd w:w="120" w:type="dxa"/>
      </w:tblPr>
      <w:tblGrid>
        <w:gridCol w:w="9360"/>
      </w:tblGrid>
      <w:tr>
        <w:trPr>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BOTTOM LINE</w:t>
            </w:r>
          </w:p>
          <w:p>
            <w:pPr>
              <w:spacing w:after="40" w:line="259" w:lineRule="auto"/>
            </w:pPr>
            <w:r>
              <w:t>The design treats source records, machine interpretation, and human determination as three different layers. Regulations.gov is the primary docket record. Reginfo.gov supplies linked Unified Agenda context for cited RINs, not evidence of what commenters said and not proof that an agency adopted a proposal. Draft recommendations remain agency work product until reviewed by authorized people.</w:t>
            </w:r>
          </w:p>
        </w:tc>
      </w:tr>
    </w:tbl>
    <w:p>
      <w:pPr>
        <w:spacing w:after="40"/>
      </w:pPr>
    </w:p>
    <w:p>
      <w:pPr>
        <w:pStyle w:val="Heading2"/>
      </w:pPr>
      <w:r>
        <w:t>What was verified</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rPr>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Item</w:t>
            </w:r>
          </w:p>
        </w:tc>
        <w:tc>
          <w:tcPr>
            <w:tcW w:type="dxa" w:w="31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Verified state</w:t>
            </w:r>
          </w:p>
        </w:tc>
        <w:tc>
          <w:tcPr>
            <w:tcW w:type="dxa" w:w="43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c>
          <w:tcPr>
            <w:tcW w:type="dxa" w:w="1900"/>
            <w:tcMar>
              <w:top w:w="100" w:type="dxa"/>
              <w:start w:w="120" w:type="dxa"/>
              <w:bottom w:w="100" w:type="dxa"/>
              <w:end w:w="120" w:type="dxa"/>
            </w:tcMar>
            <w:vAlign w:val="center"/>
          </w:tcPr>
          <w:p>
            <w:pPr>
              <w:spacing w:after="40" w:line="240" w:lineRule="auto"/>
            </w:pPr>
            <w:r>
              <w:rPr>
                <w:rFonts w:ascii="Calibri" w:hAnsi="Calibri"/>
                <w:sz w:val="19"/>
              </w:rPr>
              <w:t>Docket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CPSC-2025-0009; “Burden Reduction Request for Information”; Nonrulemaking</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The project is anchored to a specific CPSC public docket.</w:t>
            </w:r>
          </w:p>
        </w:tc>
      </w:tr>
      <w:t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Notice</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CPSC-2025-0009-0001; Federal Register document 2025-10686; 90 FR 24791</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notice is the controlling source for the request and comment framework.</w:t>
            </w:r>
          </w:p>
        </w:tc>
      </w:tr>
      <w:tr>
        <w:tc>
          <w:tcPr>
            <w:tcW w:type="dxa" w:w="1900"/>
            <w:tcMar>
              <w:top w:w="100" w:type="dxa"/>
              <w:start w:w="120" w:type="dxa"/>
              <w:bottom w:w="100" w:type="dxa"/>
              <w:end w:w="120" w:type="dxa"/>
            </w:tcMar>
            <w:vAlign w:val="center"/>
          </w:tcPr>
          <w:p>
            <w:pPr>
              <w:spacing w:after="40" w:line="240" w:lineRule="auto"/>
            </w:pPr>
            <w:r>
              <w:rPr>
                <w:rFonts w:ascii="Calibri" w:hAnsi="Calibri"/>
                <w:sz w:val="19"/>
              </w:rPr>
              <w:t>Public record count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1 notice/document and 31 public submissions returned by the Regulations.gov API</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This is a dated observation, not a permanently hard-coded total.</w:t>
            </w:r>
          </w:p>
        </w:tc>
      </w:tr>
      <w:t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Source roles</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Regulations.gov for docket records; Reginfo.gov for Unified Agenda/RIN context</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two sources are not interchangeable.</w:t>
            </w:r>
          </w:p>
        </w:tc>
      </w:tr>
      <w:tr>
        <w:tc>
          <w:tcPr>
            <w:tcW w:type="dxa" w:w="1900"/>
            <w:tcMar>
              <w:top w:w="100" w:type="dxa"/>
              <w:start w:w="120" w:type="dxa"/>
              <w:bottom w:w="100" w:type="dxa"/>
              <w:end w:w="120" w:type="dxa"/>
            </w:tcMar>
            <w:vAlign w:val="center"/>
          </w:tcPr>
          <w:p>
            <w:pPr>
              <w:spacing w:after="40" w:line="240" w:lineRule="auto"/>
            </w:pPr>
            <w:r>
              <w:rPr>
                <w:rFonts w:ascii="Calibri" w:hAnsi="Calibri"/>
                <w:sz w:val="19"/>
              </w:rPr>
              <w:t>Workspace</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Private deployed prototype with representative issue analysis and draft responses</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It is not yet connected to a live ingestion service, database, or production approval API.</w:t>
            </w:r>
          </w:p>
        </w:tc>
      </w:tr>
    </w:tbl>
    <w:p>
      <w:pPr>
        <w:pStyle w:val="SourceNote"/>
      </w:pPr>
      <w:r>
        <w:rPr>
          <w:b/>
        </w:rPr>
        <w:t xml:space="preserve">Primary docket: </w:t>
      </w:r>
      <w:hyperlink r:id="rId11">
        <w:r>
          <w:rPr>
            <w:color w:val="2E74B5"/>
            <w:u w:val="single"/>
          </w:rPr>
          <w:t>Regulations.gov — CPSC-2025-0009</w:t>
        </w:r>
      </w:hyperlink>
    </w:p>
    <w:p>
      <w:pPr>
        <w:pStyle w:val="SourceNote"/>
      </w:pPr>
      <w:r>
        <w:rPr>
          <w:b/>
        </w:rPr>
        <w:t xml:space="preserve">Published notice: </w:t>
      </w:r>
      <w:hyperlink r:id="rId12">
        <w:r>
          <w:rPr>
            <w:color w:val="2E74B5"/>
            <w:u w:val="single"/>
          </w:rPr>
          <w:t>Federal Register — 2025-10686</w:t>
        </w:r>
      </w:hyperlink>
    </w:p>
    <w:p>
      <w:pPr>
        <w:pStyle w:val="Heading2"/>
      </w:pPr>
      <w:r>
        <w:t>Caveat</w:t>
      </w:r>
    </w:p>
    <w:tbl>
      <w:tblPr>
        <w:tblStyle w:val="TableGrid"/>
        <w:tblW w:type="dxa" w:w="9360"/>
        <w:jc w:val="left"/>
        <w:tblLayout w:type="fixed"/>
        <w:tblLook w:firstColumn="1" w:firstRow="1" w:lastColumn="0" w:lastRow="0" w:noHBand="0" w:noVBand="1" w:val="04A0"/>
        <w:tblInd w:w="120" w:type="dxa"/>
      </w:tblPr>
      <w:tblGrid>
        <w:gridCol w:w="9360"/>
      </w:tblGrid>
      <w:tr>
        <w:trPr>
          <w:tblHeader/>
        </w:trPr>
        <w:tc>
          <w:tcPr>
            <w:tcW w:type="dxa" w:w="9360"/>
            <w:tcMar>
              <w:top w:w="100" w:type="dxa"/>
              <w:start w:w="120" w:type="dxa"/>
              <w:bottom w:w="100" w:type="dxa"/>
              <w:end w:w="120" w:type="dxa"/>
            </w:tcMar>
            <w:vAlign w:val="center"/>
            <w:shd w:fill="F4E4E1"/>
          </w:tcPr>
          <w:p>
            <w:pPr>
              <w:spacing w:after="60" w:line="240" w:lineRule="auto"/>
            </w:pPr>
            <w:r>
              <w:rPr>
                <w:b/>
                <w:color w:val="8C3A30"/>
                <w:sz w:val="18"/>
              </w:rPr>
              <w:t>NOT LEGAL ADVICE</w:t>
            </w:r>
          </w:p>
          <w:p>
            <w:pPr>
              <w:spacing w:after="40" w:line="259" w:lineRule="auto"/>
            </w:pPr>
            <w:r>
              <w:t>This methodology is a system design and analytical workflow. It is not legal advice, does not determine CPSC policy, and does not replace review by agency counsel, subject-matter experts, economists, technical staff, records officers, or authorized decision makers.</w:t>
            </w:r>
          </w:p>
        </w:tc>
      </w:tr>
    </w:tbl>
    <w:p>
      <w:pPr>
        <w:spacing w:after="40"/>
      </w:pPr>
    </w:p>
    <w:p>
      <w:pPr>
        <w:pStyle w:val="Heading1"/>
      </w:pPr>
      <w:r>
        <w:t>1. Architecture: six agents, four services, one durable workflow</w:t>
      </w:r>
    </w:p>
    <w:p>
      <w:r>
        <w:t>Agent Foundry supplies a configuration-first agent runtime and standardized A2A/MCP integration points. The regulatory domain contracts, evidence rules, database permissions, and review state machine sit above that runtime. The design uses structured messages and narrow tools instead of unrestricted natural-language delegation or direct database access.</w:t>
      </w:r>
    </w:p>
    <w:tbl>
      <w:tblPr>
        <w:tblStyle w:val="TableGrid"/>
        <w:tblW w:type="dxa" w:w="9360"/>
        <w:jc w:val="left"/>
        <w:tblLayout w:type="fixed"/>
        <w:tblLook w:firstColumn="1" w:firstRow="1" w:lastColumn="0" w:lastRow="0" w:noHBand="0" w:noVBand="1" w:val="04A0"/>
        <w:tblInd w:w="120" w:type="dxa"/>
      </w:tblPr>
      <w:tblGrid>
        <w:gridCol w:w="1900"/>
        <w:gridCol w:w="3800"/>
        <w:gridCol w:w="3660"/>
      </w:tblGrid>
      <w:tr>
        <w:trPr>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Agent</w:t>
            </w:r>
          </w:p>
        </w:tc>
        <w:tc>
          <w:tcPr>
            <w:tcW w:type="dxa" w:w="3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Job</w:t>
            </w:r>
          </w:p>
        </w:tc>
        <w:tc>
          <w:tcPr>
            <w:tcW w:type="dxa" w:w="36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Authority boundary</w:t>
            </w:r>
          </w:p>
        </w:tc>
      </w:tr>
      <w:tr>
        <w:tc>
          <w:tcPr>
            <w:tcW w:type="dxa" w:w="1900"/>
            <w:tcMar>
              <w:top w:w="100" w:type="dxa"/>
              <w:start w:w="120" w:type="dxa"/>
              <w:bottom w:w="100" w:type="dxa"/>
              <w:end w:w="120" w:type="dxa"/>
            </w:tcMar>
            <w:vAlign w:val="center"/>
          </w:tcPr>
          <w:p>
            <w:pPr>
              <w:spacing w:after="40" w:line="240" w:lineRule="auto"/>
            </w:pPr>
            <w:r>
              <w:rPr>
                <w:rFonts w:ascii="Calibri" w:hAnsi="Calibri"/>
                <w:sz w:val="19"/>
              </w:rPr>
              <w:t>Regulatory orchestrator</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Coordinates IDs, phases, retries, and review gates.</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No substantive finding; no human approval.</w:t>
            </w:r>
          </w:p>
        </w:tc>
      </w:tr>
      <w:t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Rule-map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Maps notice questions, authorities, criteria, and cited provisions.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structure only; every item cites source blocks.</w:t>
            </w:r>
          </w:p>
        </w:tc>
      </w:tr>
      <w:tr>
        <w:tc>
          <w:tcPr>
            <w:tcW w:type="dxa" w:w="1900"/>
            <w:tcMar>
              <w:top w:w="100" w:type="dxa"/>
              <w:start w:w="120" w:type="dxa"/>
              <w:bottom w:w="100" w:type="dxa"/>
              <w:end w:w="120" w:type="dxa"/>
            </w:tcMar>
            <w:vAlign w:val="center"/>
          </w:tcPr>
          <w:p>
            <w:pPr>
              <w:spacing w:after="40" w:line="240" w:lineRule="auto"/>
            </w:pPr>
            <w:r>
              <w:rPr>
                <w:rFonts w:ascii="Calibri" w:hAnsi="Calibri"/>
                <w:sz w:val="19"/>
              </w:rPr>
              <w:t>Comment-analysis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Extracts proposals, positions, arguments, evidence claims, and references from one submission at a time.</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Commenter claims remain attributed and unverified until checked.</w:t>
            </w:r>
          </w:p>
        </w:tc>
      </w:tr>
      <w:t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Issue-taxonomy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Clusters proposals by targeted rule/practice and requested action.</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taxonomy; must preserve minority and safety positions.</w:t>
            </w:r>
          </w:p>
        </w:tc>
      </w:tr>
      <w:tr>
        <w:tc>
          <w:tcPr>
            <w:tcW w:type="dxa" w:w="1900"/>
            <w:tcMar>
              <w:top w:w="100" w:type="dxa"/>
              <w:start w:w="120" w:type="dxa"/>
              <w:bottom w:w="100" w:type="dxa"/>
              <w:end w:w="120" w:type="dxa"/>
            </w:tcMar>
            <w:vAlign w:val="center"/>
          </w:tcPr>
          <w:p>
            <w:pPr>
              <w:spacing w:after="40" w:line="240" w:lineRule="auto"/>
            </w:pPr>
            <w:r>
              <w:rPr>
                <w:rFonts w:ascii="Calibri" w:hAnsi="Calibri"/>
                <w:sz w:val="19"/>
              </w:rPr>
              <w:t>Evidence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Checks citation resolution, attribution, passage support, and linked source context.</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May label support; may not convert an assertion into a fact without evidence.</w:t>
            </w:r>
          </w:p>
        </w:tc>
      </w:tr>
      <w:t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Regulatory QA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Audits completeness, counts, duplicates, orphaned items, provenance, and state violations.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Deterministic checks remain deterministic; QA cannot approve.</w:t>
            </w:r>
          </w:p>
        </w:tc>
      </w:tr>
    </w:tbl>
    <w:p>
      <w:pPr>
        <w:pStyle w:val="Heading2"/>
      </w:pPr>
      <w:r>
        <w:t>Service boundaries</w:t>
      </w:r>
    </w:p>
    <w:p>
      <w:r>
        <w:t>A2A carries versioned, structured agent-to-agent tasks such as BUILD_RULE_MAP or ANALYZE_COMMENT. MCP exposes four narrow service boundaries: immutable document access, citation creation/validation, domain-specific persistence, and public regulatory-record retrieval. No agent receives a generic execute_sql tool or arbitrary filesystem access.</w:t>
      </w:r>
    </w:p>
    <w:p>
      <w:pPr>
        <w:pStyle w:val="SourceNote"/>
      </w:pPr>
      <w:r>
        <w:rPr>
          <w:b/>
        </w:rPr>
        <w:t xml:space="preserve">Agent configuration: </w:t>
      </w:r>
      <w:hyperlink r:id="rId13">
        <w:r>
          <w:rPr>
            <w:color w:val="2E74B5"/>
            <w:u w:val="single"/>
          </w:rPr>
          <w:t>Agent Foundry — Strands base-agent configuration</w:t>
        </w:r>
      </w:hyperlink>
    </w:p>
    <w:p>
      <w:pPr>
        <w:pStyle w:val="SourceNote"/>
      </w:pPr>
      <w:r>
        <w:rPr>
          <w:b/>
        </w:rPr>
        <w:t xml:space="preserve">A2A protocol: </w:t>
      </w:r>
      <w:hyperlink r:id="rId14">
        <w:r>
          <w:rPr>
            <w:color w:val="2E74B5"/>
            <w:u w:val="single"/>
          </w:rPr>
          <w:t>Agent Foundry — built-in A2A protocol</w:t>
        </w:r>
      </w:hyperlink>
    </w:p>
    <w:p>
      <w:pPr>
        <w:pStyle w:val="SourceNote"/>
      </w:pPr>
      <w:r>
        <w:rPr>
          <w:b/>
        </w:rPr>
        <w:t xml:space="preserve">MCP connectivity: </w:t>
      </w:r>
      <w:hyperlink r:id="rId15">
        <w:r>
          <w:rPr>
            <w:color w:val="2E74B5"/>
            <w:u w:val="single"/>
          </w:rPr>
          <w:t>Agent Foundry — MCP servers</w:t>
        </w:r>
      </w:hyperlink>
    </w:p>
    <w:p>
      <w:pPr>
        <w:pStyle w:val="Heading1"/>
      </w:pPr>
      <w:r>
        <w:t>2. Source acquisition and provenance</w:t>
      </w:r>
    </w:p>
    <w:p>
      <w:pPr>
        <w:pStyle w:val="Heading2"/>
      </w:pPr>
      <w:r>
        <w:t>Regulations.gov is the primary docket source</w:t>
      </w:r>
    </w:p>
    <w:p>
      <w:r>
        <w:t>The read-only regulatory-record service retrieves the docket, the notice, every paginated public submission, submission details, and listed attachments through the Regulations.gov v4 API. Each fetched payload or binary is stored as an immutable snapshot with the external identifier, canonical URL, retrieval time, content hash, and relevant HTTP metadata. A later change creates a new snapshot rather than silently altering an earlier analysis run.</w:t>
      </w:r>
    </w:p>
    <w:p>
      <w:r>
        <w:t>The API explicitly supports separate endpoints for dockets, documents, and comments. Detailed document and comment responses can include attachments when requested. Public comment fields and agency-configurable fields have different availability, so absence of a public field must not be treated as a substantive fact about the commenter.</w:t>
      </w:r>
    </w:p>
    <w:p>
      <w:pPr>
        <w:pStyle w:val="SourceNote"/>
      </w:pPr>
      <w:r>
        <w:rPr>
          <w:b/>
        </w:rPr>
        <w:t xml:space="preserve">API documentation: </w:t>
      </w:r>
      <w:hyperlink r:id="rId16">
        <w:r>
          <w:rPr>
            <w:color w:val="2E74B5"/>
            <w:u w:val="single"/>
          </w:rPr>
          <w:t>GSA — Regulations.gov API v4</w:t>
        </w:r>
      </w:hyperlink>
    </w:p>
    <w:p>
      <w:pPr>
        <w:pStyle w:val="Heading2"/>
      </w:pPr>
      <w:r>
        <w:t>Reginfo.gov is linked context, not comment evidence</w:t>
      </w:r>
    </w:p>
    <w:p>
      <w:r>
        <w:t>When a comment cites a Regulation Identifier Number (RIN), the system can retrieve the corresponding Unified Agenda record for a specified publication edition. That snapshot can establish what agenda metadata was published for that RIN at that time—for example, title, stage, agency, or anticipated action. It does not establish the truth of a commenter’s burden claim, prove final agency action, or replace the docket submission.</w:t>
      </w:r>
    </w:p>
    <w:p>
      <w:pPr>
        <w:pStyle w:val="SourceNote"/>
      </w:pPr>
      <w:r>
        <w:rPr>
          <w:b/>
        </w:rPr>
        <w:t xml:space="preserve">Unified Agenda: </w:t>
      </w:r>
      <w:hyperlink r:id="rId17">
        <w:r>
          <w:rPr>
            <w:color w:val="2E74B5"/>
            <w:u w:val="single"/>
          </w:rPr>
          <w:t>Reginfo.gov — current Unified Agenda</w:t>
        </w:r>
      </w:hyperlink>
    </w:p>
    <w:p>
      <w:pPr>
        <w:pStyle w:val="SourceNote"/>
      </w:pPr>
      <w:r>
        <w:rPr>
          <w:b/>
        </w:rPr>
        <w:t xml:space="preserve">Machine-readable reports: </w:t>
      </w:r>
      <w:hyperlink r:id="rId18">
        <w:r>
          <w:rPr>
            <w:color w:val="2E74B5"/>
            <w:u w:val="single"/>
          </w:rPr>
          <w:t>Reginfo.gov — Unified Agenda XML reports</w:t>
        </w:r>
      </w:hyperlink>
    </w:p>
    <w:p>
      <w:pPr>
        <w:pStyle w:val="Heading2"/>
      </w:pPr>
      <w:r>
        <w:t>Snapshot rules</w:t>
      </w:r>
    </w:p>
    <w:p>
      <w:pPr>
        <w:pStyle w:val="ListBullet"/>
      </w:pPr>
      <w:r>
        <w:t>Preserve raw source bytes before parsing or OCR.</w:t>
      </w:r>
    </w:p>
    <w:p>
      <w:pPr>
        <w:pStyle w:val="ListBullet"/>
      </w:pPr>
      <w:r>
        <w:t>Hash the notice, each submission response, and every attachment independently.</w:t>
      </w:r>
    </w:p>
    <w:p>
      <w:pPr>
        <w:pStyle w:val="ListBullet"/>
      </w:pPr>
      <w:r>
        <w:t>Record withdrawn status and last-modified metadata; never delete the prior snapshot.</w:t>
      </w:r>
    </w:p>
    <w:p>
      <w:pPr>
        <w:pStyle w:val="ListBullet"/>
      </w:pPr>
      <w:r>
        <w:t>Represent parsed pages and blocks as derivatives linked back to the exact source snapshot.</w:t>
      </w:r>
    </w:p>
    <w:p>
      <w:pPr>
        <w:pStyle w:val="ListBullet"/>
      </w:pPr>
      <w:r>
        <w:t>Reconcile the number of retrieved records against the API response at the time of ingestion.</w:t>
      </w:r>
    </w:p>
    <w:p>
      <w:pPr>
        <w:pStyle w:val="Heading1"/>
      </w:pPr>
      <w:r>
        <w:t>3. Deterministic workflow and human review boundaries</w:t>
      </w:r>
    </w:p>
    <w:p>
      <w:r>
        <w:t>Temporal is used as the durable state machine. Workflow history carries identifiers, versions, review signals, and activity outcomes—not full documents or large model payloads. External calls, model invocations, and persistence operations execute as activities so retries are explicit and workflow replay remains deterministic.</w:t>
      </w:r>
    </w:p>
    <w:tbl>
      <w:tblPr>
        <w:tblStyle w:val="TableGrid"/>
        <w:tblW w:type="dxa" w:w="9360"/>
        <w:jc w:val="left"/>
        <w:tblLayout w:type="fixed"/>
        <w:tblLook w:firstColumn="1" w:firstRow="1" w:lastColumn="0" w:lastRow="0" w:noHBand="0" w:noVBand="1" w:val="04A0"/>
        <w:tblInd w:w="120" w:type="dxa"/>
      </w:tblPr>
      <w:tblGrid>
        <w:gridCol w:w="1250"/>
        <w:gridCol w:w="3200"/>
        <w:gridCol w:w="1800"/>
        <w:gridCol w:w="3110"/>
      </w:tblGrid>
      <w:tr>
        <w:trPr>
          <w:tblHeader/>
        </w:trPr>
        <w:tc>
          <w:tcPr>
            <w:tcW w:type="dxa" w:w="125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Phase</w:t>
            </w:r>
          </w:p>
        </w:tc>
        <w:tc>
          <w:tcPr>
            <w:tcW w:type="dxa" w:w="3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Automated work</w:t>
            </w:r>
          </w:p>
        </w:tc>
        <w:tc>
          <w:tcPr>
            <w:tcW w:type="dxa" w:w="1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Required gate</w:t>
            </w:r>
          </w:p>
        </w:tc>
        <w:tc>
          <w:tcPr>
            <w:tcW w:type="dxa" w:w="311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Failure behavior</w:t>
            </w:r>
          </w:p>
        </w:tc>
      </w:tr>
      <w:tr>
        <w:tc>
          <w:tcPr>
            <w:tcW w:type="dxa" w:w="1250"/>
            <w:tcMar>
              <w:top w:w="100" w:type="dxa"/>
              <w:start w:w="120" w:type="dxa"/>
              <w:bottom w:w="100" w:type="dxa"/>
              <w:end w:w="120" w:type="dxa"/>
            </w:tcMar>
            <w:vAlign w:val="center"/>
          </w:tcPr>
          <w:p>
            <w:pPr>
              <w:spacing w:after="40" w:line="240" w:lineRule="auto"/>
            </w:pPr>
            <w:r>
              <w:rPr>
                <w:rFonts w:ascii="Calibri" w:hAnsi="Calibri"/>
                <w:sz w:val="19"/>
              </w:rPr>
              <w:t>1. Ingest</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Retrieve, hash, parse, and reconcile records.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Ingestion verified</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Missing or inconsistent source items enter remediation.</w:t>
            </w:r>
          </w:p>
        </w:tc>
      </w:tr>
      <w:t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2. Notice map</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Build a candidate map of RFI questions and criteria.</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Rule-map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Reject, modify, or rerun; approved version becomes immutable.</w:t>
            </w:r>
          </w:p>
        </w:tc>
      </w:tr>
      <w:tr>
        <w:tc>
          <w:tcPr>
            <w:tcW w:type="dxa" w:w="1250"/>
            <w:tcMar>
              <w:top w:w="100" w:type="dxa"/>
              <w:start w:w="120" w:type="dxa"/>
              <w:bottom w:w="100" w:type="dxa"/>
              <w:end w:w="120" w:type="dxa"/>
            </w:tcMar>
            <w:vAlign w:val="center"/>
          </w:tcPr>
          <w:p>
            <w:pPr>
              <w:spacing w:after="40" w:line="240" w:lineRule="auto"/>
            </w:pPr>
            <w:r>
              <w:rPr>
                <w:rFonts w:ascii="Calibri" w:hAnsi="Calibri"/>
                <w:sz w:val="19"/>
              </w:rPr>
              <w:t>3. Comments</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Analyze each comment independently; detect exact/near duplicates.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None at item fan-out</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Individual items are resumable and retryable.</w:t>
            </w:r>
          </w:p>
        </w:tc>
      </w:tr>
      <w:t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4. Taxonomy</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Cluster proposals and map comments, positions, rules, and references.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Taxonomy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Reviewer may merge, split, rename, create, or remap.</w:t>
            </w:r>
          </w:p>
        </w:tc>
      </w:tr>
      <w:tr>
        <w:tc>
          <w:tcPr>
            <w:tcW w:type="dxa" w:w="1250"/>
            <w:tcMar>
              <w:top w:w="100" w:type="dxa"/>
              <w:start w:w="120" w:type="dxa"/>
              <w:bottom w:w="100" w:type="dxa"/>
              <w:end w:w="120" w:type="dxa"/>
            </w:tcMar>
            <w:vAlign w:val="center"/>
          </w:tcPr>
          <w:p>
            <w:pPr>
              <w:spacing w:after="40" w:line="240" w:lineRule="auto"/>
            </w:pPr>
            <w:r>
              <w:rPr>
                <w:rFonts w:ascii="Calibri" w:hAnsi="Calibri"/>
                <w:sz w:val="19"/>
              </w:rPr>
              <w:t>5. Evidence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Resolve citations and assess support and attribution.</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Evidence gate</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Anything short of supported enters review or blocks finalization.</w:t>
            </w:r>
          </w:p>
        </w:tc>
      </w:tr>
      <w:t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6. QA</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Run count, coverage, citation, provenance, duplicate, and state checks.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QA gate</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Deterministic failures block final approval.</w:t>
            </w:r>
          </w:p>
        </w:tc>
      </w:tr>
      <w:tr>
        <w:tc>
          <w:tcPr>
            <w:tcW w:type="dxa" w:w="1250"/>
            <w:tcMar>
              <w:top w:w="100" w:type="dxa"/>
              <w:start w:w="120" w:type="dxa"/>
              <w:bottom w:w="100" w:type="dxa"/>
              <w:end w:w="120" w:type="dxa"/>
            </w:tcMar>
            <w:vAlign w:val="center"/>
          </w:tcPr>
          <w:p>
            <w:pPr>
              <w:spacing w:after="40" w:line="240" w:lineRule="auto"/>
            </w:pPr>
            <w:r>
              <w:rPr>
                <w:rFonts w:ascii="Calibri" w:hAnsi="Calibri"/>
                <w:sz w:val="19"/>
              </w:rPr>
              <w:t>7. Finalize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Present issue matrix and draft recommendations.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Final human review</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Only approved records enter an immutable manifest.</w:t>
            </w:r>
          </w:p>
        </w:tc>
      </w:tr>
    </w:tbl>
    <w:p>
      <w:pPr>
        <w:pStyle w:val="Heading2"/>
      </w:pPr>
      <w:r>
        <w:t>Review-state enforcement</w:t>
      </w:r>
    </w:p>
    <w:tbl>
      <w:tblPr>
        <w:tblStyle w:val="TableGrid"/>
        <w:tblW w:type="dxa" w:w="9360"/>
        <w:jc w:val="left"/>
        <w:tblLayout w:type="fixed"/>
        <w:tblLook w:firstColumn="1" w:firstRow="1" w:lastColumn="0" w:lastRow="0" w:noHBand="0" w:noVBand="1" w:val="04A0"/>
        <w:tblInd w:w="120" w:type="dxa"/>
      </w:tblPr>
      <w:tblGrid>
        <w:gridCol w:w="9360"/>
      </w:tblGrid>
      <w:tr>
        <w:trPr>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CONTROL</w:t>
            </w:r>
          </w:p>
          <w:p>
            <w:pPr>
              <w:spacing w:after="40" w:line="259" w:lineRule="auto"/>
            </w:pPr>
            <w:r>
              <w:t>Agents may create MACHINE_GENERATED and PENDING_REVIEW states only. APPROVED, MODIFIED, and REJECTED must come from an authenticated human-review boundary and should be reinforced through application permissions and database privileges—not merely a prompt instruction.</w:t>
            </w:r>
          </w:p>
        </w:tc>
      </w:tr>
    </w:tbl>
    <w:p>
      <w:pPr>
        <w:spacing w:after="40"/>
      </w:pPr>
    </w:p>
    <w:p>
      <w:pPr>
        <w:pStyle w:val="Heading1"/>
      </w:pPr>
      <w:r>
        <w:t>4. From comments to an issue matrix</w:t>
      </w:r>
    </w:p>
    <w:p>
      <w:pPr>
        <w:pStyle w:val="Heading2"/>
      </w:pPr>
      <w:r>
        <w:t>Comment-level extraction</w:t>
      </w:r>
    </w:p>
    <w:p>
      <w:r>
        <w:t>Each public submission is processed as its own unit of work. The system extracts discrete requested actions, claimed burdens, affected entities, product or practice targets, cited legal or regulatory references, claimed costs or time, supporting evidence, and consumer-safety implications. Each substantive annotation must point to one or more source blocks.</w:t>
      </w:r>
    </w:p>
    <w:tbl>
      <w:tblPr>
        <w:tblStyle w:val="TableGrid"/>
        <w:tblW w:type="dxa" w:w="9360"/>
        <w:jc w:val="left"/>
        <w:tblLayout w:type="fixed"/>
        <w:tblLook w:firstColumn="1" w:firstRow="1" w:lastColumn="0" w:lastRow="0" w:noHBand="0" w:noVBand="1" w:val="04A0"/>
        <w:tblInd w:w="120" w:type="dxa"/>
      </w:tblPr>
      <w:tblGrid>
        <w:gridCol w:w="9360"/>
      </w:tblGrid>
      <w:tr>
        <w:trPr>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ATTRIBUTION RULE</w:t>
            </w:r>
          </w:p>
          <w:p>
            <w:pPr>
              <w:spacing w:after="40" w:line="259" w:lineRule="auto"/>
            </w:pPr>
            <w:r>
              <w:t>“The commenter estimates $X” and “the cost is $X” are different statements. The first may be supported by the submission itself. The second requires independent verification. The data model preserves that distinction with statuses such as COMMENTER_ASSERTED, EXTERNALLY_VERIFIED, CONTRADICTED, and UNVERIFIED.</w:t>
            </w:r>
          </w:p>
        </w:tc>
      </w:tr>
    </w:tbl>
    <w:p>
      <w:pPr>
        <w:spacing w:after="40"/>
      </w:pPr>
    </w:p>
    <w:p>
      <w:pPr>
        <w:pStyle w:val="Heading2"/>
      </w:pPr>
      <w:r>
        <w:t>Issue discovery and reconciliation</w:t>
      </w:r>
    </w:p>
    <w:p>
      <w:r>
        <w:t>Exact duplicate detection uses hashes and deterministic comparisons. Near-duplicate analysis may use embeddings or semantic methods but produces reviewable recommendations. The issue-taxonomy agent clusters by the specific rule or CPSC practice and the requested agency action; it must not erase product distinctions, legal differences, minority positions, or consumer-safety counterarguments.</w:t>
      </w:r>
    </w:p>
    <w:p>
      <w:pPr>
        <w:pStyle w:val="Heading2"/>
      </w:pPr>
      <w:r>
        <w:t>Evidence outcomes</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trPr>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Result</w:t>
            </w:r>
          </w:p>
        </w:tc>
        <w:tc>
          <w:tcPr>
            <w:tcW w:type="dxa" w:w="70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c>
          <w:tcPr>
            <w:tcW w:type="dxa" w:w="2300"/>
            <w:tcMar>
              <w:top w:w="100" w:type="dxa"/>
              <w:start w:w="120" w:type="dxa"/>
              <w:bottom w:w="100" w:type="dxa"/>
              <w:end w:w="120" w:type="dxa"/>
            </w:tcMar>
            <w:vAlign w:val="center"/>
          </w:tcPr>
          <w:p>
            <w:pPr>
              <w:spacing w:after="40" w:line="240" w:lineRule="auto"/>
            </w:pPr>
            <w:r>
              <w:rPr>
                <w:rFonts w:ascii="Calibri" w:hAnsi="Calibri"/>
                <w:sz w:val="19"/>
              </w:rPr>
              <w:t>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supports the scoped, attributed claim.</w:t>
            </w:r>
          </w:p>
        </w:tc>
      </w:tr>
      <w:t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PARTIALLY_SUPPORTED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Only part of the claim is supported or material qualification is missing.</w:t>
            </w:r>
          </w:p>
        </w:tc>
      </w:tr>
      <w:tr>
        <w:tc>
          <w:tcPr>
            <w:tcW w:type="dxa" w:w="2300"/>
            <w:tcMar>
              <w:top w:w="100" w:type="dxa"/>
              <w:start w:w="120" w:type="dxa"/>
              <w:bottom w:w="100" w:type="dxa"/>
              <w:end w:w="120" w:type="dxa"/>
            </w:tcMar>
            <w:vAlign w:val="center"/>
          </w:tcPr>
          <w:p>
            <w:pPr>
              <w:spacing w:after="40" w:line="240" w:lineRule="auto"/>
            </w:pPr>
            <w:r>
              <w:rPr>
                <w:rFonts w:ascii="Calibri" w:hAnsi="Calibri"/>
                <w:sz w:val="19"/>
              </w:rPr>
              <w:t>UNSUPPORTED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does not support the claim.</w:t>
            </w:r>
          </w:p>
        </w:tc>
      </w:tr>
      <w:t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SOURCE_NOT_FOUND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The document, attachment, page, block, or cited context cannot be resolved.</w:t>
            </w:r>
          </w:p>
        </w:tc>
      </w:tr>
      <w:tr>
        <w:tc>
          <w:tcPr>
            <w:tcW w:type="dxa" w:w="2300"/>
            <w:tcMar>
              <w:top w:w="100" w:type="dxa"/>
              <w:start w:w="120" w:type="dxa"/>
              <w:bottom w:w="100" w:type="dxa"/>
              <w:end w:w="120" w:type="dxa"/>
            </w:tcMar>
            <w:vAlign w:val="center"/>
          </w:tcPr>
          <w:p>
            <w:pPr>
              <w:spacing w:after="40" w:line="240" w:lineRule="auto"/>
            </w:pPr>
            <w:r>
              <w:rPr>
                <w:rFonts w:ascii="Calibri" w:hAnsi="Calibri"/>
                <w:sz w:val="19"/>
              </w:rPr>
              <w:t>AMBIGUOUS</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Support or attribution cannot be determined reliably from the available record.</w:t>
            </w:r>
          </w:p>
        </w:tc>
      </w:tr>
    </w:tbl>
    <w:p>
      <w:pPr>
        <w:pStyle w:val="Heading1"/>
      </w:pPr>
      <w:r>
        <w:t>5. Draft recommended responses</w:t>
      </w:r>
    </w:p>
    <w:p>
      <w:r>
        <w:t>A draft response is produced only after the issue, mapped comments, citations, evidence results, and QA findings are available. The draft should state what commenters requested, summarize supporting and opposing record material, distinguish assertions from verified information, identify legal or evidentiary gaps, and recommend a bounded next action. It should not imply that CPSC has adopted the recommendation.</w:t>
      </w:r>
    </w:p>
    <w:p>
      <w:pPr>
        <w:pStyle w:val="Heading2"/>
      </w:pPr>
      <w:r>
        <w:t>Minimum response checklist</w:t>
      </w:r>
    </w:p>
    <w:p>
      <w:pPr>
        <w:pStyle w:val="ListBullet"/>
      </w:pPr>
      <w:r>
        <w:t>Addresses the specific requested agency action.</w:t>
      </w:r>
    </w:p>
    <w:p>
      <w:pPr>
        <w:pStyle w:val="ListBullet"/>
      </w:pPr>
      <w:r>
        <w:t>Identifies the affected rule, guidance, interpretation, or practice.</w:t>
      </w:r>
    </w:p>
    <w:p>
      <w:pPr>
        <w:pStyle w:val="ListBullet"/>
      </w:pPr>
      <w:r>
        <w:t>Separates burden claims from verified facts.</w:t>
      </w:r>
    </w:p>
    <w:p>
      <w:pPr>
        <w:pStyle w:val="ListBullet"/>
      </w:pPr>
      <w:r>
        <w:t>Discusses consumer-safety effects and counterevidence.</w:t>
      </w:r>
    </w:p>
    <w:p>
      <w:pPr>
        <w:pStyle w:val="ListBullet"/>
      </w:pPr>
      <w:r>
        <w:t>Includes resolvable citations to the docket record.</w:t>
      </w:r>
    </w:p>
    <w:p>
      <w:pPr>
        <w:pStyle w:val="ListBullet"/>
      </w:pPr>
      <w:r>
        <w:t>Flags missing legal, economic, technical, or incident-data analysis.</w:t>
      </w:r>
    </w:p>
    <w:p>
      <w:pPr>
        <w:pStyle w:val="ListBullet"/>
      </w:pPr>
      <w:r>
        <w:t>States that the output is draft work product pending authorized human review.</w:t>
      </w:r>
    </w:p>
    <w:p>
      <w:pPr>
        <w:pStyle w:val="Heading1"/>
      </w:pPr>
      <w:r>
        <w:t>6. What the current workspace does</w:t>
      </w:r>
    </w:p>
    <w:tbl>
      <w:tblPr>
        <w:tblStyle w:val="TableGrid"/>
        <w:tblW w:type="dxa" w:w="9360"/>
        <w:jc w:val="left"/>
        <w:tblLayout w:type="fixed"/>
        <w:tblLook w:firstColumn="1" w:firstRow="1" w:lastColumn="0" w:lastRow="0" w:noHBand="0" w:noVBand="1" w:val="04A0"/>
        <w:tblInd w:w="120" w:type="dxa"/>
      </w:tblPr>
      <w:tblGrid>
        <w:gridCol w:w="2200"/>
        <w:gridCol w:w="2300"/>
        <w:gridCol w:w="4860"/>
      </w:tblGrid>
      <w:tr>
        <w:trPr>
          <w:tblHeader/>
        </w:trPr>
        <w:tc>
          <w:tcPr>
            <w:tcW w:type="dxa" w:w="2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Capability</w:t>
            </w:r>
          </w:p>
        </w:tc>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Current status</w:t>
            </w:r>
          </w:p>
        </w:tc>
        <w:tc>
          <w:tcPr>
            <w:tcW w:type="dxa" w:w="48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Interpretation</w:t>
            </w:r>
          </w:p>
        </w:tc>
      </w:tr>
      <w:tr>
        <w:tc>
          <w:tcPr>
            <w:tcW w:type="dxa" w:w="2200"/>
            <w:tcMar>
              <w:top w:w="100" w:type="dxa"/>
              <w:start w:w="120" w:type="dxa"/>
              <w:bottom w:w="100" w:type="dxa"/>
              <w:end w:w="120" w:type="dxa"/>
            </w:tcMar>
            <w:vAlign w:val="center"/>
          </w:tcPr>
          <w:p>
            <w:pPr>
              <w:spacing w:after="40" w:line="240" w:lineRule="auto"/>
            </w:pPr>
            <w:r>
              <w:rPr>
                <w:rFonts w:ascii="Calibri" w:hAnsi="Calibri"/>
                <w:sz w:val="19"/>
              </w:rPr>
              <w:t>Issue review</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prototype</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Users can select representative issues and inspect summaries, evidence-status labels, and representative mapped submissions.</w:t>
            </w:r>
          </w:p>
        </w:tc>
      </w:tr>
      <w:t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Source view</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Functional prototype with verified notice metadata</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Users can switch to a notice/source panel; displayed excerpts must be labeled as excerpted or representative unless loaded from a verified snapshot.</w:t>
            </w:r>
          </w:p>
        </w:tc>
      </w:tr>
      <w:tr>
        <w:tc>
          <w:tcPr>
            <w:tcW w:type="dxa" w:w="2200"/>
            <w:tcMar>
              <w:top w:w="100" w:type="dxa"/>
              <w:start w:w="120" w:type="dxa"/>
              <w:bottom w:w="100" w:type="dxa"/>
              <w:end w:w="120" w:type="dxa"/>
            </w:tcMar>
            <w:vAlign w:val="center"/>
          </w:tcPr>
          <w:p>
            <w:pPr>
              <w:spacing w:after="40" w:line="240" w:lineRule="auto"/>
            </w:pPr>
            <w:r>
              <w:rPr>
                <w:rFonts w:ascii="Calibri" w:hAnsi="Calibri"/>
                <w:sz w:val="19"/>
              </w:rPr>
              <w:t>Draft response editing</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device-local interaction</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Users can edit draft text and choose return, flag, or ready-for-final-review dispositions; state remains in that browser and is not an agency record.</w:t>
            </w:r>
          </w:p>
        </w:tc>
      </w:tr>
      <w:t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How-it-works guide</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Embedded onboarding</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Explains the intended query-to-review flow and the distinction between live public records and demo analysis.</w:t>
            </w:r>
          </w:p>
        </w:tc>
      </w:tr>
      <w:tr>
        <w:tc>
          <w:tcPr>
            <w:tcW w:type="dxa" w:w="2200"/>
            <w:tcMar>
              <w:top w:w="100" w:type="dxa"/>
              <w:start w:w="120" w:type="dxa"/>
              <w:bottom w:w="100" w:type="dxa"/>
              <w:end w:w="120" w:type="dxa"/>
            </w:tcMar>
            <w:vAlign w:val="center"/>
          </w:tcPr>
          <w:p>
            <w:pPr>
              <w:spacing w:after="40" w:line="240" w:lineRule="auto"/>
            </w:pPr>
            <w:r>
              <w:rPr>
                <w:rFonts w:ascii="Calibri" w:hAnsi="Calibri"/>
                <w:sz w:val="19"/>
              </w:rPr>
              <w:t>Live CPSC document search</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public-source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A validated topic term is sent server-side to the Regulations.gov v4 documents endpoint with agency CPSC and a rolling three-calendar-month posted-date filter. Results include official links, retrieval time, pagination, and coverage limits.</w:t>
            </w:r>
          </w:p>
        </w:tc>
      </w:tr>
      <w:t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Durable review persistence</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Not implemented in the deployed interface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Edits and dispositions are not yet committed to PostgreSQL or a production audit log.</w:t>
            </w:r>
          </w:p>
        </w:tc>
      </w:tr>
      <w:tr>
        <w:tc>
          <w:tcPr>
            <w:tcW w:type="dxa" w:w="2200"/>
            <w:tcMar>
              <w:top w:w="100" w:type="dxa"/>
              <w:start w:w="120" w:type="dxa"/>
              <w:bottom w:w="100" w:type="dxa"/>
              <w:end w:w="120" w:type="dxa"/>
            </w:tcMar>
            <w:vAlign w:val="center"/>
          </w:tcPr>
          <w:p>
            <w:pPr>
              <w:spacing w:after="40" w:line="240" w:lineRule="auto"/>
            </w:pPr>
            <w:r>
              <w:rPr>
                <w:rFonts w:ascii="Calibri" w:hAnsi="Calibri"/>
                <w:sz w:val="19"/>
              </w:rPr>
              <w:t>Production agent execution</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Architecture and starter scaffold only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The interface does not presently run the six agents or Temporal workflow on demand.</w:t>
            </w:r>
          </w:p>
        </w:tc>
      </w:tr>
    </w:tbl>
    <w:p>
      <w:pPr>
        <w:pStyle w:val="Heading1"/>
      </w:pPr>
      <w:r>
        <w:t>7. From live query to human-reviewed recommendation</w:t>
      </w:r>
    </w:p>
    <w:p>
      <w:r>
        <w:t>The deployed interface executes the bounded record-search portion of this journey. A query such as “burden reduction” searches CPSC document records posted during the rolling three calendar months ending on the retrieval date. The downstream comment ingestion, evidence analysis, issue matrix, and drafting pipeline remain representative or future production work, as shown below.</w:t>
      </w:r>
    </w:p>
    <w:p>
      <w:pPr>
        <w:pStyle w:val="ListNumber"/>
      </w:pPr>
      <w:r>
        <w:rPr>
          <w:b/>
        </w:rPr>
        <w:t xml:space="preserve">Run the bounded live search: </w:t>
      </w:r>
      <w:r>
        <w:t>Validate a 2–80 character topic term and query the Regulations.gov documents endpoint with agency=CPSC and postedDate greater than or equal to the date three calendar months before retrieval. Display at most 20 records per page and the first five pages.</w:t>
      </w:r>
    </w:p>
    <w:p>
      <w:pPr>
        <w:pStyle w:val="ListNumber"/>
      </w:pPr>
      <w:r>
        <w:rPr>
          <w:b/>
        </w:rPr>
        <w:t xml:space="preserve">Review authoritative results: </w:t>
      </w:r>
      <w:r>
        <w:t>Show document type, posted date, official document and docket links, retrieval time, total reported matches, page information, and the exact date window. On an API failure, show an error rather than substitute demo records.</w:t>
      </w:r>
    </w:p>
    <w:p>
      <w:pPr>
        <w:pStyle w:val="ListNumber"/>
      </w:pPr>
      <w:r>
        <w:rPr>
          <w:b/>
        </w:rPr>
        <w:t xml:space="preserve">Display the notice: </w:t>
      </w:r>
      <w:r>
        <w:t>Show the controlling RFI text, dates, questions, and evaluation criteria with citations to the exact source blocks.</w:t>
      </w:r>
    </w:p>
    <w:p>
      <w:pPr>
        <w:pStyle w:val="ListNumber"/>
      </w:pPr>
      <w:r>
        <w:rPr>
          <w:b/>
        </w:rPr>
        <w:t xml:space="preserve">Analyze submissions: </w:t>
      </w:r>
      <w:r>
        <w:t>Process comments one at a time, attribute every extracted claim, and preserve the original passage.</w:t>
      </w:r>
    </w:p>
    <w:p>
      <w:pPr>
        <w:pStyle w:val="ListNumber"/>
      </w:pPr>
      <w:r>
        <w:rPr>
          <w:b/>
        </w:rPr>
        <w:t xml:space="preserve">Link regulatory context: </w:t>
      </w:r>
      <w:r>
        <w:t>Resolve cited RINs on Reginfo.gov for a named agenda edition without treating agenda metadata as comment evidence.</w:t>
      </w:r>
    </w:p>
    <w:p>
      <w:pPr>
        <w:pStyle w:val="ListNumber"/>
      </w:pPr>
      <w:r>
        <w:rPr>
          <w:b/>
        </w:rPr>
        <w:t xml:space="preserve">Build the issue matrix: </w:t>
      </w:r>
      <w:r>
        <w:t>Cluster proposals, map comments and positions, reconcile duplicates, and expose gaps or disagreement.</w:t>
      </w:r>
    </w:p>
    <w:p>
      <w:pPr>
        <w:pStyle w:val="ListNumber"/>
      </w:pPr>
      <w:r>
        <w:rPr>
          <w:b/>
        </w:rPr>
        <w:t xml:space="preserve">Validate evidence and counts: </w:t>
      </w:r>
      <w:r>
        <w:t>Check citations, attachment integrity, record counts, unsupported claims, provenance, and review-state violations.</w:t>
      </w:r>
    </w:p>
    <w:p>
      <w:pPr>
        <w:pStyle w:val="ListNumber"/>
      </w:pPr>
      <w:r>
        <w:rPr>
          <w:b/>
        </w:rPr>
        <w:t xml:space="preserve">Draft a recommendation: </w:t>
      </w:r>
      <w:r>
        <w:t>Generate bounded draft language with caveats, evidence status, and unresolved legal/safety questions.</w:t>
      </w:r>
    </w:p>
    <w:p>
      <w:pPr>
        <w:pStyle w:val="ListNumber"/>
      </w:pPr>
      <w:r>
        <w:rPr>
          <w:b/>
        </w:rPr>
        <w:t xml:space="preserve">Require human action: </w:t>
      </w:r>
      <w:r>
        <w:t>An authorized reviewer edits, returns, flags, or approves for final review; the machine cannot approve agency policy.</w:t>
      </w:r>
    </w:p>
    <w:p>
      <w:pPr>
        <w:pStyle w:val="Heading1"/>
      </w:pPr>
      <w:r>
        <w:t>8. Limitations and safeguards</w:t>
      </w:r>
    </w:p>
    <w:p>
      <w:r>
        <w:rPr>
          <w:b/>
        </w:rPr>
        <w:t xml:space="preserve">Public-source limitations. </w:t>
      </w:r>
      <w:r>
        <w:t>Live search covers the Regulations.gov documents endpoint for CPSC records in a rolling three-calendar-month window, with 20 records per page and at most five pages. It does not claim complete coverage of comments, attachments, older records, or every CPSC publication. Records can be corrected, withdrawn, or posted after retrieval.</w:t>
      </w:r>
    </w:p>
    <w:p>
      <w:r>
        <w:rPr>
          <w:b/>
        </w:rPr>
        <w:t xml:space="preserve">Analytical limitations. </w:t>
      </w:r>
      <w:r>
        <w:t>Semantic clustering can merge distinct proposals or split related ones. Confidence scores are triage aids, not accuracy guarantees.</w:t>
      </w:r>
    </w:p>
    <w:p>
      <w:r>
        <w:rPr>
          <w:b/>
        </w:rPr>
        <w:t xml:space="preserve">Evidence limitations. </w:t>
      </w:r>
      <w:r>
        <w:t>A submission proves what was submitted, not the truth of its factual claims. Reginfo.gov shows agenda metadata, not final legal effect.</w:t>
      </w:r>
    </w:p>
    <w:p>
      <w:r>
        <w:rPr>
          <w:b/>
        </w:rPr>
        <w:t xml:space="preserve">Governance limitations. </w:t>
      </w:r>
      <w:r>
        <w:t>A polished draft can still be legally, technically, or economically wrong. Human reviewers must verify authority, safety evidence, policy, and citations.</w:t>
      </w:r>
    </w:p>
    <w:p>
      <w:r>
        <w:rPr>
          <w:b/>
        </w:rPr>
        <w:t xml:space="preserve">Prototype limitations. </w:t>
      </w:r>
      <w:r>
        <w:t>The deployed workspace has a live bounded document search, but its comment analysis, issue matrix, evidence findings, and recommended responses are representative. It is not a system of record, does not execute the six agents or Temporal workflow, and does not make agency decisions.</w:t>
      </w:r>
    </w:p>
    <w:p>
      <w:pPr>
        <w:pStyle w:val="Heading2"/>
      </w:pPr>
      <w:r>
        <w:t>Operational acceptance checks</w:t>
      </w:r>
    </w:p>
    <w:p>
      <w:pPr>
        <w:pStyle w:val="ListBullet"/>
      </w:pPr>
      <w:r>
        <w:t>All expected non-withdrawn submissions are accounted for at the recorded retrieval time.</w:t>
      </w:r>
    </w:p>
    <w:p>
      <w:pPr>
        <w:pStyle w:val="ListBullet"/>
      </w:pPr>
      <w:r>
        <w:t>Every attachment and parsed block resolves to a stored source snapshot and hash.</w:t>
      </w:r>
    </w:p>
    <w:p>
      <w:pPr>
        <w:pStyle w:val="ListBullet"/>
      </w:pPr>
      <w:r>
        <w:t>Every substantive machine statement has at least one citation.</w:t>
      </w:r>
    </w:p>
    <w:p>
      <w:pPr>
        <w:pStyle w:val="ListBullet"/>
      </w:pPr>
      <w:r>
        <w:t>Every cited RIN is tied to a named Unified Agenda publication edition.</w:t>
      </w:r>
    </w:p>
    <w:p>
      <w:pPr>
        <w:pStyle w:val="ListBullet"/>
      </w:pPr>
      <w:r>
        <w:t>No machine actor created a human approval state.</w:t>
      </w:r>
    </w:p>
    <w:p>
      <w:pPr>
        <w:pStyle w:val="ListBullet"/>
      </w:pPr>
      <w:r>
        <w:t>Unsupported or ambiguous substantive claims are blocked or explicitly queued for review.</w:t>
      </w:r>
    </w:p>
    <w:p>
      <w:pPr>
        <w:pStyle w:val="ListBullet"/>
      </w:pPr>
      <w:r>
        <w:t>Final manifest pins source hashes, model/config versions, agent versions, and completed review actions.</w:t>
      </w:r>
    </w:p>
    <w:p>
      <w:r>
        <w:br w:type="page"/>
      </w:r>
    </w:p>
    <w:p>
      <w:pPr>
        <w:pStyle w:val="Heading1"/>
      </w:pPr>
      <w:r>
        <w:t>Sources</w:t>
      </w:r>
    </w:p>
    <w:p>
      <w:pPr>
        <w:pStyle w:val="SourceNote"/>
      </w:pPr>
      <w:hyperlink r:id="rId11">
        <w:r>
          <w:rPr>
            <w:color w:val="2E74B5"/>
            <w:u w:val="single"/>
          </w:rPr>
          <w:t>CPSC docket CPSC-2025-0009</w:t>
        </w:r>
      </w:hyperlink>
      <w:r>
        <w:br/>
        <w:t>https://www.regulations.gov/docket/CPSC-2025-0009</w:t>
      </w:r>
    </w:p>
    <w:p>
      <w:pPr>
        <w:pStyle w:val="SourceNote"/>
      </w:pPr>
      <w:hyperlink r:id="rId12">
        <w:r>
          <w:rPr>
            <w:color w:val="2E74B5"/>
            <w:u w:val="single"/>
          </w:rPr>
          <w:t>Federal Register notice 2025-10686 (90 FR 24791)</w:t>
        </w:r>
      </w:hyperlink>
      <w:r>
        <w:br/>
        <w:t>https://www.federalregister.gov/documents/2025/06/12/2025-10686/request-for-information-reducing-regulatory-burdens</w:t>
      </w:r>
    </w:p>
    <w:p>
      <w:pPr>
        <w:pStyle w:val="SourceNote"/>
      </w:pPr>
      <w:hyperlink r:id="rId16">
        <w:r>
          <w:rPr>
            <w:color w:val="2E74B5"/>
            <w:u w:val="single"/>
          </w:rPr>
          <w:t>Regulations.gov API documentation</w:t>
        </w:r>
      </w:hyperlink>
      <w:r>
        <w:br/>
        <w:t>https://open.gsa.gov/api/regulationsgov/</w:t>
      </w:r>
    </w:p>
    <w:p>
      <w:pPr>
        <w:pStyle w:val="SourceNote"/>
      </w:pPr>
      <w:hyperlink r:id="rId17">
        <w:r>
          <w:rPr>
            <w:color w:val="2E74B5"/>
            <w:u w:val="single"/>
          </w:rPr>
          <w:t>Reginfo.gov Unified Agenda</w:t>
        </w:r>
      </w:hyperlink>
      <w:r>
        <w:br/>
        <w:t>https://www.reginfo.gov/public/do/eAgendaMain</w:t>
      </w:r>
    </w:p>
    <w:p>
      <w:pPr>
        <w:pStyle w:val="SourceNote"/>
      </w:pPr>
      <w:hyperlink r:id="rId18">
        <w:r>
          <w:rPr>
            <w:color w:val="2E74B5"/>
            <w:u w:val="single"/>
          </w:rPr>
          <w:t>Reginfo.gov XML reports</w:t>
        </w:r>
      </w:hyperlink>
      <w:r>
        <w:br/>
        <w:t>https://www.reginfo.gov/public/do/eAgendaXmlReport</w:t>
      </w:r>
    </w:p>
    <w:p>
      <w:pPr>
        <w:pStyle w:val="SourceNote"/>
      </w:pPr>
      <w:hyperlink r:id="rId13">
        <w:r>
          <w:rPr>
            <w:color w:val="2E74B5"/>
            <w:u w:val="single"/>
          </w:rPr>
          <w:t>Agent Foundry configuration</w:t>
        </w:r>
      </w:hyperlink>
      <w:r>
        <w:br/>
        <w:t>https://boozallen.github.io/agent-foundry/docs/baselines/strands-base-agent/configuration</w:t>
      </w:r>
    </w:p>
    <w:p>
      <w:pPr>
        <w:pStyle w:val="SourceNote"/>
      </w:pPr>
      <w:hyperlink r:id="rId14">
        <w:r>
          <w:rPr>
            <w:color w:val="2E74B5"/>
            <w:u w:val="single"/>
          </w:rPr>
          <w:t>Agent Foundry A2A protocol</w:t>
        </w:r>
      </w:hyperlink>
      <w:r>
        <w:br/>
        <w:t>https://boozallen.github.io/agent-foundry/docs/baselines/strands-base-agent/guides/a2a-protocol</w:t>
      </w:r>
    </w:p>
    <w:p>
      <w:pPr>
        <w:pStyle w:val="SourceNote"/>
      </w:pPr>
      <w:hyperlink r:id="rId15">
        <w:r>
          <w:rPr>
            <w:color w:val="2E74B5"/>
            <w:u w:val="single"/>
          </w:rPr>
          <w:t>Agent Foundry MCP servers</w:t>
        </w:r>
      </w:hyperlink>
      <w:r>
        <w:br/>
        <w:t>https://boozallen.github.io/agent-foundry/docs/baselines/strands-base-agent/guides/mcp-servers</w:t>
      </w:r>
    </w:p>
    <w:p>
      <w:pPr>
        <w:pStyle w:val="SourceNote"/>
      </w:pPr>
      <w:r>
        <w:t>Prepared as a methodology and operating guide. This document does not state or imply an official CPSC determination.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17068"/>
        <w:sz w:val="16"/>
      </w:rPr>
      <w:t xml:space="preserve">Methodology and operating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color="D9DEDB"/>
      </w:pBdr>
    </w:pPr>
    <w:r>
      <w:rPr>
        <w:rFonts w:ascii="Calibri" w:hAnsi="Calibri"/>
        <w:b/>
        <w:color w:val="617068"/>
        <w:sz w:val="16"/>
      </w:rPr>
      <w:t>REGULATORY ANALYSIS FOUNDRY  |  CPSC-2025-0009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727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5A46"/>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5A4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272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7272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pPr>
    <w:rPr>
      <w:rFonts w:asciiTheme="majorHAnsi" w:eastAsiaTheme="majorEastAsia" w:hAnsiTheme="majorHAnsi" w:cstheme="majorBidi" w:ascii="Calibri" w:hAnsi="Calibri"/>
      <w:b w:val="0"/>
      <w:i/>
      <w:iCs/>
      <w:color w:val="61706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40" w:after="80"/>
    </w:pPr>
    <w:rPr>
      <w:rFonts w:ascii="Calibri" w:hAnsi="Calibri"/>
      <w:color w:val="61706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regulations.gov/docket/CPSC-2025-0009" TargetMode="External"/><Relationship Id="rId12" Type="http://schemas.openxmlformats.org/officeDocument/2006/relationships/hyperlink" Target="https://www.federalregister.gov/documents/2025/06/12/2025-10686/request-for-information-reducing-regulatory-burdens" TargetMode="External"/><Relationship Id="rId13" Type="http://schemas.openxmlformats.org/officeDocument/2006/relationships/hyperlink" Target="https://boozallen.github.io/agent-foundry/docs/baselines/strands-base-agent/configuration" TargetMode="External"/><Relationship Id="rId14" Type="http://schemas.openxmlformats.org/officeDocument/2006/relationships/hyperlink" Target="https://boozallen.github.io/agent-foundry/docs/baselines/strands-base-agent/guides/a2a-protocol" TargetMode="External"/><Relationship Id="rId15" Type="http://schemas.openxmlformats.org/officeDocument/2006/relationships/hyperlink" Target="https://boozallen.github.io/agent-foundry/docs/baselines/strands-base-agent/guides/mcp-servers" TargetMode="External"/><Relationship Id="rId16" Type="http://schemas.openxmlformats.org/officeDocument/2006/relationships/hyperlink" Target="https://open.gsa.gov/api/regulationsgov/" TargetMode="External"/><Relationship Id="rId17" Type="http://schemas.openxmlformats.org/officeDocument/2006/relationships/hyperlink" Target="https://www.reginfo.gov/public/do/eAgendaMain" TargetMode="External"/><Relationship Id="rId18" Type="http://schemas.openxmlformats.org/officeDocument/2006/relationships/hyperlink" Target="https://www.reginfo.gov/public/do/eAgendaXml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Analysis Foundry Methodology — CPSC-2025-0009</dc:title>
  <dc:subject>Authoritative-source workflow, agent architecture, human review, and prototype limitations</dc:subject>
  <dc:creator>Regulatory Analysis Foundry</dc:creator>
  <cp:keywords>CPSC, regulations.gov, reginfo.gov, Agent Foundry, regulatory analysis, human review</cp:keywords>
  <dc:description>generated by python-docx</dc:description>
  <cp:lastModifiedBy/>
  <cp:revision>1</cp:revision>
  <dcterms:created xsi:type="dcterms:W3CDTF">2013-12-23T23:15:00Z</dcterms:created>
  <dcterms:modified xsi:type="dcterms:W3CDTF">2013-12-23T23:15:00Z</dcterms:modified>
  <cp:category/>
</cp:coreProperties>
</file>