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1 notice/document and 31 public submissions returned by the Regulations.gov API</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This is a dated observation, not a permanently hard-coded total.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Private deployed prototype with representative issue analysis and draft responses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yet connected to a live ingestion service, database, or production approval API.</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cantSplit/>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cantSplit/>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12 months ending at retrieval, with official totals, supported type/cadence breakdowns, latest records, source, and caveats. If Regulations.gov is rate-limited or unavailable, an explicitly identified FederalRegister.gov fallback supplies the narrower Federal Register record view.</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Overview context, Regulation metadata, docket comment lookup, evidence availability, draft notes, and QA. A new query or clear action removes stale state.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Explicitly unavailable without evidence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workspace shows verified metadata and source pointers but withholds topics, stances, and recommendations until a validated full-text and attachment evidence pipeline exists.</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current source flow, the default rolling 12-month boundary, and the optional all-available historical scope.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is sent server-side to the Regulations.gov v4 documents endpoint with agency CPSC. The default scope applies a rolling 12-month posted-date filter; the user may instead select all available CPSC records, which omits that date filter. If Regulations.gov is rate-limited or unavailable, the interface labels and uses an official FederalRegister.gov fallback, whose coverage is limited to Federal Register records. Results include official links, retrieval time, selected scope, pagination, and coverage limits.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Durable review persistence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Not implemented in the deployed interface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Edits and dispositions are not yet committed to PostgreSQL or a production audit log.</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executes an official-source research flow. By default, a query searches CPSC document records posted during the rolling 12 months ending on the retrieval date. For older topics—such as a notice that predates that window—the user may select “All available CPSC records,” which submits the same official query without a posted-date filter. Selecting a result drives verified metadata and selected-docket comment lookup. Issue analysis is withheld, and the draft area begins empty, unless a future validated evidence pipeline is implemented.</w:t>
      </w:r>
    </w:p>
    <w:p>
      <w:pPr>
        <w:pStyle w:val="ListNumber"/>
      </w:pPr>
      <w:r>
        <w:rPr>
          <w:b/>
        </w:rPr>
        <w:t xml:space="preserve">Run the live search: </w:t>
      </w:r>
      <w:r>
        <w:t>Validate a 2–80 character topic term and query the Regulations.gov documents endpoint with agency=CPSC. In the default scope, apply postedDate greater than or equal to the date 12 calendar months before retrieval. In the all-available scope, omit the posted-date filter. Display at most 20 records per page and the first five pages, and label the selected scope.</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Live search covers the Regulations.gov documents endpoint for CPSC records, with a default rolling 12-month scope and an optional all-available scope, 20 records per page, and at most five pages. “All available” means the official API query has no posted-date filter; it does not guarantee every historical CPSC publication or overcome API indexing and pagination limits. When Regulations.gov is rate-limited or unavailable, the labeled FederalRegister.gov fallback unions up to 1,000 matches for each of the first five query terms, removes duplicates, ranks title-term overlap, and exposes at most five pages; it covers Federal Register documents rather than all Regulations.gov document types. The workspace does not claim complete coverage of comments or attachments.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and selected-docket comment listing. It deliberately does not generate issue analysis or recommended responses without sufficient validated source text. It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