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287C" w14:textId="77777777" w:rsidR="0045715C" w:rsidRDefault="0045715C" w:rsidP="0045715C">
      <w:pPr>
        <w:spacing w:line="240" w:lineRule="auto"/>
        <w:ind w:firstLine="0"/>
        <w:jc w:val="center"/>
        <w:rPr>
          <w:b/>
          <w:bCs/>
        </w:rPr>
      </w:pPr>
      <w:r w:rsidRPr="0045715C">
        <w:rPr>
          <w:b/>
          <w:bCs/>
        </w:rPr>
        <w:t>BẢNG ĐIỂM TỔNG HỢP</w:t>
      </w:r>
    </w:p>
    <w:p w14:paraId="37FF5C6D" w14:textId="1D66569B" w:rsidR="0045715C" w:rsidRPr="0045715C" w:rsidRDefault="00F10913" w:rsidP="0045715C">
      <w:pPr>
        <w:spacing w:line="240" w:lineRule="auto"/>
        <w:ind w:firstLine="0"/>
        <w:jc w:val="center"/>
        <w:rPr>
          <w:b/>
          <w:bCs/>
        </w:rPr>
      </w:pPr>
      <w:r>
        <w:rPr>
          <w:b/>
          <w:bCs/>
        </w:rPr>
        <w:t>ĐÁNH GIÁ CHỈ SỐ CẢI CÁCH HÀNH CHÍNH</w:t>
      </w:r>
      <w:r w:rsidR="0045715C" w:rsidRPr="0045715C">
        <w:rPr>
          <w:b/>
          <w:bCs/>
        </w:rPr>
        <w:t xml:space="preserve"> CÁC PHÒNG CHUYÊN MÔN, ĐƠN VỊ SỰ NGHIỆP CÔNG LẬP TRỰC THUỘC UBND THÀNH PHỐ VÀ UBND XÃ, PHƯỜNG NĂM 2022</w:t>
      </w:r>
    </w:p>
    <w:p w14:paraId="28E58B5E" w14:textId="60B9CD13" w:rsidR="00FA6513" w:rsidRDefault="0045715C" w:rsidP="0045715C">
      <w:pPr>
        <w:spacing w:line="240" w:lineRule="auto"/>
        <w:ind w:firstLine="0"/>
        <w:jc w:val="center"/>
        <w:rPr>
          <w:i/>
          <w:iCs/>
        </w:rPr>
      </w:pPr>
      <w:r w:rsidRPr="0045715C">
        <w:rPr>
          <w:i/>
          <w:iCs/>
        </w:rPr>
        <w:t>(Kèm theo Quyết định số</w:t>
      </w:r>
      <w:r>
        <w:rPr>
          <w:i/>
          <w:iCs/>
        </w:rPr>
        <w:t xml:space="preserve">      </w:t>
      </w:r>
      <w:r w:rsidRPr="0045715C">
        <w:rPr>
          <w:i/>
          <w:iCs/>
        </w:rPr>
        <w:t>/QĐ-UBND-HC ngày</w:t>
      </w:r>
      <w:r>
        <w:rPr>
          <w:i/>
          <w:iCs/>
        </w:rPr>
        <w:t xml:space="preserve">     </w:t>
      </w:r>
      <w:r w:rsidRPr="0045715C">
        <w:rPr>
          <w:i/>
          <w:iCs/>
        </w:rPr>
        <w:t>tháng</w:t>
      </w:r>
      <w:r>
        <w:rPr>
          <w:i/>
          <w:iCs/>
        </w:rPr>
        <w:t xml:space="preserve">     </w:t>
      </w:r>
      <w:r w:rsidRPr="0045715C">
        <w:rPr>
          <w:i/>
          <w:iCs/>
        </w:rPr>
        <w:t>năm 202</w:t>
      </w:r>
      <w:r>
        <w:rPr>
          <w:i/>
          <w:iCs/>
        </w:rPr>
        <w:t>2</w:t>
      </w:r>
      <w:r w:rsidRPr="0045715C">
        <w:rPr>
          <w:i/>
          <w:iCs/>
        </w:rPr>
        <w:t xml:space="preserve"> của UBND</w:t>
      </w:r>
      <w:r>
        <w:rPr>
          <w:i/>
          <w:iCs/>
        </w:rPr>
        <w:t xml:space="preserve"> </w:t>
      </w:r>
      <w:r w:rsidRPr="0045715C">
        <w:rPr>
          <w:i/>
          <w:iCs/>
        </w:rPr>
        <w:t>Thành phố)</w:t>
      </w:r>
    </w:p>
    <w:p w14:paraId="52FD2DC3" w14:textId="55D18634" w:rsidR="0045715C" w:rsidRDefault="0045715C" w:rsidP="0045715C">
      <w:pPr>
        <w:spacing w:line="240" w:lineRule="auto"/>
        <w:ind w:firstLine="0"/>
        <w:jc w:val="center"/>
        <w:rPr>
          <w:i/>
          <w:iCs/>
        </w:rPr>
      </w:pPr>
    </w:p>
    <w:tbl>
      <w:tblGrid>
        <w:gridCol/>
        <w:gridCol/>
        <w:gridCol/>
        <w:gridCol w:w="1508.0314960629923" w:type="dxa"/>
        <w:gridCol w:w="1508.0314960629923" w:type="dxa"/>
      </w:tblGrid>
      <w:tblPr>
        <w:tblW w:w="0" w:type="auto"/>
        <w:tblLayout w:type="autofit"/>
        <w:bidiVisual w:val="0"/>
        <w:tblBorders>
          <w:top w:val="single" w:sz="0" w:color="black"/>
          <w:left w:val="single" w:sz="0" w:color="black"/>
          <w:right w:val="single" w:sz="0" w:color="black"/>
          <w:bottom w:val="single" w:sz="0" w:color="black"/>
          <w:insideH w:val="single" w:sz="0" w:color="black"/>
          <w:insideV w:val="single" w:sz="0" w:color="black"/>
        </w:tblBorders>
      </w:tblPr>
      <w:tr>
        <w:trPr/>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STT</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Tên tiêu chi</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Điểm tối đa</w:t>
            </w:r>
          </w:p>
        </w:tc>
        <w:tc>
          <w:tcPr>
            <w:tcW w:w="3016.0629921259847" w:type="dxa"/>
            <w:vAlign w:val="center"/>
            <w:gridSpan w:val="2"/>
          </w:tcPr>
          <w:p>
            <w:pPr>
              <w:jc w:val="center"/>
              <w:spacing w:before="0" w:after="0" w:line="255" w:lineRule="auto"/>
            </w:pPr>
            <w:r>
              <w:rPr>
                <w:rFonts w:ascii="Times New Roman" w:hAnsi="Times New Roman" w:eastAsia="Times New Roman" w:cs="Times New Roman"/>
                <w:sz w:val="24"/>
                <w:szCs w:val="24"/>
                <w:b w:val="1"/>
                <w:bCs w:val="1"/>
              </w:rPr>
              <w:t xml:space="preserve">Điểm đánh giá</w:t>
            </w:r>
          </w:p>
        </w:tc>
      </w:tr>
      <w:tr>
        <w:trPr/>
        <w:tc>
          <w:tcPr>
            <w:vMerge w:val="continue"/>
          </w:tcPr>
          <w:p/>
        </w:tc>
        <w:tc>
          <w:tcPr>
            <w:vMerge w:val="continue"/>
          </w:tcPr>
          <w:p/>
        </w:tc>
        <w:tc>
          <w:tcPr>
            <w:vMerge w:val="continue"/>
          </w:tcP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tự đánh giá</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thẩm định</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1</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kinh tế ổn định và phát triển</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17.5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người trong độ tuổi lao động có việc làm và thu nhập ổn định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người có việc làm trên dân số trong độ tuổi lao động có khả năng tham gia lao động từ 90% trở lên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Thu nhập bình quân đầu người bằng hoặc cao hơn thu nhập bình quân đầu người của toàn huyện, thành phố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nghèo, hộ cận nghèo thấp</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chỉ tiêu theo Nghị quyết của cấp xã thì chấm 05 điểm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Phát triển ngành nghề truyền thống hoặc có đóng góp về văn hóa, công nghệ, khoa học kỹ thuật cho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hoạt động phát triển ngành nghề truyền thống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đóng góp về văn hóa, công nghệ, khoa học kỹ thuật cho địa phương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Tham gia, hưởng ứng các phong trào phát triển kinh tế, văn hóa - xã hội do địa phương tổ chức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85% trở lên hộ gia đình tham gia, hưởng ứng các phong trào phát triển kinh tế, văn hóa - xã hội do địa phương tổ chức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85% trở lên hộ gia đình tham gia, hưởng ứng các phong trào phát triển kinh tế, văn hóa - xã hội do địa phương tổ chức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2</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văn hóa, tinh thần lành mạnh, phong phú</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17</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Nhà văn hóa, sân thể thao, điểm đọc sách phục vụ cộng đồng phù hợp với điều kiện thực tiễn của khóm, ấp</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Nhà văn hóa khóm, ấp được tu bổ, tôn tạo, xây mới đảm bảo về diện tích, chỗ ngồi, trang thiết bị hoạt động đáp ứng nhu cầu sinh hoạt văn hóa văn nghệ, thể dục thể thao, đọc sách của cộng đồng dân cư (căn cứ pháp lý Thông tư 05, 06, 12 của Bộ Văn hóa, Thể thao và Du lịch). Trường hợp khóm, ấp không có Nhà Văn hóa thì có địa điểm đảm bảo các điều kiện sinh hoạt văn hóa, thể thao, đọc sách vẫn được tính điểm.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Trẻ em trong độ tuổi đi học được đến trường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Phấn đấu đạt các chuẩn phổ cập giáo dục Mầm non theo quy định; Tỉ lệ trẻ em trong độ tuổi học Mẫu giáo (5 tuổi) được đến trường, các điểm giữ trẻ.</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97%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dưới 97%</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Tỉ lệ trẻ em trong độ tuổi học cấp tiểu học (06 tuổi – 11 tuổi) được đến trường.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98%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dưới 98%</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Duy trì đạt chuẩn phổ cập Trung học cơ sở</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chuẩn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đạt chuẩn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hoạt động văn hóa văn nghệ, thể dục thể thao, vui chơi, giải trí lành mạnh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tổ chức các hoạt động tuyên truyền, triển khai các nhiệm vụ chính trị, sản xuất và đời sống của Nhân dân ở thôn; (Nếu không có tổ chức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Duy trì tổ chức hoạt động thường xuyên phong trào văn hóa văn nghệ, thể dục, thể thao quần chúng; các cuộc giao lưu, liên hoan, hội thi, hội diễn văn nghệ; giao hữu, thi đấu các môn thể thao; Câu lạc bộ, năng khiếu văn hóa văn nghệ, thể dục, thể thao và các hoạt động vui chơi, giải trí cho trẻ em…  (Nếu không có tổ chức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thực hiện nếp sống văn minh trong việc cưới, việc tang, lễ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thực hiện tốt nếp sống văn minh trong việc cưới, việc tang, lễ hội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2.5</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hòa giải ở cơ sở; công tác phòng, chống tệ nạn xã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hòa giải thành của Tổ Hòa giải khóm từ 80% trở lên.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để xảy ra tệ nạn xã hội.  (Nếu có tệ nạn xã hội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2.6</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Bảo tồn, phát huy các giá trị di sản văn hóa, các hình thức sinh hoạt văn hóa, thể thao dân gian truyền thống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2.6.1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Có hoạt động bảo tồn và phát huy các hình thức sinh hoạt văn hóa, thể thao dân gian truyền thống ở địa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02 hoạt động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01 hoạt động (hoặc không có)</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3</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Môi trường an toàn, thân thiện, cảnh quan sạch đẹp</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13</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Hoạt động sản xuất, kinh doanh đáp ứng các quy định của pháp luật về bảo vệ môi trường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doanh nghiệp, cơ sở sản xuất kinh doanh, hộ sản xuất kinh doanh cá thể trên địa bàn phải đạt các tiêu chuẩn vệ sinh môi trường theo quy định; chất thải, nước thải, rác thải được thu gom, xử lý đúng quy định. (Cứ 01 vụ vi phạm pháp luật về môi trường bị xử lý hành chính trừ 01 điểm, tổng điểm trừ không quá 05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việc mai táng, hỏa táng (nếu có) đúng quy định của pháp luật và theo quy hoạch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cơ sở dịch vụ mai táng và 90% trở lên hộ gia đình tổ chức mai táng, hỏa táng (nếu có) đảm bảo nếp sống văn minh theo quy định của pháp luật.   (Cứ 01 trường hợp vi phạm thì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Việc quy hoạch và hoạt động của nghĩa trang phải thực hiện theo đúng quy định hiện hành và phù hợp với điều kiện thực tế, tín ngưỡng, phong tục, tập quán từng địa phương.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Các địa điểm vui chơi công cộng được tôn tạo, bảo vệ và giữ gìn sạch sẽ</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các điểm vui chơi công cộng trên địa bàn khóm, ấp thường xuyên được tôn tạo, bảo vệ và giữ gìn sạch sẽ. (Nếu không thực hiện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điểm vui chơi công cộng độc lập phải đảm bảo đạt 80% trang thiết bị, điều kiện cơ sở vật chất văn hóa phục vụ nhu cầu các hoạt động vui chơi, giải trí cho người già và trẻ em. (Nếu không thực hiện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Tham gia tự quản trong việc giữ gìn vệ sinh môi trường và phòng, chống dịch bệnh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hộ gia đình có cam kết tự quản trong việc giữ gìn vệ sinh môi trường, phòng chống dịch bệnh. (Nếu không đạt thì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xảy ra vụ ngộ độc thực phẩm tập thể từ 30 người mắc trở lên; hộ gia đình và cơ sở sản xuất, kinh doanh thực phẩm không bị xử phạt vi phạm hành chính về an toàn thực phẩm.  (Nếu có trường hợp vi phạm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4</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Chấp hành tốt chủ trương của Đảng, chính sách, pháp luật của Nhà nước; giữ vững trật tự, an toàn xã hội; tích cực tham gia các phong trào thi đua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14.5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Tích cực tham gia tuyên truyền, phổ biến, tổ chức thực hiện nghiêm các chủ trương của Đảng, chính sách, pháp luật của Nhà nước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Định kỳ có tổ chức hoạt động tuyên tuyền, phổ biến thực hiện các chủ trương của Đảng, chính sách, pháp luật của Nhà nước và các quy định của địa phương tới Nhân dân;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được phổ biến và nghiêm chỉnh thực hiện các đường lối, chủ trương của Đảng, chính sách, pháp luật của Nhà nước và các quy định của địa phương.  (Có trường hợp vi phạm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triển khai các phong trào thi đua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Triển khai Phong trào “Toàn dân đoàn kết xây dựng đời sống văn hóa” gắn với Chương trình mục tiêu quốc gia xây dựng nông thôn mới”, Cuộc vận động “Toàn dân đoàn kết xây dựng nông thôn mới, đô thị văn minh” và các phong trào, cuộc vận động thi đua khác bằng nhiều hình thức thiết thực, hiệu quả, nhằm nâng cao đời sống vật chất và tinh thần cho nhân dân. (Nếu không thực hiện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Các tổ chức tự quản ở cộng đồng hoạt động có hiệu quả</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mô hình: Hội quán, Tổ Nhân dân tự quản… hoạt động hiệu quả. (Có từ 40%  đến 45% các tổ chức trên hoạt động yếu, kém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Quy ước khóm, ấp được phê duyệt đúng quy định (Nếu không có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trên địa bàn đạt danh hiệu “Gia đình văn hóa”</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90% trở lên (05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80% đến dưới 90% (02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Dưới 80%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4.5</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phòng, chống bạo lực gia đình/bạo lực trên cơ sở giới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tốt Luật Bảo vệ, chăm sóc và giáo dục trẻ em, Luật Hôn nhân và Gia đình, Luật Phòng, chống bạo lực gia đình, Luật Bình đẳng giới và Chính sách dân số. (Cứ 01 trường hợp vi phạm pháp luật về về gia đình, bạo lực trên cơ sở giới bị xử lý hành chính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Trên địa bàn khóm, ấp có thành lập Câu lạc bộ “Gia đình phát triển bền vững” và Nhóm Phòng, chống bạo lực gia đình.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5</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Có tinh thần đoàn kết, tương trợ, giúp đỡ lẫn nhau trong cộng đồng</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9</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các Cuộc vận động, Phong trào thi đua yêu nước do trung ương và địa phương phát động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đầy đủ các chính sách của Nhà nước về các hoạt động nhân đạo, từ thiện và đẩy mạnh thực hiện phong trào “Đền ơn đáp nghĩa”, “Uống nước nhớ nguồn”, “Cuộc vận động vì người nghèo” và các cuộc vận động khác. (Nếu không thực hiện hoặc thực hiện chưa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Quan tâm, chăm sóc người cao tuổi, trẻ em, người có công, người khuyết tật, người lang thang, cơ nhỡ và người có hoàn cảnh khó khăn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đối tượng thuộc diện được hưởng trợ cấp theo quy định được quan tâm giúp đỡ, hoàn thành thủ tục và nhận trợ cấp xã hội đầy đủ.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các hoạt động hiệu quả nhằm chăm sóc, hỗ trợ thường xuyên của cộng đồng đối với đối tượng đặc biệt khó khăn.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Xây dựng được mô hình vận động, xã hội hóa công tác từ thiện nhân đạo, huy động sự đóng góp của cộng đồng, kịp thời cứu trợ, giúp đỡ thiết thực cho các đối tượng xã hội gặp khó khăn, bất hạnh trong cuộc sống.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Triển khai hiệu quả các mô hình “Gia đình học tập”, “Dòng họ học tập”, “Cộng đồng học tập” và các mô hình về văn hóa, gia đình tại cơ sở</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tổ chức tuyên truyền, vận động, triển khai phong trào học tập suốt đời, nhân rộng các mô hình “Gia đình học tập”, “Dòng họ học tập”, “Cộng đồng học tập”, “Đơn vị học tập”, “Công dân học tập” gắn với nội dung triển khai xây dựng “Gia đình văn hóa”, “Khóm, ấp văn hóa” tại cơ sở. (Nếu không thực hiện hoặc thực hiện chưa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Merge w:val="continue"/>
          </w:tcP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Tổng điểm</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100</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71</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bl>
    <w:sectPr w:rsidR="0045715C" w:rsidRPr="0045715C" w:rsidSect="00F12B21">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5C"/>
    <w:rsid w:val="003634F8"/>
    <w:rsid w:val="0045715C"/>
    <w:rsid w:val="0096734D"/>
    <w:rsid w:val="00A47CE9"/>
    <w:rsid w:val="00F10913"/>
    <w:rsid w:val="00F12B21"/>
    <w:rsid w:val="00FA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6C1"/>
  <w15:chartTrackingRefBased/>
  <w15:docId w15:val="{75DAA904-06A3-4AAA-8B56-2288343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1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Ngô Thanh Vũ</dc:creator>
  <cp:keywords/>
  <dc:description/>
  <cp:lastModifiedBy>Huỳnh Ngô Thanh Vũ</cp:lastModifiedBy>
  <cp:revision>2</cp:revision>
  <dcterms:created xsi:type="dcterms:W3CDTF">2023-02-15T03:06:00Z</dcterms:created>
  <dcterms:modified xsi:type="dcterms:W3CDTF">2023-02-15T03:06:00Z</dcterms:modified>
</cp:coreProperties>
</file>