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gridCol/>
        <w:gridCol/>
        <w:gridCol w:w="1508.0314960629923" w:type="dxa"/>
        <w:gridCol w:w="1508.0314960629923"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3016.0629921259847" w:type="dxa"/>
            <w:vAlign w:val="center"/>
            <w:gridSpan w:val="2"/>
          </w:tcPr>
          <w:p>
            <w:pPr>
              <w:jc w:val="center"/>
              <w:spacing w:before="0" w:after="0" w:line="255" w:lineRule="auto"/>
            </w:pPr>
            <w:r>
              <w:rPr>
                <w:rFonts w:ascii="Times New Roman" w:hAnsi="Times New Roman" w:eastAsia="Times New Roman" w:cs="Times New Roman"/>
                <w:sz w:val="24"/>
                <w:szCs w:val="24"/>
                <w:b w:val="1"/>
                <w:bCs w:val="1"/>
              </w:rPr>
              <w:t xml:space="preserve">Điểm đánh giá</w:t>
            </w:r>
          </w:p>
        </w:tc>
      </w:tr>
      <w:tr>
        <w:trPr/>
        <w:tc>
          <w:tcPr>
            <w:vMerge w:val="continue"/>
          </w:tcPr>
          <w:p/>
        </w:tc>
        <w:tc>
          <w:tcPr>
            <w:vMerge w:val="continue"/>
          </w:tcPr>
          <w:p/>
        </w:tc>
        <w:tc>
          <w:tcPr>
            <w:vMerge w:val="continue"/>
          </w:tcP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thẩm định</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Thực hiện tốt các nhiệm vụ kinh tế - xã hội, quốc phòng, an ninh, trật tự, an toàn xã hội được giao</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đảm trật tự, an toàn xã hội, đấu tranh, phòng, chống tội phạm và các hành vi vi phạm pháp luật khác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đạt tiêu chuẩn “An toàn về an ninh trật tự” theo Hướng dẫn số 03-HD/BCDD138 ngày 02/6/2022 của Ban Chỉ đạo 138/ĐP Tỉnh.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Hợp tác và liên kết phát triển kinh tế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một trong các mô hình: Hợp tác xã, Tổ hợp tác, hội quán, liên doanh, liên kết trong sản xuất, kinh doanh… hoặc hình thức khác đạt hiệu quả.  (Nếu không có mô hình nào hoặc mô hình không hoạt động hiệu quả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quân sự, quốc phòng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6</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Tổ chức quán triệt, triển khai thực hiện nghiêm các nghị quyết của Đảng, Quân ủy Trung ương, chỉ thị, mệnh lệnh của Bộ Quốc phòng, Bộ Tư lệnh Quân khu về thực hiện nhiệm vụ quân sự quốc phòng, sẵn sàng chiến đấu, cứu hộ, cứu nạn;      (Nếu không thực hiện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Đẩy mạnh nâng cao chất lượng xây dựng các mô hình về quốc phòng địa phương, dân quân tự vệ; (Nếu không thực hiện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từng bước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Thu nhập bình quân đầu người bằng hoặc cao hơn năm trước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(đối với phường), 80% trở lên (đối với thị trấn), 70% trở lên (đối với xã).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đa chiều thấp hơn so với mức trung bình của các xã, phường, thị trấn trên địa bàn huyện, thành phố</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hộ nghèo đa chiều thấp hơn so với mức trung bình của các xã, phường, thị trấn trên địa bàn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Hệ thống đường điện đảm bảo an toàn trên địa bàn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thực hiện tốt các quy định về an toàn điện.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cơ sở sản xuất, kinh doanh trên địa bàn được cung cấp đảm bảo nguồn điện cho sinh hoạt và sản xuất.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kiểm định, kiểm tra an toàn kỹ thuật các thiết bị; thường xuyên bảo dưỡng, thay thế dụng cụ điện trên địa bàn.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quản lý, sử dụng đúng mục đích và hoạt động có hiệu quả các công trình công cộng, trường học, trạm y tế</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công trình công cộng, trường học, trạm y tế trên địa bàn được đưa vào sử dụng đúng mục đích, công năng, hoạt động đạt hiệu quả tốt.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đạt tiêu chí quốc gia về y tế; đạt 90% người dân tham gia bảo hiểm y tế.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trường học các cấp (mầm non, tiểu học, THCS hoặc trường phổ thông có nhiều cấp học có cấp học cao nhất là trung học cơ sở) đạt tiêu chuẩn cơ sở vật chất theo quy định của Bộ Giáo dục và Đào tạo và có ít nhất 60% trở lên số trường học trên địa bàn được công nhận đạt chuẩn quốc gia.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khóm, ấp đạt danh hiệu khóm, ấp văn hóa trong năm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từ 80%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từ 65% đến dưới 80%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dưới 65%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Thiết chế văn hóa, thể thao có cơ sở vật chất, trang thiết bị bảo đảm; được quản lý, sử dụng đúng mục đích, hoạt động thường xuyên,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6</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Trung tâm Văn hóa-Học tập cộng đồng xã, phường, thị trấn, Nhà Văn hóa  có cơ sở vật chất, trang thiết bị bảo đảm; được quản lý, sử dụng đúng mục đích, hoạt động thường xuyên,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khóm, ấp trên địa bàn xã, phường, thị trấn có thành lập các Câu lạc bộ văn hóa văn nghệ, thể thao thể thao và thường xuyên hoạt động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Trung tâm Văn hóa-Học tập cộng đồng xã, phường, thị trấn phải đảm bảo đủ các phòng chức năng theo quy định; thường xuyên bổ sung trang thiết bị, cập nhật các đầu sách, báo, tài liệu tuyên truyền các quy định của pháp luật…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theo quy định hiện hành.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lịch sử - văn hóa, danh lam thắng cảnh và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di tích lịch sử - văn hóa, danh lam thắng cảnh trên địa bàn xã, phường, thị trấn thường xuyên được kiểm kê, ghi danh, bảo vệ, tu bổ, tôn tạo và phát huy giá trị theo quy định pháp luật về di sản văn hóa;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Có thành lập các Câu lạc bộ sinh hoạt văn hóa, thể thao dân gian truyền thống ở địa phương và hoạt động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biện pháp bảo vệ môi trường, phòng, chống cháy, nổ</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(Có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có hiệu quả các mô hình về an ninh trật tự và phòng cháy chữa cháy do địa phương phát động như: mô hình Camera an ninh, “Tổ liên gia an toàn về phòng cháy, chữa cháy”.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Nghĩa trang, cơ sở hỏa táng (nếu có) đáp ứng các quy định của pháp luật và theo quy hoạch tại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được sử dụng nước sạch theo quy chuẩn từ hệ thống cấp nước tập trung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sử dụng nước sạch theo quy định; có nhà tiêu, nhà tắm, bể chứa nước sinh hoạt hợp vệ sinh.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Cảnh quan, không gian xanh - sạch - đẹp, an toàn; không để xảy ra tồn đọng nước thải sinh hoạt tại các khu dân cư tập trung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trồng cây xanh công cộng tại các tuyến đường, khu vui chơi; các hộ gia đình trồng hoa, cây xanh trong khuôn viên gia đình, trên địa bàn khu dân cư.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không để xảy ra tồn đọng tại các khu dân cư tập trung.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Tuyên truyền,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dịch vụ công trực tuyến phục vụ người dân, doanh nghiệp theo đúng quy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Tổ chức triển khai dịch vụ công trực tuyến phục vụ người dân, doanh nghiệp theo đúng quy định;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80% trở lên thủ tục hành chính triển khai dịch vụ công trực tuyến một phần và toàn trình. (Nếu thực hiện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thực hiện quy chế dân chủ ở cơ sở, tạo điều kiện để nhân dân tham gia giám sát việc thực hiện chính sách, pháp luật của chính quyền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khóm, ấp xây dựng và thực hiện tốt Quy ước khóm, ấp; có tổ Nhân dân tự quản hoạt động thường xuyên; mâu thuẫn, bất hòa được giải quyết tại cộng đồng; thực hiện tốt quy chế dân chủ ở cơ sở, không có khiếu kiện đông người, vượt cấp, trái pháp luật.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Xã, phường, thị trấn đạt chuẩn tiếp cận pháp luật</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được công nhận đạt chuẩn tiếp cận pháp luật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18.5</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