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🛠️ Integration of LLM, RAG, Agent, and Prompt in the GenAI Factory</w:t>
      </w:r>
    </w:p>
    <w:bookmarkStart w:id="20" w:name="overview"/>
    <w:p>
      <w:pPr>
        <w:pStyle w:val="Heading3"/>
      </w:pPr>
      <w:r>
        <w:rPr>
          <w:b/>
          <w:bCs/>
        </w:rPr>
        <w:t xml:space="preserve">Overview</w:t>
      </w:r>
    </w:p>
    <w:p>
      <w:pPr>
        <w:pStyle w:val="FirstParagraph"/>
      </w:pPr>
      <w:r>
        <w:t xml:space="preserve">The connection between</w:t>
      </w:r>
      <w:r>
        <w:t xml:space="preserve"> </w:t>
      </w:r>
      <w:r>
        <w:rPr>
          <w:b/>
          <w:bCs/>
        </w:rPr>
        <w:t xml:space="preserve">LLM</w:t>
      </w:r>
      <w:r>
        <w:t xml:space="preserve">,</w:t>
      </w:r>
      <w:r>
        <w:t xml:space="preserve"> </w:t>
      </w:r>
      <w:r>
        <w:rPr>
          <w:b/>
          <w:bCs/>
        </w:rPr>
        <w:t xml:space="preserve">RAG</w:t>
      </w:r>
      <w:r>
        <w:t xml:space="preserve">,</w:t>
      </w:r>
      <w:r>
        <w:t xml:space="preserve"> </w:t>
      </w:r>
      <w:r>
        <w:rPr>
          <w:b/>
          <w:bCs/>
        </w:rPr>
        <w:t xml:space="preserve">Agent</w:t>
      </w:r>
      <w:r>
        <w:t xml:space="preserve">, and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forms the</w:t>
      </w:r>
      <w:r>
        <w:t xml:space="preserve"> </w:t>
      </w:r>
      <w:r>
        <w:rPr>
          <w:i/>
          <w:iCs/>
        </w:rPr>
        <w:t xml:space="preserve">core intelligence layer</w:t>
      </w:r>
      <w:r>
        <w:t xml:space="preserve"> </w:t>
      </w:r>
      <w:r>
        <w:t xml:space="preserve">of the GenAI Factory.</w:t>
      </w:r>
      <w:r>
        <w:br/>
      </w:r>
      <w:r>
        <w:t xml:space="preserve">These components do not operate independently; instead, they are</w:t>
      </w:r>
      <w:r>
        <w:t xml:space="preserve"> </w:t>
      </w:r>
      <w:r>
        <w:rPr>
          <w:b/>
          <w:bCs/>
        </w:rPr>
        <w:t xml:space="preserve">stacked logical layers</w:t>
      </w:r>
      <w:r>
        <w:t xml:space="preserve"> </w:t>
      </w:r>
      <w:r>
        <w:t xml:space="preserve">working in harmony to form a complete end-to-end information and action pipeline.</w:t>
      </w:r>
    </w:p>
    <w:p>
      <w:r>
        <w:pict>
          <v:rect style="width:0;height:1.5pt" o:hralign="center" o:hrstd="t" o:hr="t"/>
        </w:pict>
      </w:r>
    </w:p>
    <w:bookmarkEnd w:id="20"/>
    <w:bookmarkStart w:id="21" w:name="X1c7bb39e66caf0684a9c5e3c0dd9c7416824b95"/>
    <w:p>
      <w:pPr>
        <w:pStyle w:val="Heading2"/>
      </w:pPr>
      <w:r>
        <w:rPr>
          <w:b/>
          <w:bCs/>
        </w:rPr>
        <w:t xml:space="preserve">Example Use Case: Risk Analysis Combining Data &amp; Internal Policy</w:t>
      </w:r>
    </w:p>
    <w:p>
      <w:pPr>
        <w:pStyle w:val="FirstParagraph"/>
      </w:pPr>
      <w:r>
        <w:rPr>
          <w:b/>
          <w:bCs/>
        </w:rPr>
        <w:t xml:space="preserve">User Query:</w:t>
      </w:r>
      <w:r>
        <w:br/>
      </w:r>
      <w:r>
        <w:rPr>
          <w:i/>
          <w:iCs/>
        </w:rPr>
        <w:t xml:space="preserve">“Provide the current NPL ratio of the Retail portfolio in the South region and analyze risk under the new credit policy (issued last month).”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53"/>
        <w:gridCol w:w="1745"/>
        <w:gridCol w:w="32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Architectural Layer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Role &amp; Interconnection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Control Layer (Controller)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 (ReActAgent)</w:t>
            </w:r>
          </w:p>
        </w:tc>
        <w:tc>
          <w:tcPr/>
          <w:p>
            <w:pPr>
              <w:pStyle w:val="Compact"/>
            </w:pPr>
            <w:r>
              <w:t xml:space="preserve">Acts as the</w:t>
            </w:r>
            <w:r>
              <w:t xml:space="preserve"> </w:t>
            </w:r>
            <w:r>
              <w:rPr>
                <w:b/>
                <w:bCs/>
              </w:rPr>
              <w:t xml:space="preserve">decision-maker</w:t>
            </w:r>
            <w:r>
              <w:t xml:space="preserve">. Receives the query, initiates the Thought → Action → Observation loop, and coordinates all 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II. Reasoning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</w:t>
            </w:r>
            <w:r>
              <w:t xml:space="preserve"> </w:t>
            </w:r>
            <w:r>
              <w:t xml:space="preserve">(e.g., OpenAILLM),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 </w:t>
            </w:r>
            <w:r>
              <w:t xml:space="preserve">(ReActPrompt)</w:t>
            </w:r>
          </w:p>
        </w:tc>
        <w:tc>
          <w:tcPr/>
          <w:p>
            <w:pPr>
              <w:pStyle w:val="Compact"/>
            </w:pPr>
            <w:r>
              <w:t xml:space="preserve">Acts as the</w:t>
            </w:r>
            <w:r>
              <w:t xml:space="preserve"> </w:t>
            </w:r>
            <w:r>
              <w:rPr>
                <w:b/>
                <w:bCs/>
              </w:rPr>
              <w:t xml:space="preserve">analyst</w:t>
            </w:r>
            <w:r>
              <w:t xml:space="preserve">. The Agent sends a task and tool list via</w:t>
            </w:r>
            <w:r>
              <w:t xml:space="preserve"> </w:t>
            </w:r>
            <w:r>
              <w:rPr>
                <w:rStyle w:val="VerbatimChar"/>
              </w:rPr>
              <w:t xml:space="preserve">react_prompt.py</w:t>
            </w:r>
            <w:r>
              <w:t xml:space="preserve">. The LLM reasons:</w:t>
            </w:r>
            <w:r>
              <w:t xml:space="preserve"> </w:t>
            </w:r>
            <w:r>
              <w:rPr>
                <w:i/>
                <w:iCs/>
              </w:rPr>
              <w:t xml:space="preserve">Step 1: Query DB for NPL (SQL Tool). Step 2: Retrieve risk policy via RAG Tool.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III. Action Layer 1 – Data Retrieval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Executes data queries securely. The Agent triggers:</w:t>
            </w:r>
            <w:r>
              <w:t xml:space="preserve"> </w:t>
            </w:r>
            <w:r>
              <w:rPr>
                <w:rStyle w:val="VerbatimChar"/>
              </w:rPr>
              <w:t xml:space="preserve">SQL_Tool[query='SELECT NPL_Ratio...']</w:t>
            </w:r>
            <w:r>
              <w:t xml:space="preserve">. The SQL Tool (Pydantic-hardened) runs the query and returns:</w:t>
            </w:r>
            <w:r>
              <w:t xml:space="preserve"> </w:t>
            </w:r>
            <w:r>
              <w:rPr>
                <w:i/>
                <w:iCs/>
              </w:rPr>
              <w:t xml:space="preserve">Observation → NPL_Ratio = 6.2%.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IV. Action Layer 2 – Knowledge Retrieval (RAG)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 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 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RAGPrompt</w:t>
            </w:r>
          </w:p>
        </w:tc>
        <w:tc>
          <w:tcPr/>
          <w:p>
            <w:pPr>
              <w:pStyle w:val="Compact"/>
            </w:pPr>
            <w:r>
              <w:t xml:space="preserve">Executes knowledge retrieval. The Agent activates the RAG Tool: (1) embeds the query, (2) searches the Vector DB, (3) injects retrieved policy content via</w:t>
            </w:r>
            <w:r>
              <w:t xml:space="preserve"> </w:t>
            </w:r>
            <w:r>
              <w:rPr>
                <w:rStyle w:val="VerbatimChar"/>
              </w:rPr>
              <w:t xml:space="preserve">rag_prompt.py</w:t>
            </w:r>
            <w:r>
              <w:t xml:space="preserve">, (4) LLM reads context + NPL data and generates the risk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 Synthesis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Synthesizes all outputs. The Agent aggregates SQL and RAG observations, and requests LLM to summarize findings into a cohesive, human-readable response.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VI. Quality Assurance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Evaluator Pipeline (BaseEvaluator)</w:t>
            </w:r>
          </w:p>
        </w:tc>
        <w:tc>
          <w:tcPr/>
          <w:p>
            <w:pPr>
              <w:pStyle w:val="Compact"/>
            </w:pPr>
            <w:r>
              <w:t xml:space="preserve">Ensures safety and factual integrity. Final output is passed through evaluators (</w:t>
            </w:r>
            <w:r>
              <w:rPr>
                <w:rStyle w:val="VerbatimChar"/>
              </w:rPr>
              <w:t xml:space="preserve">SafetyEval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HallucinationEval</w:t>
            </w:r>
            <w:r>
              <w:t xml:space="preserve">) to confirm alignment with retrieved RAG content before delivery.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component-interaction-summary"/>
    <w:p>
      <w:pPr>
        <w:pStyle w:val="Heading2"/>
      </w:pPr>
      <w:r>
        <w:rPr>
          <w:b/>
          <w:bCs/>
        </w:rPr>
        <w:t xml:space="preserve">Component Interaction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2245"/>
        <w:gridCol w:w="4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Primary Role (Who)</w:t>
            </w:r>
          </w:p>
        </w:tc>
        <w:tc>
          <w:tcPr/>
          <w:p>
            <w:pPr>
              <w:pStyle w:val="Compact"/>
            </w:pPr>
            <w:r>
              <w:t xml:space="preserve">Connection with LLM &amp; Prompt (How)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Core computation &amp; reasoning engine (</w:t>
            </w:r>
            <w:r>
              <w:rPr>
                <w:rStyle w:val="VerbatimChar"/>
              </w:rPr>
              <w:t xml:space="preserve">BaseLLM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Always accessed via a Wrapper (e.g.,</w:t>
            </w:r>
            <w:r>
              <w:t xml:space="preserve"> </w:t>
            </w:r>
            <w:r>
              <w:rPr>
                <w:rStyle w:val="VerbatimChar"/>
              </w:rPr>
              <w:t xml:space="preserve">OpenAILLM</w:t>
            </w:r>
            <w:r>
              <w:t xml:space="preserve">): 1.</w:t>
            </w:r>
            <w:r>
              <w:t xml:space="preserve"> </w:t>
            </w:r>
            <w:r>
              <w:rPr>
                <w:rStyle w:val="VerbatimChar"/>
              </w:rPr>
              <w:t xml:space="preserve">.generate(prompt)</w:t>
            </w:r>
            <w:r>
              <w:t xml:space="preserve"> </w:t>
            </w:r>
            <w:r>
              <w:t xml:space="preserve">– for reasoning and text generation; 2.</w:t>
            </w:r>
            <w:r>
              <w:t xml:space="preserve"> </w:t>
            </w:r>
            <w:r>
              <w:rPr>
                <w:rStyle w:val="VerbatimChar"/>
              </w:rPr>
              <w:t xml:space="preserve">.embed(text)</w:t>
            </w:r>
            <w:r>
              <w:t xml:space="preserve"> </w:t>
            </w:r>
            <w:r>
              <w:t xml:space="preserve">– for RAG vectorization.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Programming language for the LLM (</w:t>
            </w:r>
            <w:r>
              <w:rPr>
                <w:rStyle w:val="VerbatimChar"/>
              </w:rPr>
              <w:t xml:space="preserve">BasePrompt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Provides structured templates: 1.</w:t>
            </w:r>
            <w:r>
              <w:t xml:space="preserve"> </w:t>
            </w:r>
            <w:r>
              <w:rPr>
                <w:rStyle w:val="VerbatimChar"/>
              </w:rPr>
              <w:t xml:space="preserve">ReActPrompt</w:t>
            </w:r>
            <w:r>
              <w:t xml:space="preserve"> </w:t>
            </w:r>
            <w:r>
              <w:t xml:space="preserve">– defines reasoning steps (Thought/Action). 2.</w:t>
            </w:r>
            <w:r>
              <w:t xml:space="preserve"> </w:t>
            </w:r>
            <w:r>
              <w:rPr>
                <w:rStyle w:val="VerbatimChar"/>
              </w:rPr>
              <w:t xml:space="preserve">RAGPrompt</w:t>
            </w:r>
            <w:r>
              <w:t xml:space="preserve"> </w:t>
            </w:r>
            <w:r>
              <w:t xml:space="preserve">– embeds retrieved documents and user query into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Internal knowledge foundation</w:t>
            </w:r>
          </w:p>
        </w:tc>
        <w:tc>
          <w:tcPr/>
          <w:p>
            <w:pPr>
              <w:pStyle w:val="Compact"/>
            </w:pPr>
            <w:r>
              <w:t xml:space="preserve">Functions as a Tool for the Agent. Uses LLM’s</w:t>
            </w:r>
            <w:r>
              <w:t xml:space="preserve"> </w:t>
            </w:r>
            <w:r>
              <w:rPr>
                <w:rStyle w:val="VerbatimChar"/>
              </w:rPr>
              <w:t xml:space="preserve">.embed()</w:t>
            </w:r>
            <w:r>
              <w:t xml:space="preserve"> </w:t>
            </w:r>
            <w:r>
              <w:t xml:space="preserve">for search and</w:t>
            </w:r>
            <w:r>
              <w:t xml:space="preserve"> </w:t>
            </w:r>
            <w:r>
              <w:rPr>
                <w:rStyle w:val="VerbatimChar"/>
              </w:rPr>
              <w:t xml:space="preserve">.generate()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RAGPrompt</w:t>
            </w:r>
            <w:r>
              <w:t xml:space="preserve"> </w:t>
            </w:r>
            <w:r>
              <w:t xml:space="preserve">for context-grounded responses.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Task orchestrator (</w:t>
            </w:r>
            <w:r>
              <w:rPr>
                <w:rStyle w:val="VerbatimChar"/>
              </w:rPr>
              <w:t xml:space="preserve">BaseAgent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only component allowed to call Tools (</w:t>
            </w:r>
            <w:r>
              <w:rPr>
                <w:rStyle w:val="VerbatimChar"/>
              </w:rPr>
              <w:t xml:space="preserve">BaseTool</w:t>
            </w:r>
            <w:r>
              <w:t xml:space="preserve">). Manages workflow, session history, and loop logic until final resolution.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analogy-for-clarity"/>
    <w:p>
      <w:pPr>
        <w:pStyle w:val="Heading3"/>
      </w:pPr>
      <w:r>
        <w:rPr>
          <w:b/>
          <w:bCs/>
        </w:rPr>
        <w:t xml:space="preserve">Analogy for Clarity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Project Manager</w:t>
      </w:r>
      <w:r>
        <w:t xml:space="preserve">: orchestrates the workflow and assigns tasks.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Intelligent Worker</w:t>
      </w:r>
      <w:r>
        <w:t xml:space="preserve">: performs reasoning and synthesis.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Technical Specification</w:t>
      </w:r>
      <w:r>
        <w:t xml:space="preserve">: defines how tasks and instructions are framed.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Knowledge Library</w:t>
      </w:r>
      <w:r>
        <w:t xml:space="preserve">: provides verified institutional knowledge for reference.</w:t>
      </w:r>
    </w:p>
    <w:p>
      <w:pPr>
        <w:pStyle w:val="FirstParagraph"/>
      </w:pPr>
      <w:r>
        <w:t xml:space="preserve">Together, they create a</w:t>
      </w:r>
      <w:r>
        <w:t xml:space="preserve"> </w:t>
      </w:r>
      <w:r>
        <w:rPr>
          <w:b/>
          <w:bCs/>
        </w:rPr>
        <w:t xml:space="preserve">controlled reasoning-action loop</w:t>
      </w:r>
      <w:r>
        <w:t xml:space="preserve"> </w:t>
      </w:r>
      <w:r>
        <w:t xml:space="preserve">that transforms user requests into secure, explainable, and data-driven business decisions.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2025-10-14T13:32:27Z</dcterms:created>
  <dcterms:modified xsi:type="dcterms:W3CDTF">2025-10-14T13:32:27Z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