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The Role of API Tokens, RAG, Prompt Engineering, and Fine-Tuning in GenAI Factory</w:t>
      </w:r>
    </w:p>
    <w:p>
      <w:r>
        <w:pict>
          <v:rect style="width:0;height:1.5pt" o:hralign="center" o:hrstd="t" o:hr="t"/>
        </w:pict>
      </w:r>
    </w:p>
    <w:bookmarkStart w:id="20" w:name="X014303b64b5b18c494bfb38b6328ed735fcc628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Understand how API Token allocation affects quality, scalability, and how RAG, Prompt Engineering, and Fine-Tuning complement each other.</w:t>
      </w:r>
    </w:p>
    <w:p>
      <w:r>
        <w:pict>
          <v:rect style="width:0;height:1.5pt" o:hralign="center" o:hrstd="t" o:hr="t"/>
        </w:pict>
      </w:r>
    </w:p>
    <w:bookmarkEnd w:id="20"/>
    <w:bookmarkStart w:id="23" w:name="i.-impact-of-api-token-quantity"/>
    <w:p>
      <w:pPr>
        <w:pStyle w:val="Heading2"/>
      </w:pPr>
      <w:r>
        <w:t xml:space="preserve">I. 🔢</w:t>
      </w:r>
      <w:r>
        <w:t xml:space="preserve"> </w:t>
      </w:r>
      <w:r>
        <w:rPr>
          <w:b/>
          <w:bCs/>
        </w:rPr>
        <w:t xml:space="preserve">Impact of API Token Quantity</w:t>
      </w:r>
    </w:p>
    <w:p>
      <w:pPr>
        <w:pStyle w:val="FirstParagraph"/>
      </w:pPr>
      <w:r>
        <w:t xml:space="preserve">The number of API tokens purchased from providers (like OpenAI or Anthropic) directly determines the</w:t>
      </w:r>
      <w:r>
        <w:t xml:space="preserve"> </w:t>
      </w:r>
      <w:r>
        <w:rPr>
          <w:b/>
          <w:bCs/>
        </w:rP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scalability</w:t>
      </w:r>
      <w:r>
        <w:t xml:space="preserve"> </w:t>
      </w:r>
      <w:r>
        <w:t xml:space="preserve">of the GenAI Factory in two main aspects: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Context Window (Knowledge Depth)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Throughput (Request Capacity)</w:t>
      </w:r>
    </w:p>
    <w:p>
      <w:r>
        <w:pict>
          <v:rect style="width:0;height:1.5pt" o:hralign="center" o:hrstd="t" o:hr="t"/>
        </w:pict>
      </w:r>
    </w:p>
    <w:bookmarkStart w:id="21" w:name="a.-context-window-limitations"/>
    <w:p>
      <w:pPr>
        <w:pStyle w:val="Heading3"/>
      </w:pPr>
      <w:r>
        <w:t xml:space="preserve">A. 🧠</w:t>
      </w:r>
      <w:r>
        <w:t xml:space="preserve"> </w:t>
      </w:r>
      <w:r>
        <w:rPr>
          <w:b/>
          <w:bCs/>
        </w:rPr>
        <w:t xml:space="preserve">Context Window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Token Limit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on System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Reduced RAG Accuracy</w:t>
            </w:r>
          </w:p>
        </w:tc>
        <w:tc>
          <w:tcPr/>
          <w:p>
            <w:pPr>
              <w:pStyle w:val="Compact"/>
            </w:pPr>
            <w:r>
              <w:t xml:space="preserve">Fewer retrieved documents can be included in prompts, risking missing context and increasing hallucinations or incomplete answers.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Lost Conversation Memory</w:t>
            </w:r>
          </w:p>
        </w:tc>
        <w:tc>
          <w:tcPr/>
          <w:p>
            <w:pPr>
              <w:pStyle w:val="Compact"/>
            </w:pPr>
            <w:r>
              <w:t xml:space="preserve">Conversation history (</w:t>
            </w:r>
            <w:r>
              <w:rPr>
                <w:rStyle w:val="VerbatimChar"/>
              </w:rPr>
              <w:t xml:space="preserve">memory_service.py</w:t>
            </w:r>
            <w:r>
              <w:t xml:space="preserve">) must be truncated or summarized often, causing the LLM to forget critical context, degrading user experience.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 Agent Reasoning</w:t>
            </w:r>
          </w:p>
        </w:tc>
        <w:tc>
          <w:tcPr/>
          <w:p>
            <w:pPr>
              <w:pStyle w:val="Compact"/>
            </w:pPr>
            <w:r>
              <w:t xml:space="preserve">Agents like ReAct need tokens to maintain the full Thought/Action/Observation chain. Low token limits force smaller max_steps and timeouts, reducing reasoning depth.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.-rate-limit-throughput-constraints"/>
    <w:p>
      <w:pPr>
        <w:pStyle w:val="Heading3"/>
      </w:pPr>
      <w:r>
        <w:t xml:space="preserve">B. ⚡</w:t>
      </w:r>
      <w:r>
        <w:t xml:space="preserve"> </w:t>
      </w:r>
      <w:r>
        <w:rPr>
          <w:b/>
          <w:bCs/>
        </w:rPr>
        <w:t xml:space="preserve">Rate Limit &amp; Throughput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Rate Limit (Tokens/Minute)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on Scalability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Bottlenecks</w:t>
            </w:r>
          </w:p>
        </w:tc>
        <w:tc>
          <w:tcPr/>
          <w:p>
            <w:pPr>
              <w:pStyle w:val="Compact"/>
            </w:pPr>
            <w:r>
              <w:t xml:space="preserve">When traffic to</w:t>
            </w:r>
            <w:r>
              <w:t xml:space="preserve"> </w:t>
            </w:r>
            <w:r>
              <w:rPr>
                <w:rStyle w:val="VerbatimChar"/>
              </w:rPr>
              <w:t xml:space="preserve">assistant_service.py</w:t>
            </w:r>
            <w:r>
              <w:t xml:space="preserve"> </w:t>
            </w:r>
            <w:r>
              <w:t xml:space="preserve">spikes, API rate limits cause 429 (Too Many Requests) errors.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Degraded Performance</w:t>
            </w:r>
          </w:p>
        </w:tc>
        <w:tc>
          <w:tcPr/>
          <w:p>
            <w:pPr>
              <w:pStyle w:val="Compact"/>
            </w:pPr>
            <w:r>
              <w:t xml:space="preserve">Async I/O hardening can’t fully optimize throughput if requests are blocked by API rate throttling. Latency and queue times increase significantly.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X7933edf516ba7ad1413a1b20227e67c6555a5a4"/>
    <w:p>
      <w:pPr>
        <w:pStyle w:val="Heading2"/>
      </w:pPr>
      <w:r>
        <w:t xml:space="preserve">II. 🧩</w:t>
      </w:r>
      <w:r>
        <w:t xml:space="preserve"> </w:t>
      </w:r>
      <w:r>
        <w:rPr>
          <w:b/>
          <w:bCs/>
        </w:rPr>
        <w:t xml:space="preserve">How RAG &amp; Prompt Compensate for Token Constraints</w:t>
      </w:r>
    </w:p>
    <w:p>
      <w:pPr>
        <w:pStyle w:val="FirstParagraph"/>
      </w:pPr>
      <w:r>
        <w:rPr>
          <w:b/>
          <w:bCs/>
        </w:rPr>
        <w:t xml:space="preserve">RAG</w:t>
      </w:r>
      <w:r>
        <w:t xml:space="preserve"> </w:t>
      </w:r>
      <w:r>
        <w:t xml:space="preserve">(Retrieval-Augmented Generation) and</w:t>
      </w:r>
      <w:r>
        <w:t xml:space="preserve"> </w:t>
      </w:r>
      <w:r>
        <w:rPr>
          <w:b/>
          <w:bCs/>
        </w:rPr>
        <w:t xml:space="preserve">Prompt Engineering</w:t>
      </w:r>
      <w:r>
        <w:t xml:space="preserve"> </w:t>
      </w:r>
      <w:r>
        <w:t xml:space="preserve">are optimization strategies that reduce token dependency while maintaining accuracy and contextual understanding.</w:t>
      </w:r>
    </w:p>
    <w:p>
      <w:r>
        <w:pict>
          <v:rect style="width:0;height:1.5pt" o:hralign="center" o:hrstd="t" o:hr="t"/>
        </w:pict>
      </w:r>
    </w:p>
    <w:bookmarkStart w:id="24" w:name="a.-rag-overcoming-context-size-limits"/>
    <w:p>
      <w:pPr>
        <w:pStyle w:val="Heading3"/>
      </w:pPr>
      <w:r>
        <w:t xml:space="preserve">A. 📚</w:t>
      </w:r>
      <w:r>
        <w:t xml:space="preserve"> </w:t>
      </w:r>
      <w:r>
        <w:rPr>
          <w:b/>
          <w:bCs/>
        </w:rPr>
        <w:t xml:space="preserve">RAG – Overcoming Context Size Limits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Technique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Compensation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Retrieval</w:t>
            </w:r>
          </w:p>
        </w:tc>
        <w:tc>
          <w:tcPr/>
          <w:p>
            <w:pPr>
              <w:pStyle w:val="Compact"/>
            </w:pPr>
            <w:r>
              <w:t xml:space="preserve">Instead of adding entire documents (e.g., 30,000 tokens), RAG injects only the most relevant excerpts (500–1,000 tokens) into the prompt.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Focused and Grounded</w:t>
            </w:r>
          </w:p>
        </w:tc>
        <w:tc>
          <w:tcPr/>
          <w:p>
            <w:pPr>
              <w:pStyle w:val="Compact"/>
            </w:pPr>
            <w:r>
              <w:t xml:space="preserve">Ensures every token used is relevant and factually grounded, minimizing hallucination risk while staying cost-efficient.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eaa7cea3fd747db87b79384b7de21e3df8abc3e"/>
    <w:p>
      <w:pPr>
        <w:pStyle w:val="Heading3"/>
      </w:pPr>
      <w:r>
        <w:t xml:space="preserve">B. 🧾</w:t>
      </w:r>
      <w:r>
        <w:t xml:space="preserve"> </w:t>
      </w:r>
      <w:r>
        <w:rPr>
          <w:b/>
          <w:bCs/>
        </w:rPr>
        <w:t xml:space="preserve">Prompt Engineering – Context &amp; Cost Optimization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Technique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Compensation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Summarization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memory_orchestrator.py</w:t>
            </w:r>
            <w:r>
              <w:t xml:space="preserve"> </w:t>
            </w:r>
            <w:r>
              <w:t xml:space="preserve">compresses conversation history into concise summaries, preserving key context while minimizing token usage.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Few-Shot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fewshot_prompt.py</w:t>
            </w:r>
            <w:r>
              <w:t xml:space="preserve"> </w:t>
            </w:r>
            <w:r>
              <w:t xml:space="preserve">uses a handful of high-quality examples instead of massive instructions or fine-tuning data, teaching models more efficiently.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Estimation (Cost Control)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base_prompt.py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estimate_tokens</w:t>
            </w:r>
            <w:r>
              <w:t xml:space="preserve"> </w:t>
            </w:r>
            <w:r>
              <w:t xml:space="preserve">to predict token consumption before API calls, letting the pipeline trim excess tokens or control RAG size dynamically.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7f8442dc9fa3b58ab6d8a4d1f2bc10e2f4889c6"/>
    <w:p>
      <w:pPr>
        <w:pStyle w:val="Heading2"/>
      </w:pPr>
      <w:r>
        <w:t xml:space="preserve">III. 🧬</w:t>
      </w:r>
      <w:r>
        <w:t xml:space="preserve"> </w:t>
      </w:r>
      <w:r>
        <w:rPr>
          <w:b/>
          <w:bCs/>
        </w:rPr>
        <w:t xml:space="preserve">Fine-Tuning – Long-Term Quality Strategy</w:t>
      </w:r>
    </w:p>
    <w:p>
      <w:pPr>
        <w:pStyle w:val="FirstParagraph"/>
      </w:pPr>
      <w:r>
        <w:t xml:space="preserve">Fine-Tuning is the process of</w:t>
      </w:r>
      <w:r>
        <w:t xml:space="preserve"> </w:t>
      </w:r>
      <w:r>
        <w:rPr>
          <w:b/>
          <w:bCs/>
        </w:rPr>
        <w:t xml:space="preserve">retraining a base model (e.g., GPT-3.5, Llama 2)</w:t>
      </w:r>
      <w:r>
        <w:t xml:space="preserve"> </w:t>
      </w:r>
      <w:r>
        <w:t xml:space="preserve">on a small, high-quality domain dataset. It modifies the model weights permanently to specialize and format outputs reliably.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Specialization</w:t>
            </w:r>
          </w:p>
        </w:tc>
        <w:tc>
          <w:tcPr/>
          <w:p>
            <w:pPr>
              <w:pStyle w:val="Compact"/>
            </w:pPr>
            <w:r>
              <w:t xml:space="preserve">Teach the model domain-specific logic (e.g., credit approval workflows).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Style/Format Enforcement</w:t>
            </w:r>
          </w:p>
        </w:tc>
        <w:tc>
          <w:tcPr/>
          <w:p>
            <w:pPr>
              <w:pStyle w:val="Compact"/>
            </w:pPr>
            <w:r>
              <w:t xml:space="preserve">Make responses follow strict tone or formats (e.g., always return JSON-compliant answers).</w:t>
            </w:r>
          </w:p>
        </w:tc>
      </w:tr>
    </w:tbl>
    <w:p>
      <w:pPr>
        <w:pStyle w:val="BodyText"/>
      </w:pPr>
      <w:r>
        <w:t xml:space="preserve">🔹</w:t>
      </w:r>
      <w:r>
        <w:t xml:space="preserve"> </w:t>
      </w:r>
      <w:r>
        <w:rPr>
          <w:i/>
          <w:iCs/>
        </w:rPr>
        <w:t xml:space="preserve">Fine-Tuning permanently alters model parameters — unlike RAG or Prompt, which work only at inference time.</w:t>
      </w:r>
    </w:p>
    <w:p>
      <w:r>
        <w:pict>
          <v:rect style="width:0;height:1.5pt" o:hralign="center" o:hrstd="t" o:hr="t"/>
        </w:pict>
      </w:r>
    </w:p>
    <w:bookmarkEnd w:id="27"/>
    <w:bookmarkStart w:id="28" w:name="X34d9e435ed6be102b78f306355f73c9bffb0786"/>
    <w:p>
      <w:pPr>
        <w:pStyle w:val="Heading2"/>
      </w:pPr>
      <w:r>
        <w:t xml:space="preserve">IV. 🔄</w:t>
      </w:r>
      <w:r>
        <w:t xml:space="preserve"> </w:t>
      </w:r>
      <w:r>
        <w:rPr>
          <w:b/>
          <w:bCs/>
        </w:rPr>
        <w:t xml:space="preserve">Comparison: Token, RAG, Prompt, Fine-Tuning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3"/>
        <w:gridCol w:w="1604"/>
        <w:gridCol w:w="1002"/>
        <w:gridCol w:w="2406"/>
        <w:gridCol w:w="16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Depth</w:t>
            </w:r>
          </w:p>
        </w:tc>
        <w:tc>
          <w:tcPr/>
          <w:p>
            <w:pPr>
              <w:pStyle w:val="Compact"/>
            </w:pPr>
            <w:r>
              <w:t xml:space="preserve">Permanent (deep, weight-level).</w:t>
            </w:r>
          </w:p>
        </w:tc>
        <w:tc>
          <w:tcPr/>
          <w:p>
            <w:pPr>
              <w:pStyle w:val="Compact"/>
            </w:pPr>
            <w:r>
              <w:t xml:space="preserve">Temporary (input-level).</w:t>
            </w:r>
          </w:p>
        </w:tc>
        <w:tc>
          <w:tcPr/>
          <w:p>
            <w:pPr>
              <w:pStyle w:val="Compact"/>
            </w:pPr>
            <w:r>
              <w:t xml:space="preserve">Temporary (instruction-level).</w:t>
            </w:r>
          </w:p>
        </w:tc>
        <w:tc>
          <w:tcPr/>
          <w:p>
            <w:pPr>
              <w:pStyle w:val="Compact"/>
            </w:pPr>
            <w:r>
              <w:t xml:space="preserve">None (scaling-level).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Structured training pairs (input-output).</w:t>
            </w:r>
          </w:p>
        </w:tc>
        <w:tc>
          <w:tcPr/>
          <w:p>
            <w:pPr>
              <w:pStyle w:val="Compact"/>
            </w:pPr>
            <w:r>
              <w:t xml:space="preserve">Knowledge data (reports, docs).</w:t>
            </w:r>
          </w:p>
        </w:tc>
        <w:tc>
          <w:tcPr/>
          <w:p>
            <w:pPr>
              <w:pStyle w:val="Compact"/>
            </w:pPr>
            <w:r>
              <w:t xml:space="preserve">Instruction templates, few-shot examples.</w:t>
            </w:r>
          </w:p>
        </w:tc>
        <w:tc>
          <w:tcPr/>
          <w:p>
            <w:pPr>
              <w:pStyle w:val="Compact"/>
            </w:pPr>
            <w:r>
              <w:t xml:space="preserve">Context size limit per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Time</w:t>
            </w:r>
          </w:p>
        </w:tc>
        <w:tc>
          <w:tcPr/>
          <w:p>
            <w:pPr>
              <w:pStyle w:val="Compact"/>
            </w:pPr>
            <w:r>
              <w:t xml:space="preserve">Offline (training phase).</w:t>
            </w:r>
          </w:p>
        </w:tc>
        <w:tc>
          <w:tcPr/>
          <w:p>
            <w:pPr>
              <w:pStyle w:val="Compact"/>
            </w:pPr>
            <w:r>
              <w:t xml:space="preserve">Online (query-time).</w:t>
            </w:r>
          </w:p>
        </w:tc>
        <w:tc>
          <w:tcPr/>
          <w:p>
            <w:pPr>
              <w:pStyle w:val="Compact"/>
            </w:pPr>
            <w:r>
              <w:t xml:space="preserve">Online (query-time).</w:t>
            </w:r>
          </w:p>
        </w:tc>
        <w:tc>
          <w:tcPr/>
          <w:p>
            <w:pPr>
              <w:pStyle w:val="Compact"/>
            </w:pPr>
            <w:r>
              <w:t xml:space="preserve">Continuous.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Value</w:t>
            </w:r>
          </w:p>
        </w:tc>
        <w:tc>
          <w:tcPr/>
          <w:p>
            <w:pPr>
              <w:pStyle w:val="Compact"/>
            </w:pPr>
            <w:r>
              <w:t xml:space="preserve">Improves internal intelligence.</w:t>
            </w:r>
          </w:p>
        </w:tc>
        <w:tc>
          <w:tcPr/>
          <w:p>
            <w:pPr>
              <w:pStyle w:val="Compact"/>
            </w:pPr>
            <w:r>
              <w:t xml:space="preserve">Injects updated domain knowledge.</w:t>
            </w:r>
          </w:p>
        </w:tc>
        <w:tc>
          <w:tcPr/>
          <w:p>
            <w:pPr>
              <w:pStyle w:val="Compact"/>
            </w:pPr>
            <w:r>
              <w:t xml:space="preserve">Controls reasoning/output structure.</w:t>
            </w:r>
          </w:p>
        </w:tc>
        <w:tc>
          <w:tcPr/>
          <w:p>
            <w:pPr>
              <w:pStyle w:val="Compact"/>
            </w:pPr>
            <w:r>
              <w:t xml:space="preserve">Governs model capacity and throughput.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.-synergy-within-genai-factory"/>
    <w:p>
      <w:pPr>
        <w:pStyle w:val="Heading2"/>
      </w:pPr>
      <w:r>
        <w:t xml:space="preserve">V. 🤝</w:t>
      </w:r>
      <w:r>
        <w:t xml:space="preserve"> </w:t>
      </w:r>
      <w:r>
        <w:rPr>
          <w:b/>
          <w:bCs/>
        </w:rPr>
        <w:t xml:space="preserve">Synergy Within GenAI Factory</w:t>
      </w:r>
    </w:p>
    <w:p>
      <w:pPr>
        <w:pStyle w:val="FirstParagraph"/>
      </w:pPr>
      <w:r>
        <w:t xml:space="preserve">Fine-Tuning is not a replacement but a</w:t>
      </w:r>
      <w:r>
        <w:t xml:space="preserve"> </w:t>
      </w:r>
      <w:r>
        <w:rPr>
          <w:b/>
          <w:bCs/>
        </w:rPr>
        <w:t xml:space="preserve">reinforcement</w:t>
      </w:r>
      <w:r>
        <w:t xml:space="preserve"> </w:t>
      </w:r>
      <w:r>
        <w:t xml:space="preserve">of RAG and Prompt.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4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Complementary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 → RAG</w:t>
            </w:r>
          </w:p>
        </w:tc>
        <w:tc>
          <w:tcPr/>
          <w:p>
            <w:pPr>
              <w:pStyle w:val="Compact"/>
            </w:pPr>
            <w:r>
              <w:t xml:space="preserve">A fine-tuned model interprets retrieved documents more effectively, improving factual consistency.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 → Prompt</w:t>
            </w:r>
          </w:p>
        </w:tc>
        <w:tc>
          <w:tcPr/>
          <w:p>
            <w:pPr>
              <w:pStyle w:val="Compact"/>
            </w:pPr>
            <w:r>
              <w:t xml:space="preserve">Reduces prompt verbosity — no need to restate JSON or tone rules every time, saving tokens.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 Insight: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RAG/Prompt = Performance Techniques</w:t>
      </w:r>
      <w:r>
        <w:t xml:space="preserve"> </w:t>
      </w:r>
      <w:r>
        <w:t xml:space="preserve">→ Improve inference quality via smarter input.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Fine-Tuning = Quality Technique</w:t>
      </w:r>
      <w:r>
        <w:t xml:space="preserve"> </w:t>
      </w:r>
      <w:r>
        <w:t xml:space="preserve">→ Improves the model’s core behavior.</w:t>
      </w:r>
    </w:p>
    <w:p>
      <w:r>
        <w:pict>
          <v:rect style="width:0;height:1.5pt" o:hralign="center" o:hrstd="t" o:hr="t"/>
        </w:pict>
      </w:r>
    </w:p>
    <w:bookmarkEnd w:id="29"/>
    <w:bookmarkStart w:id="30" w:name="vi.-when-to-use-each-strategy"/>
    <w:p>
      <w:pPr>
        <w:pStyle w:val="Heading2"/>
      </w:pPr>
      <w:r>
        <w:t xml:space="preserve">VI. 💡</w:t>
      </w:r>
      <w:r>
        <w:t xml:space="preserve"> </w:t>
      </w:r>
      <w:r>
        <w:rPr>
          <w:b/>
          <w:bCs/>
        </w:rPr>
        <w:t xml:space="preserve">When to Use Each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1"/>
        <w:gridCol w:w="2262"/>
        <w:gridCol w:w="1414"/>
        <w:gridCol w:w="21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Token</w:t>
            </w:r>
          </w:p>
        </w:tc>
        <w:tc>
          <w:tcPr/>
          <w:p>
            <w:pPr>
              <w:pStyle w:val="Compact"/>
            </w:pPr>
            <w:r>
              <w:t xml:space="preserve">Always required for inference.</w:t>
            </w:r>
          </w:p>
        </w:tc>
        <w:tc>
          <w:tcPr/>
          <w:p>
            <w:pPr>
              <w:pStyle w:val="Compact"/>
            </w:pPr>
            <w:r>
              <w:t xml:space="preserve">Recurring (OPEX).</w:t>
            </w:r>
          </w:p>
        </w:tc>
        <w:tc>
          <w:tcPr/>
          <w:p>
            <w:pPr>
              <w:pStyle w:val="Compact"/>
            </w:pPr>
            <w:r>
              <w:t xml:space="preserve">Instant.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RAG/Prompt</w:t>
            </w:r>
          </w:p>
        </w:tc>
        <w:tc>
          <w:tcPr/>
          <w:p>
            <w:pPr>
              <w:pStyle w:val="Compact"/>
            </w:pPr>
            <w:r>
              <w:t xml:space="preserve">Default optimization approach.</w:t>
            </w:r>
          </w:p>
        </w:tc>
        <w:tc>
          <w:tcPr/>
          <w:p>
            <w:pPr>
              <w:pStyle w:val="Compact"/>
            </w:pPr>
            <w:r>
              <w:t xml:space="preserve">Operational token cost.</w:t>
            </w:r>
          </w:p>
        </w:tc>
        <w:tc>
          <w:tcPr/>
          <w:p>
            <w:pPr>
              <w:pStyle w:val="Compact"/>
            </w:pPr>
            <w:r>
              <w:t xml:space="preserve">Immediate.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</w:t>
            </w:r>
          </w:p>
        </w:tc>
        <w:tc>
          <w:tcPr/>
          <w:p>
            <w:pPr>
              <w:pStyle w:val="Compact"/>
            </w:pPr>
            <w:r>
              <w:t xml:space="preserve">Advanced phase, when Prompt/RAG can’t meet accuracy or formatting needs.</w:t>
            </w:r>
          </w:p>
        </w:tc>
        <w:tc>
          <w:tcPr/>
          <w:p>
            <w:pPr>
              <w:pStyle w:val="Compact"/>
            </w:pPr>
            <w:r>
              <w:t xml:space="preserve">Development + GPU cost (CAPEX).</w:t>
            </w:r>
          </w:p>
        </w:tc>
        <w:tc>
          <w:tcPr/>
          <w:p>
            <w:pPr>
              <w:pStyle w:val="Compact"/>
            </w:pPr>
            <w:r>
              <w:t xml:space="preserve">Long-term (R&amp;D cycle).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5730f3b677a6a55f4a83a4a982f2833c20ebb34"/>
    <w:p>
      <w:pPr>
        <w:pStyle w:val="Heading2"/>
      </w:pPr>
      <w:r>
        <w:t xml:space="preserve">VII. 🚀</w:t>
      </w:r>
      <w:r>
        <w:t xml:space="preserve"> </w:t>
      </w:r>
      <w:r>
        <w:rPr>
          <w:b/>
          <w:bCs/>
        </w:rPr>
        <w:t xml:space="preserve">Strategic Recommendation for GenAI Factory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with RAG + Prompt Engineering</w:t>
      </w:r>
      <w:r>
        <w:t xml:space="preserve"> </w:t>
      </w:r>
      <w:r>
        <w:t xml:space="preserve">— for fast, cost-effective performance gains.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 quality and stability</w:t>
      </w:r>
      <w:r>
        <w:t xml:space="preserve"> </w:t>
      </w:r>
      <w:r>
        <w:t xml:space="preserve">under real workloads.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Introduce Fine-Tuning</w:t>
      </w:r>
      <w:r>
        <w:t xml:space="preserve"> </w:t>
      </w:r>
      <w:r>
        <w:t xml:space="preserve">only when consistent accuracy, tone, or format cannot be achieved.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/>
          <w:iCs/>
        </w:rPr>
        <w:t xml:space="preserve">Token purchase = OPEX decision.</w:t>
      </w:r>
      <w:r>
        <w:br/>
      </w:r>
      <w:r>
        <w:t xml:space="preserve">💡</w:t>
      </w:r>
      <w:r>
        <w:t xml:space="preserve"> </w:t>
      </w:r>
      <w:r>
        <w:rPr>
          <w:i/>
          <w:iCs/>
        </w:rPr>
        <w:t xml:space="preserve">Fine-Tuning = CAPEX / R&amp;D investment.</w:t>
      </w:r>
    </w:p>
    <w:p>
      <w:pPr>
        <w:pStyle w:val="BlockText"/>
      </w:pPr>
      <w:r>
        <w:t xml:space="preserve">The right balance of Token, RAG, Prompt, and Fine-Tuning defines the maturity and sustainability of any GenAI system — turning experimental chatbots into enterprise-grade cognitive engines.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2025-10-15T04:27:10Z</dcterms:created>
  <dcterms:modified xsi:type="dcterms:W3CDTF">2025-10-15T04:27:10Z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