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Canvas: Governance &amp; Tool Control (The Gates) — Deep Dive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ToolCoordinatorAgent.py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Purpose</w:t>
      </w:r>
    </w:p>
    <w:p>
      <w:pPr>
        <w:pStyle w:val="FirstParagraph"/>
      </w:pPr>
      <w:r>
        <w:rPr>
          <w:rStyle w:val="VerbatimChar"/>
        </w:rPr>
        <w:t xml:space="preserve">ToolCoordinatorAgent</w:t>
      </w:r>
      <w:r>
        <w:t xml:space="preserve"> </w:t>
      </w:r>
      <w:r>
        <w:t xml:space="preserve">không phải là một</w:t>
      </w:r>
      <w:r>
        <w:t xml:space="preserve"> </w:t>
      </w:r>
      <w:r>
        <w:rPr>
          <w:i/>
          <w:iCs/>
        </w:rPr>
        <w:t xml:space="preserve">Reasoning Agent</w:t>
      </w:r>
      <w:r>
        <w:t xml:space="preserve"> </w:t>
      </w:r>
      <w:r>
        <w:t xml:space="preserve">(tức không thực hiện suy luận), mà là</w:t>
      </w:r>
      <w:r>
        <w:t xml:space="preserve"> </w:t>
      </w:r>
      <w:r>
        <w:rPr>
          <w:b/>
          <w:bCs/>
        </w:rPr>
        <w:t xml:space="preserve">Technical Control Gateway</w:t>
      </w:r>
      <w:r>
        <w:t xml:space="preserve"> </w:t>
      </w:r>
      <w:r>
        <w:t xml:space="preserve">— cổng điều khiển trung tâm trong tầng</w:t>
      </w:r>
      <w:r>
        <w:t xml:space="preserve"> </w:t>
      </w:r>
      <w:r>
        <w:rPr>
          <w:i/>
          <w:iCs/>
        </w:rPr>
        <w:t xml:space="preserve">Governance</w:t>
      </w:r>
      <w:r>
        <w:t xml:space="preserve">. Nó đảm bảo mọi lệnh gọi Tool đều được kiểm soát chặt chẽ theo 3 khía cạnh:</w:t>
      </w:r>
      <w:r>
        <w:t xml:space="preserve"> </w:t>
      </w:r>
      <w:r>
        <w:rPr>
          <w:b/>
          <w:bCs/>
        </w:rPr>
        <w:t xml:space="preserve">Security</w:t>
      </w:r>
      <w:r>
        <w:t xml:space="preserve">,</w:t>
      </w:r>
      <w:r>
        <w:t xml:space="preserve"> </w:t>
      </w:r>
      <w:r>
        <w:rPr>
          <w:b/>
          <w:bCs/>
        </w:rPr>
        <w:t xml:space="preserve">Cost Efficiency (FinOps)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Delegation (Service Routing)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core-logic-async_execute_tool_call"/>
    <w:p>
      <w:pPr>
        <w:pStyle w:val="Heading2"/>
      </w:pPr>
      <w:r>
        <w:t xml:space="preserve">⚙️</w:t>
      </w:r>
      <w:r>
        <w:t xml:space="preserve"> </w:t>
      </w:r>
      <w:r>
        <w:rPr>
          <w:b/>
          <w:bCs/>
        </w:rPr>
        <w:t xml:space="preserve">1. Core Logic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async_execute_tool_call()</w:t>
      </w:r>
    </w:p>
    <w:p>
      <w:pPr>
        <w:pStyle w:val="FirstParagraph"/>
      </w:pPr>
      <w:r>
        <w:t xml:space="preserve">Đây là phương thức trung tâm (trái tim) của toàn bộ hệ thống</w:t>
      </w:r>
      <w:r>
        <w:t xml:space="preserve"> </w:t>
      </w:r>
      <w:r>
        <w:rPr>
          <w:i/>
          <w:iCs/>
        </w:rPr>
        <w:t xml:space="preserve">Governance Tool Control</w:t>
      </w:r>
      <w:r>
        <w:t xml:space="preserve">, nơi 100% lệnh gọi Tool được xử lý. Logic được thiết kế theo 4 tầng kiểm soát (The Four Gates):</w:t>
      </w:r>
    </w:p>
    <w:bookmarkStart w:id="21" w:name="a.-security-gate-acl-audit"/>
    <w:p>
      <w:pPr>
        <w:pStyle w:val="Heading3"/>
      </w:pPr>
      <w:r>
        <w:t xml:space="preserve">🛡️ A.</w:t>
      </w:r>
      <w:r>
        <w:t xml:space="preserve"> </w:t>
      </w:r>
      <w:r>
        <w:rPr>
          <w:b/>
          <w:bCs/>
        </w:rPr>
        <w:t xml:space="preserve">Security Gate (ACL &amp; Audit)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145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Giá trị Hardened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self._check_acl(agent_name, tool_name)</w:t>
            </w:r>
          </w:p>
        </w:tc>
        <w:tc>
          <w:tcPr/>
          <w:p>
            <w:pPr>
              <w:pStyle w:val="Compact"/>
            </w:pPr>
            <w:r>
              <w:t xml:space="preserve">Kiểm tra quyền truy cập dựa trên vai trò Agent (ví dụ:</w:t>
            </w:r>
            <w:r>
              <w:t xml:space="preserve"> </w:t>
            </w:r>
            <w:r>
              <w:rPr>
                <w:rStyle w:val="VerbatimChar"/>
              </w:rPr>
              <w:t xml:space="preserve">ComplianceCriticAgent</w:t>
            </w:r>
            <w:r>
              <w:t xml:space="preserve"> </w:t>
            </w:r>
            <w:r>
              <w:t xml:space="preserve">không được gọi</w:t>
            </w:r>
            <w:r>
              <w:t xml:space="preserve"> </w:t>
            </w:r>
            <w:r>
              <w:rPr>
                <w:rStyle w:val="VerbatimChar"/>
              </w:rPr>
              <w:t xml:space="preserve">SQLTool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Thực thi</w:t>
            </w:r>
            <w:r>
              <w:t xml:space="preserve"> </w:t>
            </w:r>
            <w:r>
              <w:rPr>
                <w:i/>
                <w:iCs/>
              </w:rPr>
              <w:t xml:space="preserve">Least Privilege Principle</w:t>
            </w:r>
            <w:r>
              <w:t xml:space="preserve"> </w:t>
            </w:r>
            <w:r>
              <w:t xml:space="preserve">— nếu vi phạm, ghi log</w:t>
            </w:r>
            <w:r>
              <w:t xml:space="preserve"> </w:t>
            </w:r>
            <w:r>
              <w:rPr>
                <w:rStyle w:val="VerbatimChar"/>
              </w:rPr>
              <w:t xml:space="preserve">ACL_DENIED</w:t>
            </w:r>
            <w:r>
              <w:t xml:space="preserve"> </w:t>
            </w:r>
            <w:r>
              <w:t xml:space="preserve">và raise</w:t>
            </w:r>
            <w:r>
              <w:t xml:space="preserve"> </w:t>
            </w:r>
            <w:r>
              <w:rPr>
                <w:rStyle w:val="VerbatimChar"/>
              </w:rPr>
              <w:t xml:space="preserve">SecurityError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self._record_audit(...)</w:t>
            </w:r>
          </w:p>
        </w:tc>
        <w:tc>
          <w:tcPr/>
          <w:p>
            <w:pPr>
              <w:pStyle w:val="Compact"/>
            </w:pPr>
            <w:r>
              <w:t xml:space="preserve">Ghi lại mọi hành động trước, trong và sau khi gọi Tool (</w:t>
            </w:r>
            <w:r>
              <w:t xml:space="preserve">“TOOL_EXECUTE_START”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“TOOL_EXECUTE_SUCCESS”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Traceability &amp; Compliance</w:t>
            </w:r>
            <w:r>
              <w:t xml:space="preserve"> </w:t>
            </w:r>
            <w:r>
              <w:t xml:space="preserve">— tạo</w:t>
            </w:r>
            <w:r>
              <w:t xml:space="preserve"> </w:t>
            </w:r>
            <w:r>
              <w:rPr>
                <w:i/>
                <w:iCs/>
              </w:rPr>
              <w:t xml:space="preserve">immutable audit trail</w:t>
            </w:r>
            <w:r>
              <w:t xml:space="preserve"> </w:t>
            </w:r>
            <w:r>
              <w:t xml:space="preserve">phục vụ kiểm toán (GDPR, PII, ISO27001).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.-finops-gate-cache-lookup"/>
    <w:p>
      <w:pPr>
        <w:pStyle w:val="Heading3"/>
      </w:pPr>
      <w:r>
        <w:t xml:space="preserve">💰 B.</w:t>
      </w:r>
      <w:r>
        <w:t xml:space="preserve"> </w:t>
      </w:r>
      <w:r>
        <w:rPr>
          <w:b/>
          <w:bCs/>
        </w:rPr>
        <w:t xml:space="preserve">FinOps Gate (Cache Lookup)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145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Giá trị Hardened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cache_key = f"{tool_name}:{str(tool_input)}"</w:t>
            </w:r>
          </w:p>
        </w:tc>
        <w:tc>
          <w:tcPr/>
          <w:p>
            <w:pPr>
              <w:pStyle w:val="Compact"/>
            </w:pPr>
            <w:r>
              <w:t xml:space="preserve">Tạo khóa Cache duy nhất dựa trên tên Tool và Input.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Deterministic Consistency</w:t>
            </w:r>
            <w:r>
              <w:t xml:space="preserve"> </w:t>
            </w:r>
            <w:r>
              <w:t xml:space="preserve">— đảm bảo cùng input → cùng output.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self.cache_tool.async_run({"action": "GET", ...})</w:t>
            </w:r>
          </w:p>
        </w:tc>
        <w:tc>
          <w:tcPr/>
          <w:p>
            <w:pPr>
              <w:pStyle w:val="Compact"/>
            </w:pPr>
            <w:r>
              <w:t xml:space="preserve">Kiểm tra CacheTool để tìm dữ liệu đã lưu.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Cost Control &amp; Latency Optimization</w:t>
            </w:r>
            <w:r>
              <w:t xml:space="preserve"> </w:t>
            </w:r>
            <w:r>
              <w:t xml:space="preserve">— nếu</w:t>
            </w:r>
            <w:r>
              <w:t xml:space="preserve"> </w:t>
            </w:r>
            <w:r>
              <w:rPr>
                <w:i/>
                <w:iCs/>
              </w:rPr>
              <w:t xml:space="preserve">cache hit</w:t>
            </w:r>
            <w:r>
              <w:t xml:space="preserve">, bỏ qua toàn bộ việc gọi Tool, tiết kiệm chi phí I/O và LLM tokens.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55464167827bb337663624498cf586ec3a2f6ed"/>
    <w:p>
      <w:pPr>
        <w:pStyle w:val="Heading2"/>
      </w:pPr>
      <w:r>
        <w:t xml:space="preserve">🧩</w:t>
      </w:r>
      <w:r>
        <w:t xml:space="preserve"> </w:t>
      </w:r>
      <w:r>
        <w:rPr>
          <w:b/>
          <w:bCs/>
        </w:rPr>
        <w:t xml:space="preserve">2. Delegation &amp; Execution — Solving the Bottleneck</w:t>
      </w:r>
    </w:p>
    <w:p>
      <w:pPr>
        <w:pStyle w:val="FirstParagraph"/>
      </w:pPr>
      <w:r>
        <w:t xml:space="preserve">Sau khi vượt qua 2 lớp cổng (Security + FinOps), hệ thống sẽ</w:t>
      </w:r>
      <w:r>
        <w:t xml:space="preserve"> </w:t>
      </w:r>
      <w:r>
        <w:rPr>
          <w:b/>
          <w:bCs/>
        </w:rPr>
        <w:t xml:space="preserve">ủy quyền thực thi</w:t>
      </w:r>
      <w:r>
        <w:t xml:space="preserve"> </w:t>
      </w:r>
      <w:r>
        <w:t xml:space="preserve">tới Service tương ứng, đảm bảo phân tách I/O-bound và CPU-bound logic.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Service Adapter</w:t>
            </w:r>
          </w:p>
        </w:tc>
        <w:tc>
          <w:tcPr/>
          <w:p>
            <w:pPr>
              <w:pStyle w:val="Compact"/>
            </w:pPr>
            <w:r>
              <w:t xml:space="preserve">Mục tiêu / Giá trị Kiến trúc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tool_name in self.data_access_tools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DataAccessService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Async I/O Delegation</w:t>
            </w:r>
            <w:r>
              <w:t xml:space="preserve"> </w:t>
            </w:r>
            <w:r>
              <w:t xml:space="preserve">— tối ưu query DB, RAG, hoặc File I/O qua connection pool.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tool_name in self.compute_tools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ComputeService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CPU Delegation</w:t>
            </w:r>
            <w:r>
              <w:t xml:space="preserve"> </w:t>
            </w:r>
            <w:r>
              <w:t xml:space="preserve">— dùng</w:t>
            </w:r>
            <w:r>
              <w:t xml:space="preserve"> </w:t>
            </w:r>
            <w:r>
              <w:rPr>
                <w:rStyle w:val="VerbatimChar"/>
              </w:rPr>
              <w:t xml:space="preserve">ThreadPoolExecutor</w:t>
            </w:r>
            <w:r>
              <w:t xml:space="preserve"> </w:t>
            </w:r>
            <w:r>
              <w:t xml:space="preserve">để xử lý nặng tính toán, tránh blocking event loop.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tool_name in self.direct_execution_tools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Execution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Inline Governance Tools</w:t>
            </w:r>
            <w:r>
              <w:t xml:space="preserve"> </w:t>
            </w:r>
            <w:r>
              <w:t xml:space="preserve">— xử lý ngay tại Coordinator (như</w:t>
            </w:r>
            <w:r>
              <w:t xml:space="preserve"> </w:t>
            </w:r>
            <w:r>
              <w:rPr>
                <w:rStyle w:val="VerbatimChar"/>
              </w:rPr>
              <w:t xml:space="preserve">audit_tool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email_tool</w:t>
            </w:r>
            <w:r>
              <w:t xml:space="preserve">) do chi phí I/O thấp.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feedback-loop-learning-compliance"/>
    <w:p>
      <w:pPr>
        <w:pStyle w:val="Heading2"/>
      </w:pPr>
      <w:r>
        <w:t xml:space="preserve">🔁</w:t>
      </w:r>
      <w:r>
        <w:t xml:space="preserve"> </w:t>
      </w:r>
      <w:r>
        <w:rPr>
          <w:b/>
          <w:bCs/>
        </w:rPr>
        <w:t xml:space="preserve">3. Feedback Loop — Learning &amp; Compliance</w:t>
      </w:r>
    </w:p>
    <w:p>
      <w:pPr>
        <w:pStyle w:val="FirstParagraph"/>
      </w:pPr>
      <w:r>
        <w:t xml:space="preserve">Sau khi Tool được thực thi, Coordinator đảm bảo</w:t>
      </w:r>
      <w:r>
        <w:t xml:space="preserve"> </w:t>
      </w:r>
      <w:r>
        <w:rPr>
          <w:b/>
          <w:bCs/>
        </w:rPr>
        <w:t xml:space="preserve">toàn bộ vòng phản hồi được ghi nhận và học hỏi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15"/>
        <w:gridCol w:w="2715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Hoạt động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Lưu trữ (CacheTool)</w:t>
            </w:r>
          </w:p>
        </w:tc>
        <w:tc>
          <w:tcPr/>
          <w:p>
            <w:pPr>
              <w:pStyle w:val="Compact"/>
            </w:pPr>
            <w:r>
              <w:t xml:space="preserve">Ghi lại kết quả để dùng lại lần sau.</w:t>
            </w:r>
          </w:p>
        </w:tc>
        <w:tc>
          <w:tcPr/>
          <w:p>
            <w:pPr>
              <w:pStyle w:val="Compact"/>
            </w:pPr>
            <w:r>
              <w:t xml:space="preserve">Tăng tốc độ phản hồi &amp; giảm chi phí FinOps.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Báo cáo (AuditTool)</w:t>
            </w:r>
          </w:p>
        </w:tc>
        <w:tc>
          <w:tcPr/>
          <w:p>
            <w:pPr>
              <w:pStyle w:val="Compact"/>
            </w:pPr>
            <w:r>
              <w:t xml:space="preserve">Lưu log vào AuditTrail (ai gọi, gọi gì, khi nào).</w:t>
            </w:r>
          </w:p>
        </w:tc>
        <w:tc>
          <w:tcPr/>
          <w:p>
            <w:pPr>
              <w:pStyle w:val="Compact"/>
            </w:pPr>
            <w:r>
              <w:t xml:space="preserve">Phục vụ kiểm toán &amp; giải trình sau này.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Phản hồi (Observation)</w:t>
            </w:r>
          </w:p>
        </w:tc>
        <w:tc>
          <w:tcPr/>
          <w:p>
            <w:pPr>
              <w:pStyle w:val="Compact"/>
            </w:pPr>
            <w:r>
              <w:t xml:space="preserve">Trả về kết quả dạng string</w:t>
            </w:r>
            <w:r>
              <w:t xml:space="preserve"> </w:t>
            </w:r>
            <w:r>
              <w:rPr>
                <w:rStyle w:val="VerbatimChar"/>
              </w:rPr>
              <w:t xml:space="preserve">{Observation: {...}}</w:t>
            </w:r>
            <w:r>
              <w:t xml:space="preserve"> </w:t>
            </w:r>
            <w:r>
              <w:t xml:space="preserve">cho tầng Agent Worker.</w:t>
            </w:r>
          </w:p>
        </w:tc>
        <w:tc>
          <w:tcPr/>
          <w:p>
            <w:pPr>
              <w:pStyle w:val="Compact"/>
            </w:pPr>
            <w:r>
              <w:t xml:space="preserve">Cho phép Agent tiếp tục vòng ReAct loop dựa trên observation.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tổng-kết-vai-trò-kiến-trúc"/>
    <w:p>
      <w:pPr>
        <w:pStyle w:val="Heading2"/>
      </w:pPr>
      <w:r>
        <w:t xml:space="preserve">🧠</w:t>
      </w:r>
      <w:r>
        <w:t xml:space="preserve"> </w:t>
      </w:r>
      <w:r>
        <w:rPr>
          <w:b/>
          <w:bCs/>
        </w:rPr>
        <w:t xml:space="preserve">Tổng kết Vai trò Kiến trúc</w:t>
      </w:r>
    </w:p>
    <w:p>
      <w:pPr>
        <w:pStyle w:val="FirstParagraph"/>
      </w:pPr>
      <w:r>
        <w:rPr>
          <w:rStyle w:val="VerbatimChar"/>
        </w:rPr>
        <w:t xml:space="preserve">ToolCoordinatorAgent</w:t>
      </w:r>
      <w:r>
        <w:t xml:space="preserve"> </w:t>
      </w:r>
      <w:r>
        <w:t xml:space="preserve">đóng vai trò</w:t>
      </w:r>
      <w:r>
        <w:t xml:space="preserve"> </w:t>
      </w:r>
      <w:r>
        <w:rPr>
          <w:b/>
          <w:bCs/>
        </w:rPr>
        <w:t xml:space="preserve">Middleware trung tâm</w:t>
      </w:r>
      <w:r>
        <w:t xml:space="preserve"> </w:t>
      </w:r>
      <w:r>
        <w:t xml:space="preserve">giữa tầng</w:t>
      </w:r>
      <w:r>
        <w:t xml:space="preserve"> </w:t>
      </w:r>
      <w:r>
        <w:rPr>
          <w:i/>
          <w:iCs/>
        </w:rPr>
        <w:t xml:space="preserve">Governance Control Plane</w:t>
      </w:r>
      <w:r>
        <w:t xml:space="preserve"> </w:t>
      </w:r>
      <w:r>
        <w:t xml:space="preserve">và</w:t>
      </w:r>
      <w:r>
        <w:t xml:space="preserve"> </w:t>
      </w:r>
      <w:r>
        <w:rPr>
          <w:i/>
          <w:iCs/>
        </w:rPr>
        <w:t xml:space="preserve">Execution Layer</w:t>
      </w:r>
      <w:r>
        <w:t xml:space="preserve">. Nó: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Bảo vệ</w:t>
      </w:r>
      <w:r>
        <w:t xml:space="preserve"> </w:t>
      </w:r>
      <w:r>
        <w:t xml:space="preserve">hệ thống khỏi các lệnh gọi không hợp lệ (Security).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Tối ưu hóa</w:t>
      </w:r>
      <w:r>
        <w:t xml:space="preserve"> </w:t>
      </w:r>
      <w:r>
        <w:t xml:space="preserve">chi phí &amp; hiệu năng (FinOps).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Điều phối</w:t>
      </w:r>
      <w:r>
        <w:t xml:space="preserve"> </w:t>
      </w:r>
      <w:r>
        <w:t xml:space="preserve">các dịch vụ tính toán và truy xuất (Delegation).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Ghi nhận toàn bộ dấu vết vận hành</w:t>
      </w:r>
      <w:r>
        <w:t xml:space="preserve"> </w:t>
      </w:r>
      <w:r>
        <w:t xml:space="preserve">(Audit &amp; Traceability).</w:t>
      </w:r>
    </w:p>
    <w:p>
      <w:pPr>
        <w:pStyle w:val="BlockText"/>
      </w:pPr>
      <w:r>
        <w:t xml:space="preserve">🧩 Đây là mô-đun quan trọng nhất trong kiến trúc</w:t>
      </w:r>
      <w:r>
        <w:t xml:space="preserve"> </w:t>
      </w:r>
      <w:r>
        <w:rPr>
          <w:i/>
          <w:iCs/>
        </w:rPr>
        <w:t xml:space="preserve">Governance Layer</w:t>
      </w:r>
      <w:r>
        <w:t xml:space="preserve">, đảm bảo mọi hành động trong hệ thống AI đều được kiểm soát, minh bạch, và có thể giải trình.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2025-10-25T01:45:55Z</dcterms:created>
  <dcterms:modified xsi:type="dcterms:W3CDTF">2025-10-25T01:45:55Z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