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Tool Service Layer — Giải quyết Bottleneck về I/O và CPU</w:t>
      </w:r>
    </w:p>
    <w:p>
      <w:r>
        <w:pict>
          <v:rect style="width:0;height:1.5pt" o:hralign="center" o:hrstd="t" o:hr="t"/>
        </w:pict>
      </w:r>
    </w:p>
    <w:bookmarkStart w:id="20" w:name="mục-tiêu-kiến-trúc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Mục tiêu Kiến trúc</w:t>
      </w:r>
    </w:p>
    <w:p>
      <w:pPr>
        <w:pStyle w:val="FirstParagraph"/>
      </w:pPr>
      <w:r>
        <w:rPr>
          <w:rStyle w:val="VerbatimChar"/>
        </w:rPr>
        <w:t xml:space="preserve">Tool Service Layer</w:t>
      </w:r>
      <w:r>
        <w:t xml:space="preserve"> </w:t>
      </w:r>
      <w:r>
        <w:t xml:space="preserve">(gồm</w:t>
      </w:r>
      <w:r>
        <w:t xml:space="preserve"> </w:t>
      </w:r>
      <w:r>
        <w:rPr>
          <w:b/>
          <w:bCs/>
        </w:rPr>
        <w:t xml:space="preserve">DataAccessService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ComputeService</w:t>
      </w:r>
      <w:r>
        <w:t xml:space="preserve">) là tầng</w:t>
      </w:r>
      <w:r>
        <w:t xml:space="preserve"> </w:t>
      </w:r>
      <w:r>
        <w:rPr>
          <w:b/>
          <w:bCs/>
        </w:rPr>
        <w:t xml:space="preserve">Specialized Resource Execution</w:t>
      </w:r>
      <w:r>
        <w:t xml:space="preserve">, chịu trách nhiệm</w:t>
      </w:r>
      <w:r>
        <w:t xml:space="preserve"> </w:t>
      </w:r>
      <w:r>
        <w:rPr>
          <w:b/>
          <w:bCs/>
        </w:rPr>
        <w:t xml:space="preserve">thực thi</w:t>
      </w:r>
      <w:r>
        <w:t xml:space="preserve"> </w:t>
      </w:r>
      <w:r>
        <w:t xml:space="preserve">các tác vụ I/O-Bound và CPU-Bound một cách tối ưu. Đây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phải là nơi diễn ra kiểm soát Governance (ACL, Audit), mà là nơi</w:t>
      </w:r>
      <w:r>
        <w:t xml:space="preserve"> </w:t>
      </w:r>
      <w:r>
        <w:rPr>
          <w:b/>
          <w:bCs/>
        </w:rPr>
        <w:t xml:space="preserve">tách biệt tài nguyên xử lý</w:t>
      </w:r>
      <w:r>
        <w:t xml:space="preserve"> </w:t>
      </w:r>
      <w:r>
        <w:t xml:space="preserve">để loại bỏ Bottleneck trong hệ thống.</w:t>
      </w:r>
    </w:p>
    <w:p>
      <w:r>
        <w:pict>
          <v:rect style="width:0;height:1.5pt" o:hralign="center" o:hrstd="t" o:hr="t"/>
        </w:pict>
      </w:r>
    </w:p>
    <w:bookmarkEnd w:id="20"/>
    <w:bookmarkStart w:id="22" w:name="dataaccessservice-io-bottleneck-resolver"/>
    <w:p>
      <w:pPr>
        <w:pStyle w:val="Heading2"/>
      </w:pPr>
      <w:r>
        <w:t xml:space="preserve">⚙️</w:t>
      </w:r>
      <w:r>
        <w:t xml:space="preserve"> </w:t>
      </w:r>
      <w:r>
        <w:rPr>
          <w:b/>
          <w:bCs/>
        </w:rPr>
        <w:t xml:space="preserve">1. DataAccessService — I/O Bottleneck Resolver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Quản lý các Tool bị giới hạn bởi độ trễ I/O như DB, API, hoặc truy cập file.</w:t>
      </w:r>
    </w:p>
    <w:bookmarkStart w:id="21" w:name="X904fe04f6ef5464da700448d31feff8b91b6875"/>
    <w:p>
      <w:pPr>
        <w:pStyle w:val="Heading3"/>
      </w:pPr>
      <w:r>
        <w:t xml:space="preserve">🔍 Logic Cốt lõi —</w:t>
      </w:r>
      <w:r>
        <w:t xml:space="preserve"> </w:t>
      </w:r>
      <w:r>
        <w:rPr>
          <w:rStyle w:val="VerbatimChar"/>
        </w:rPr>
        <w:t xml:space="preserve">DataAccessService.execute_async()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4"/>
        <w:gridCol w:w="3022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 Chi tiết &amp; Tối ưu hóa</w:t>
            </w:r>
          </w:p>
        </w:tc>
        <w:tc>
          <w:tcPr/>
          <w:p>
            <w:pPr>
              <w:pStyle w:val="Compact"/>
            </w:pPr>
            <w:r>
              <w:t xml:space="preserve">Giá trị Kiến trúc (Scalability)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Execution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self.data_access_tools</w:t>
            </w:r>
            <w:r>
              <w:t xml:space="preserve"> </w:t>
            </w:r>
            <w:r>
              <w:t xml:space="preserve">chứa các Tool I/O như</w:t>
            </w:r>
            <w:r>
              <w:t xml:space="preserve"> </w:t>
            </w:r>
            <w:r>
              <w:rPr>
                <w:rStyle w:val="VerbatimChar"/>
              </w:rPr>
              <w:t xml:space="preserve">sql_query_executor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document_retriever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data_api_connector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Chuyên môn hóa:</w:t>
            </w:r>
            <w:r>
              <w:t xml:space="preserve"> </w:t>
            </w:r>
            <w:r>
              <w:t xml:space="preserve">Cô lập lỗi &amp; hiệu suất I/O. Nếu DB chậm, không ảnh hưởng Compute.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await tool.async_run(tool_input)</w:t>
            </w:r>
          </w:p>
        </w:tc>
        <w:tc>
          <w:tcPr/>
          <w:p>
            <w:pPr>
              <w:pStyle w:val="Compact"/>
            </w:pPr>
            <w:r>
              <w:t xml:space="preserve">Gọi trực tiếp</w:t>
            </w:r>
            <w:r>
              <w:t xml:space="preserve"> </w:t>
            </w:r>
            <w:r>
              <w:rPr>
                <w:rStyle w:val="VerbatimChar"/>
              </w:rPr>
              <w:t xml:space="preserve">async_run()</w:t>
            </w:r>
            <w:r>
              <w:t xml:space="preserve"> </w:t>
            </w:r>
            <w:r>
              <w:t xml:space="preserve">của Tool — bên trong sử dụng</w:t>
            </w:r>
            <w:r>
              <w:t xml:space="preserve"> </w:t>
            </w:r>
            <w:r>
              <w:rPr>
                <w:rStyle w:val="VerbatimChar"/>
              </w:rPr>
              <w:t xml:space="preserve">ThreadPoolExecutor</w:t>
            </w:r>
            <w:r>
              <w:t xml:space="preserve"> </w:t>
            </w:r>
            <w:r>
              <w:t xml:space="preserve">để xử lý I/O blocking.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I/O Asynchronicity:</w:t>
            </w:r>
            <w:r>
              <w:t xml:space="preserve"> </w:t>
            </w:r>
            <w:r>
              <w:t xml:space="preserve">Offload các tác vụ blocking (requests, DB query) sang thread riêng, đảm bảo event loop chính vẫn phản hồi.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 Handling</w:t>
            </w:r>
          </w:p>
        </w:tc>
        <w:tc>
          <w:tcPr/>
          <w:p>
            <w:pPr>
              <w:pStyle w:val="Compact"/>
            </w:pPr>
            <w:r>
              <w:t xml:space="preserve">Bắt</w:t>
            </w:r>
            <w:r>
              <w:t xml:space="preserve"> </w:t>
            </w:r>
            <w:r>
              <w:rPr>
                <w:rStyle w:val="VerbatimChar"/>
              </w:rPr>
              <w:t xml:space="preserve">ToolExecutionError</w:t>
            </w:r>
            <w:r>
              <w:t xml:space="preserve"> </w:t>
            </w:r>
            <w:r>
              <w:t xml:space="preserve">khi xảy ra lỗi như DB timeout.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Resilience:</w:t>
            </w:r>
            <w:r>
              <w:t xml:space="preserve"> </w:t>
            </w:r>
            <w:r>
              <w:t xml:space="preserve">Biến lỗi thực thi thành ngoại lệ có cấu trúc, giúp</w:t>
            </w:r>
            <w:r>
              <w:t xml:space="preserve"> </w:t>
            </w:r>
            <w:r>
              <w:rPr>
                <w:rStyle w:val="VerbatimChar"/>
              </w:rPr>
              <w:t xml:space="preserve">ToolCoordinatorAgent</w:t>
            </w:r>
            <w:r>
              <w:t xml:space="preserve"> </w:t>
            </w:r>
            <w:r>
              <w:t xml:space="preserve">dễ xử lý và khởi động Reflexion loop.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computeservice-cpu-bottleneck-resolver"/>
    <w:p>
      <w:pPr>
        <w:pStyle w:val="Heading2"/>
      </w:pPr>
      <w:r>
        <w:t xml:space="preserve">🧮</w:t>
      </w:r>
      <w:r>
        <w:t xml:space="preserve"> </w:t>
      </w:r>
      <w:r>
        <w:rPr>
          <w:b/>
          <w:bCs/>
        </w:rPr>
        <w:t xml:space="preserve">2. ComputeService — CPU Bottleneck Resolver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Quản lý các Tool nặng về tính toán như phân tích dữ liệu, mô hình hóa, hoặc xử lý biểu thức.</w:t>
      </w:r>
    </w:p>
    <w:bookmarkStart w:id="23" w:name="Xa93fdf690d38c54539a4055eeca6ef1140a55d6"/>
    <w:p>
      <w:pPr>
        <w:pStyle w:val="Heading3"/>
      </w:pPr>
      <w:r>
        <w:t xml:space="preserve">🔍 Logic Cốt lõi —</w:t>
      </w:r>
      <w:r>
        <w:t xml:space="preserve"> </w:t>
      </w:r>
      <w:r>
        <w:rPr>
          <w:rStyle w:val="VerbatimChar"/>
        </w:rPr>
        <w:t xml:space="preserve">ComputeService.execute_async()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4"/>
        <w:gridCol w:w="3022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 Chi tiết &amp; Tối ưu hóa</w:t>
            </w:r>
          </w:p>
        </w:tc>
        <w:tc>
          <w:tcPr/>
          <w:p>
            <w:pPr>
              <w:pStyle w:val="Compact"/>
            </w:pPr>
            <w:r>
              <w:t xml:space="preserve">Giá trị Kiến trúc (Performance)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self.executor = ThreadPoolExecutor(max_workers=4)</w:t>
            </w:r>
          </w:p>
        </w:tc>
        <w:tc>
          <w:tcPr/>
          <w:p>
            <w:pPr>
              <w:pStyle w:val="Compact"/>
            </w:pPr>
            <w:r>
              <w:t xml:space="preserve">Tạo pool riêng cho các tác vụ CPU-bound.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CPU Optimization:</w:t>
            </w:r>
            <w:r>
              <w:t xml:space="preserve"> </w:t>
            </w:r>
            <w:r>
              <w:t xml:space="preserve">Tách thread xử lý tính toán khỏi I/O, ngăn chặn nghẽn tài nguyên.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await loop.run_in_executor(self.executor, tool.run, tool_input)</w:t>
            </w:r>
          </w:p>
        </w:tc>
        <w:tc>
          <w:tcPr/>
          <w:p>
            <w:pPr>
              <w:pStyle w:val="Compact"/>
            </w:pPr>
            <w:r>
              <w:t xml:space="preserve">Thực thi hàm đồng bộ</w:t>
            </w:r>
            <w:r>
              <w:t xml:space="preserve"> </w:t>
            </w:r>
            <w:r>
              <w:rPr>
                <w:rStyle w:val="VerbatimChar"/>
              </w:rPr>
              <w:t xml:space="preserve">tool.run()</w:t>
            </w:r>
            <w:r>
              <w:t xml:space="preserve"> </w:t>
            </w:r>
            <w:r>
              <w:t xml:space="preserve">trong thread pool chuyên dụng.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Async Abstraction:</w:t>
            </w:r>
            <w:r>
              <w:t xml:space="preserve"> </w:t>
            </w:r>
            <w:r>
              <w:t xml:space="preserve">Cho phép Tool CPU-bound hoạt động trong môi trường Async mà không cần rewrite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Pool</w:t>
            </w:r>
          </w:p>
        </w:tc>
        <w:tc>
          <w:tcPr/>
          <w:p>
            <w:pPr>
              <w:pStyle w:val="Compact"/>
            </w:pPr>
            <w:r>
              <w:t xml:space="preserve">Chứa các Tool như</w:t>
            </w:r>
            <w:r>
              <w:t xml:space="preserve"> </w:t>
            </w:r>
            <w:r>
              <w:rPr>
                <w:rStyle w:val="VerbatimChar"/>
              </w:rPr>
              <w:t xml:space="preserve">data_analyzer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calculator_tool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json_xml_parser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Chuyên môn hóa:</w:t>
            </w:r>
            <w:r>
              <w:t xml:space="preserve"> </w:t>
            </w:r>
            <w:r>
              <w:t xml:space="preserve">Phân tách luồng xử lý dữ liệu khỏi truy xuất dữ liệu.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phối-hợp-với-governance-layer-glue-logic"/>
    <w:p>
      <w:pPr>
        <w:pStyle w:val="Heading2"/>
      </w:pPr>
      <w:r>
        <w:t xml:space="preserve">🔗</w:t>
      </w:r>
      <w:r>
        <w:t xml:space="preserve"> </w:t>
      </w:r>
      <w:r>
        <w:rPr>
          <w:b/>
          <w:bCs/>
        </w:rPr>
        <w:t xml:space="preserve">3. Phối hợp với Governance Layer (Glue Logic)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4"/>
        <w:gridCol w:w="2574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Trách nhiệm</w:t>
            </w:r>
          </w:p>
        </w:tc>
        <w:tc>
          <w:tcPr/>
          <w:p>
            <w:pPr>
              <w:pStyle w:val="Compact"/>
            </w:pPr>
            <w:r>
              <w:t xml:space="preserve">Mối liên hệ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 Agent (Tầng 2)</w:t>
            </w:r>
          </w:p>
        </w:tc>
        <w:tc>
          <w:tcPr/>
          <w:p>
            <w:pPr>
              <w:pStyle w:val="Compact"/>
            </w:pPr>
            <w:r>
              <w:t xml:space="preserve">Sinh hành động Tool Call, ví dụ:</w:t>
            </w:r>
            <w:r>
              <w:t xml:space="preserve"> </w:t>
            </w:r>
            <w:r>
              <w:rPr>
                <w:rStyle w:val="VerbatimChar"/>
              </w:rPr>
              <w:t xml:space="preserve">Action: sql_query_executor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Kích hoạt chuỗi gọi Tool.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ToolCoordinatorAgent (Tầng 3)</w:t>
            </w:r>
          </w:p>
        </w:tc>
        <w:tc>
          <w:tcPr/>
          <w:p>
            <w:pPr>
              <w:pStyle w:val="Compact"/>
            </w:pPr>
            <w:r>
              <w:t xml:space="preserve">Kiểm tra ACL, Cache, Audit → Quyết định ủy quyền.</w:t>
            </w:r>
          </w:p>
        </w:tc>
        <w:tc>
          <w:tcPr/>
          <w:p>
            <w:pPr>
              <w:pStyle w:val="Compact"/>
            </w:pPr>
            <w:r>
              <w:t xml:space="preserve">Chọn Service phù hợp để thực thi.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Adapters (I/O &amp; Compute)</w:t>
            </w:r>
          </w:p>
        </w:tc>
        <w:tc>
          <w:tcPr/>
          <w:p>
            <w:pPr>
              <w:pStyle w:val="Compact"/>
            </w:pPr>
            <w:r>
              <w:t xml:space="preserve">Thực thi chuyên môn hóa bằng Async/Thread Pool.</w:t>
            </w:r>
          </w:p>
        </w:tc>
        <w:tc>
          <w:tcPr/>
          <w:p>
            <w:pPr>
              <w:pStyle w:val="Compact"/>
            </w:pPr>
            <w:r>
              <w:t xml:space="preserve">Giải quyết bottleneck và trả kết quả về Coordinator.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kết-luận-kiến-trúc"/>
    <w:p>
      <w:pPr>
        <w:pStyle w:val="Heading2"/>
      </w:pPr>
      <w:r>
        <w:t xml:space="preserve">🧠</w:t>
      </w:r>
      <w:r>
        <w:t xml:space="preserve"> </w:t>
      </w:r>
      <w:r>
        <w:rPr>
          <w:b/>
          <w:bCs/>
        </w:rPr>
        <w:t xml:space="preserve">💡 Kết luận Kiến trúc</w:t>
      </w:r>
    </w:p>
    <w:p>
      <w:pPr>
        <w:pStyle w:val="FirstParagraph"/>
      </w:pPr>
      <w:r>
        <w:t xml:space="preserve">Tách biệt DataAccessService và ComputeService mang lại ba lợi ích cốt lõi: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Isolation:</w:t>
      </w:r>
      <w:r>
        <w:t xml:space="preserve"> </w:t>
      </w:r>
      <w:r>
        <w:t xml:space="preserve">Sự cố hoặc độ trễ của DB không ảnh hưởng đến tính toán mô hình.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Scalability:</w:t>
      </w:r>
      <w:r>
        <w:t xml:space="preserve"> </w:t>
      </w:r>
      <w:r>
        <w:t xml:space="preserve">Có thể tăng riêng pool cho SQL mà không ảnh hưởng CPU-bound task.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Cả hệ thống giữ được khả năng phản hồi (responsiveness) ngay cả khi tải nặng.</w:t>
      </w:r>
    </w:p>
    <w:p>
      <w:pPr>
        <w:pStyle w:val="BlockText"/>
      </w:pPr>
      <w:r>
        <w:t xml:space="preserve">⚙️ Hai Service này chính là</w:t>
      </w:r>
      <w:r>
        <w:t xml:space="preserve"> </w:t>
      </w:r>
      <w:r>
        <w:t xml:space="preserve">“Engine Room”</w:t>
      </w:r>
      <w:r>
        <w:t xml:space="preserve"> </w:t>
      </w:r>
      <w:r>
        <w:t xml:space="preserve">của tầng Execution — nơi toàn bộ công việc nặng được xử lý mà vẫn duy trì kiểm soát và hiệu suất tổng thể của hệ thống AI.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2025-10-25T01:53:50Z</dcterms:created>
  <dcterms:modified xsi:type="dcterms:W3CDTF">2025-10-25T01:53:50Z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