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李欣穎</w:t>
      </w:r>
    </w:p>
    <w:p>
      <w:r>
        <w:t>##專業指標</w:t>
      </w:r>
    </w:p>
    <w:p>
      <w:r>
        <w:t>#總年資 : 0~3</w:t>
      </w:r>
    </w:p>
    <w:p>
      <w:r>
        <w:t>#理專等級 : LV3</w:t>
      </w:r>
    </w:p>
    <w:p>
      <w:r>
        <w:t>#專業領域 : 稅務保險整合</w:t>
      </w:r>
    </w:p>
    <w:p>
      <w:r>
        <w:t>#金融證照 : 信託服務</w:t>
      </w:r>
    </w:p>
    <w:p>
      <w:r>
        <w:t>##負荷指標</w:t>
      </w:r>
    </w:p>
    <w:p>
      <w:r>
        <w:t>#經管客戶數 : 106</w:t>
      </w:r>
    </w:p>
    <w:p>
      <w:r>
        <w:t>#經管分行 : 台北</w:t>
      </w:r>
    </w:p>
    <w:p>
      <w:r>
        <w:t>#理專經營資源配置 : 有</w:t>
      </w:r>
    </w:p>
    <w:p>
      <w:r>
        <w:t>##熟悉客群型態</w:t>
      </w:r>
    </w:p>
    <w:p>
      <w:r>
        <w:t>#熟悉客戶型態 : 家族集團</w:t>
      </w:r>
    </w:p>
    <w:p>
      <w:r>
        <w:t>#熟悉客戶職業 : 律師</w:t>
      </w:r>
    </w:p>
    <w:p>
      <w:r>
        <w:t>#熟悉財務等級 : 永聚</w:t>
      </w:r>
    </w:p>
    <w:p>
      <w:r>
        <w:t>##互動型態指標</w:t>
      </w:r>
    </w:p>
    <w:p>
      <w:r>
        <w:t>#服務類型 : 私人管家型</w:t>
      </w:r>
    </w:p>
    <w:p>
      <w:r>
        <w:t>#溝通類型 : 溫暖陪伴型</w:t>
      </w:r>
    </w:p>
    <w:p>
      <w:r>
        <w:t>#興趣 : 高爾夫</w:t>
      </w:r>
    </w:p>
    <w:p>
      <w:r>
        <w:t>##理專自傳</w:t>
      </w:r>
    </w:p>
    <w:p>
      <w:r>
        <w:t>李欣穎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