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高宇辰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LV4</w:t>
      </w:r>
    </w:p>
    <w:p>
      <w:r>
        <w:t>專業領域 : 退休傳承規劃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59</w:t>
      </w:r>
    </w:p>
    <w:p>
      <w:r>
        <w:t>經管分行 : 新北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中高齡</w:t>
      </w:r>
    </w:p>
    <w:p>
      <w:r>
        <w:t>熟悉客戶職業 : 醫師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精準決策型</w:t>
      </w:r>
    </w:p>
    <w:p>
      <w:r>
        <w:t>興趣 : 攝影</w:t>
      </w:r>
    </w:p>
    <w:p>
      <w:pPr>
        <w:pStyle w:val="Heading2"/>
      </w:pPr>
      <w:r>
        <w:t>理專自傳</w:t>
      </w:r>
    </w:p>
    <w:p>
      <w:r>
        <w:t>我曾經夢想成為小說家，習慣用故事理解世界。進入金融業後，我把每位客戶的人生當作一部長篇小說，資產配置則是其中的情節設計。我會替客戶思考不同情境的發展，並預先安排風險轉折點。或許我不像典型理專那樣嚴肅，但我相信，用故事思維規劃財務，能讓人更理解選擇的意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