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洪哲宇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LV3</w:t>
      </w:r>
    </w:p>
    <w:p>
      <w:r>
        <w:t>專業領域 : 稅務保險整合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240</w:t>
      </w:r>
    </w:p>
    <w:p>
      <w:r>
        <w:t>經管分行 : 桃園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醫師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咖啡品嚐</w:t>
      </w:r>
    </w:p>
    <w:p>
      <w:pPr>
        <w:pStyle w:val="Heading2"/>
      </w:pPr>
      <w:r>
        <w:t>理專自傳</w:t>
      </w:r>
    </w:p>
    <w:p>
      <w:r>
        <w:t>我習慣用工程師的方式思考問題，將複雜的財務狀況拆解成可分析的模組。這讓我在規劃資產時，能更精準地找到風險來源與優化空間。我相信理財可以像系統設計一樣，有架構、有邏輯、有測試。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