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簡柏宇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LV4</w:t>
      </w:r>
    </w:p>
    <w:p>
      <w:r>
        <w:t>專業領域 : 資產配置建議</w:t>
      </w:r>
    </w:p>
    <w:p>
      <w:r>
        <w:t>金融證照 : 投資</w:t>
      </w:r>
    </w:p>
    <w:p>
      <w:pPr>
        <w:pStyle w:val="Heading2"/>
      </w:pPr>
      <w:r>
        <w:t>負荷指標</w:t>
      </w:r>
    </w:p>
    <w:p>
      <w:r>
        <w:t>經管客戶數 : 71</w:t>
      </w:r>
    </w:p>
    <w:p>
      <w:r>
        <w:t>經管分行 : 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律師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需求導向型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我習慣將投資分成不同角色，例如成長型、保護型與現金流型，讓整體更平衡。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