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邱若晴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LV1</w:t>
      </w:r>
    </w:p>
    <w:p>
      <w:r>
        <w:t>專業領域 : 退休傳承規劃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166</w:t>
      </w:r>
    </w:p>
    <w:p>
      <w:r>
        <w:t>經管分行 : 板橋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教師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溫暖陪伴型</w:t>
      </w:r>
    </w:p>
    <w:p>
      <w:r>
        <w:t>興趣 : 投資研究</w:t>
      </w:r>
    </w:p>
    <w:p>
      <w:pPr>
        <w:pStyle w:val="Heading2"/>
      </w:pPr>
      <w:r>
        <w:t>理專自傳</w:t>
      </w:r>
    </w:p>
    <w:p>
      <w:r>
        <w:t>我相信最好的投資策略，往往是最能長期執行的策略，而不是最複雜的那一種。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