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9160"/>
      </w:tblGrid>
      <w:tr w14:paraId="556D1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E4252B5">
            <w:r>
              <w:rPr>
                <w:rFonts w:ascii="Arial" w:hAnsi="Arial" w:eastAsia="Arial" w:cs="Arial"/>
                <w:color w:val="AABBCC"/>
                <w:spacing w:val="80"/>
                <w:sz w:val="16"/>
                <w:szCs w:val="16"/>
              </w:rPr>
              <w:t>CONFIDENTIAL  ·  FOR CLIENT USE ONLY</w:t>
            </w:r>
          </w:p>
          <w:p w14:paraId="7FE10C23">
            <w:pPr>
              <w:spacing w:before="200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>智慧港口 AGV 无人运输调度系统</w:t>
            </w:r>
          </w:p>
          <w:p w14:paraId="1A756E02">
            <w:pPr>
              <w:spacing w:before="80" w:after="160"/>
            </w:pPr>
            <w:r>
              <w:rPr>
                <w:rFonts w:ascii="Arial" w:hAnsi="Arial" w:eastAsia="Arial" w:cs="Arial"/>
                <w:color w:val="88BBDD"/>
                <w:sz w:val="36"/>
                <w:szCs w:val="36"/>
              </w:rPr>
              <w:t>解决方案建议书</w:t>
            </w:r>
          </w:p>
        </w:tc>
      </w:tr>
      <w:tr w14:paraId="60E1E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70935073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300" w:type="dxa"/>
              <w:bottom w:w="200" w:type="dxa"/>
              <w:right w:w="200" w:type="dxa"/>
            </w:tcMar>
          </w:tcPr>
          <w:p w14:paraId="4978E2D5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提交对象：</w:t>
            </w:r>
            <w:r>
              <w:rPr>
                <w:rFonts w:ascii="Arial" w:hAnsi="Arial" w:eastAsia="Arial" w:cs="Arial"/>
                <w:color w:val="4A5568"/>
                <w:sz w:val="22"/>
                <w:szCs w:val="22"/>
              </w:rPr>
              <w:t>XX 港务集团有限公司</w:t>
            </w:r>
          </w:p>
          <w:p w14:paraId="42B68F0D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解决方案版本：</w:t>
            </w:r>
            <w:r>
              <w:rPr>
                <w:rFonts w:ascii="Arial" w:hAnsi="Arial" w:eastAsia="Arial" w:cs="Arial"/>
                <w:color w:val="4A5568"/>
                <w:sz w:val="22"/>
                <w:szCs w:val="22"/>
              </w:rPr>
              <w:t>V2.0（正式提案版）</w:t>
            </w:r>
          </w:p>
          <w:p w14:paraId="24CC97A5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提案日期：</w:t>
            </w:r>
            <w:r>
              <w:rPr>
                <w:rFonts w:ascii="Arial" w:hAnsi="Arial" w:eastAsia="Arial" w:cs="Arial"/>
                <w:color w:val="4A5568"/>
                <w:sz w:val="22"/>
                <w:szCs w:val="22"/>
              </w:rPr>
              <w:t>2025 年 6 月</w:t>
            </w:r>
          </w:p>
          <w:p w14:paraId="0678A73E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方案顾问：</w:t>
            </w:r>
            <w:r>
              <w:rPr>
                <w:rFonts w:ascii="Arial" w:hAnsi="Arial" w:eastAsia="Arial" w:cs="Arial"/>
                <w:color w:val="4A5568"/>
                <w:sz w:val="22"/>
                <w:szCs w:val="22"/>
              </w:rPr>
              <w:t>售前解决方案部</w:t>
            </w:r>
          </w:p>
          <w:p w14:paraId="53C65F38">
            <w:pPr>
              <w:spacing w:before="60" w:after="0"/>
            </w:pPr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供应方：</w:t>
            </w:r>
            <w:r>
              <w:rPr>
                <w:rFonts w:ascii="Arial" w:hAnsi="Arial" w:eastAsia="Arial" w:cs="Arial"/>
                <w:color w:val="4A5568"/>
                <w:sz w:val="22"/>
                <w:szCs w:val="22"/>
              </w:rPr>
              <w:t>XX 智慧港口科技有限公司</w:t>
            </w:r>
          </w:p>
        </w:tc>
      </w:tr>
    </w:tbl>
    <w:p w14:paraId="4C9A6C56">
      <w:pPr>
        <w:spacing w:before="400" w:after="0"/>
      </w:pPr>
    </w:p>
    <w:p w14:paraId="12AC4AE0">
      <w:pPr>
        <w:pBdr>
          <w:top w:val="single" w:color="D0D7DE" w:sz="4" w:space="8"/>
          <w:bottom w:val="single" w:color="D0D7DE" w:sz="4" w:space="8"/>
        </w:pBdr>
        <w:spacing w:before="0" w:after="0"/>
        <w:jc w:val="center"/>
      </w:pPr>
      <w:r>
        <w:rPr>
          <w:rFonts w:ascii="Arial" w:hAnsi="Arial" w:eastAsia="Arial" w:cs="Arial"/>
          <w:i/>
          <w:iCs/>
          <w:color w:val="4A5568"/>
          <w:sz w:val="24"/>
          <w:szCs w:val="24"/>
        </w:rPr>
        <w:t>让每一台 AGV 都成为港口数字化的神经末梢</w:t>
      </w:r>
    </w:p>
    <w:p w14:paraId="0DF8EB08">
      <w:pPr>
        <w:spacing w:before="0" w:after="0"/>
      </w:pPr>
      <w:r>
        <w:br w:type="page"/>
      </w:r>
    </w:p>
    <w:p w14:paraId="0417AB52">
      <w:pPr>
        <w:pStyle w:val="2"/>
        <w:pBdr>
          <w:bottom w:val="single" w:color="0E7C7B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执行摘要</w:t>
      </w:r>
    </w:p>
    <w:p w14:paraId="03A23880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随着全球港口吞吐量持续攀升，集装箱码头正面临前所未有的运营压力：劳动力成本快速上涨、设备利用率不达标、车辆冲突与堵塞频发、人工调度响应滞后——传统模式已无法支撑下一阶段的增长。</w:t>
      </w:r>
    </w:p>
    <w:p w14:paraId="2D537BB0">
      <w:pPr>
        <w:spacing w:before="60" w:after="0"/>
      </w:pPr>
    </w:p>
    <w:p w14:paraId="1EB957A5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XX 智慧港口科技有限公司针对上述挑战，提出基于 AI 多车协同调度算法与数字孪生仿真技术的 智慧 AGV 调度解决方案（以下简称"本方案"）。方案核心能力包括：</w:t>
      </w:r>
    </w:p>
    <w:p w14:paraId="4637B0E8">
      <w:pPr>
        <w:spacing w:before="40" w:after="0"/>
      </w:pPr>
    </w:p>
    <w:p w14:paraId="2782052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实时路径规划：</w:t>
      </w:r>
      <w:r>
        <w:rPr>
          <w:rFonts w:ascii="Arial" w:hAnsi="Arial" w:eastAsia="Arial" w:cs="Arial"/>
          <w:color w:val="4A5568"/>
          <w:sz w:val="22"/>
          <w:szCs w:val="22"/>
        </w:rPr>
        <w:t>基于加权 A* 算法，毫秒级完成单车路径计算，支持 50 台以上 AGV 同步运行。</w:t>
      </w:r>
    </w:p>
    <w:p w14:paraId="7A88244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多车协同调度：</w:t>
      </w:r>
      <w:r>
        <w:rPr>
          <w:rFonts w:ascii="Arial" w:hAnsi="Arial" w:eastAsia="Arial" w:cs="Arial"/>
          <w:color w:val="4A5568"/>
          <w:sz w:val="22"/>
          <w:szCs w:val="22"/>
        </w:rPr>
        <w:t>任务优先级队列 + 最近空闲车分配策略，结合负载均衡机制，显著提升车队吞吐能力。</w:t>
      </w:r>
    </w:p>
    <w:p w14:paraId="61E66FB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主动死锁预防：</w:t>
      </w:r>
      <w:r>
        <w:rPr>
          <w:rFonts w:ascii="Arial" w:hAnsi="Arial" w:eastAsia="Arial" w:cs="Arial"/>
          <w:color w:val="4A5568"/>
          <w:sz w:val="22"/>
          <w:szCs w:val="22"/>
        </w:rPr>
        <w:t>路径资源预占锁 + 超时重规划双重保障，将死锁率控制在 2% 以内并自动恢复。</w:t>
      </w:r>
    </w:p>
    <w:p w14:paraId="1E91C3C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数字孪生仿真：</w:t>
      </w:r>
      <w:r>
        <w:rPr>
          <w:rFonts w:ascii="Arial" w:hAnsi="Arial" w:eastAsia="Arial" w:cs="Arial"/>
          <w:color w:val="4A5568"/>
          <w:sz w:val="22"/>
          <w:szCs w:val="22"/>
        </w:rPr>
        <w:t>提供港口场景级 Web 仿真看板，支持参数调优与上线前压力测试，降低实施风险。</w:t>
      </w:r>
    </w:p>
    <w:p w14:paraId="5AD577D0">
      <w:pPr>
        <w:spacing w:before="8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C8722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5D2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核心指标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85E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改善前（基线）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5AA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改善后（仿真）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1DD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提升幅度</w:t>
            </w:r>
          </w:p>
        </w:tc>
      </w:tr>
      <w:tr w14:paraId="19DF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4F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AGV 任务完成效率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AD4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基准 100%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23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约 115%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ED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↑ 15%</w:t>
            </w:r>
          </w:p>
        </w:tc>
      </w:tr>
      <w:tr w14:paraId="73AD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82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路径冲突次数/班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23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平均 42 次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41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约 29 次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29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↓ 30%</w:t>
            </w:r>
          </w:p>
        </w:tc>
      </w:tr>
      <w:tr w14:paraId="3F21B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C2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死锁恢复时间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D5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人工介入 5~15 min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9B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自动 &lt; 30 sec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C7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↓ 97%</w:t>
            </w:r>
          </w:p>
        </w:tc>
      </w:tr>
      <w:tr w14:paraId="751D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D2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调度员人力需求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3D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3~4 人/班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89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1 人监控/班</w:t>
            </w:r>
          </w:p>
        </w:tc>
        <w:tc>
          <w:tcPr>
            <w:tcW w:w="234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84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↓ 70%</w:t>
            </w:r>
          </w:p>
        </w:tc>
      </w:tr>
    </w:tbl>
    <w:p w14:paraId="6F5EB93A">
      <w:pPr>
        <w:spacing w:before="80" w:after="0"/>
      </w:pPr>
    </w:p>
    <w:p w14:paraId="7BAA5DAE">
      <w:pPr>
        <w:spacing w:before="80" w:after="100" w:line="330" w:lineRule="auto"/>
      </w:pPr>
      <w:r>
        <w:rPr>
          <w:rFonts w:ascii="Arial" w:hAnsi="Arial" w:eastAsia="Arial" w:cs="Arial"/>
          <w:b w:val="0"/>
          <w:bCs w:val="0"/>
          <w:color w:val="4A5568"/>
          <w:sz w:val="22"/>
          <w:szCs w:val="22"/>
        </w:rPr>
        <w:t>预计本方案投入使用后，年化综合降本增效价值超过 800 万元，投资回收周期约 18 个月。</w:t>
      </w:r>
    </w:p>
    <w:p w14:paraId="7FB9C939">
      <w:pPr>
        <w:spacing w:before="0" w:after="0"/>
      </w:pPr>
      <w:r>
        <w:br w:type="page"/>
      </w:r>
    </w:p>
    <w:p w14:paraId="5981AC59">
      <w:pPr>
        <w:pStyle w:val="2"/>
        <w:pBdr>
          <w:bottom w:val="single" w:color="0E7C7B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一、客户现状与痛点分析</w:t>
      </w:r>
    </w:p>
    <w:p w14:paraId="51BAB80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1.1 当前运营模式</w:t>
      </w:r>
    </w:p>
    <w:p w14:paraId="14B3E3CF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根据前期调研与现场踏勘，贵港区现有 AGV 车队采用半自动化调度模式：任务派发依赖人工经验，路径规划为静态预设，当班调度员通过监控大屏实时干预冲突。主要运营参数如下：</w:t>
      </w:r>
    </w:p>
    <w:p w14:paraId="133F0CE1">
      <w:pPr>
        <w:spacing w:before="4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386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811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运营维度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E28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现状数据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642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行业标杆</w:t>
            </w:r>
          </w:p>
        </w:tc>
      </w:tr>
      <w:tr w14:paraId="77D25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47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在役 AGV 数量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C0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22 台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DA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40~60 台</w:t>
            </w:r>
          </w:p>
        </w:tc>
      </w:tr>
      <w:tr w14:paraId="1C5A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60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班均完成任务数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FE7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180 箱次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82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260+ 箱次</w:t>
            </w:r>
          </w:p>
        </w:tc>
      </w:tr>
      <w:tr w14:paraId="291B5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B8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AGV 利用率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39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58%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DC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75%+</w:t>
            </w:r>
          </w:p>
        </w:tc>
      </w:tr>
      <w:tr w14:paraId="7481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DD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路径冲突频次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9B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约 42 次/班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F4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&lt; 15 次/班</w:t>
            </w:r>
          </w:p>
        </w:tc>
      </w:tr>
      <w:tr w14:paraId="632F9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50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调度员配置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AD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3 人/班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C7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1 人监控/班</w:t>
            </w:r>
          </w:p>
        </w:tc>
      </w:tr>
      <w:tr w14:paraId="567D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C01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系统故障响应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2A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人工 5~15 分钟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5C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自动 &lt; 30 秒</w:t>
            </w:r>
          </w:p>
        </w:tc>
      </w:tr>
    </w:tbl>
    <w:p w14:paraId="1D31B14D">
      <w:pPr>
        <w:spacing w:before="120" w:after="0"/>
      </w:pPr>
    </w:p>
    <w:p w14:paraId="48A87B0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1.2 核心痛点（按优先级排序）</w:t>
      </w:r>
    </w:p>
    <w:p w14:paraId="6F9ED5A2">
      <w:pPr>
        <w:pBdr>
          <w:left w:val="single" w:color="C8960C" w:sz="18" w:space="8"/>
        </w:pBdr>
        <w:spacing w:before="120" w:after="0"/>
        <w:ind w:left="240"/>
      </w:pPr>
      <w:r>
        <w:rPr>
          <w:rFonts w:ascii="Arial" w:hAnsi="Arial" w:eastAsia="Arial" w:cs="Arial"/>
          <w:b/>
          <w:bCs/>
          <w:color w:val="1B3A5C"/>
          <w:sz w:val="23"/>
          <w:szCs w:val="23"/>
        </w:rPr>
        <w:t>P1  调度瓶颈</w:t>
      </w:r>
    </w:p>
    <w:p w14:paraId="2D28960F">
      <w:pPr>
        <w:spacing w:before="40" w:after="100"/>
        <w:ind w:left="240"/>
      </w:pPr>
      <w:r>
        <w:rPr>
          <w:rFonts w:ascii="Arial" w:hAnsi="Arial" w:eastAsia="Arial" w:cs="Arial"/>
          <w:color w:val="4A5568"/>
          <w:sz w:val="22"/>
          <w:szCs w:val="22"/>
        </w:rPr>
        <w:t>高峰期任务积压，调度员凭经验手动派车，响应延迟 30~120 秒，车辆空驶率高达 35%，造成大量运力浪费。</w:t>
      </w:r>
    </w:p>
    <w:p w14:paraId="1C5D1806">
      <w:pPr>
        <w:pBdr>
          <w:left w:val="single" w:color="C8960C" w:sz="18" w:space="8"/>
        </w:pBdr>
        <w:spacing w:before="120" w:after="0"/>
        <w:ind w:left="240"/>
      </w:pPr>
      <w:r>
        <w:rPr>
          <w:rFonts w:ascii="Arial" w:hAnsi="Arial" w:eastAsia="Arial" w:cs="Arial"/>
          <w:b/>
          <w:bCs/>
          <w:color w:val="1B3A5C"/>
          <w:sz w:val="23"/>
          <w:szCs w:val="23"/>
        </w:rPr>
        <w:t>P2  频繁路径冲突</w:t>
      </w:r>
    </w:p>
    <w:p w14:paraId="769A689F">
      <w:pPr>
        <w:spacing w:before="40" w:after="100"/>
        <w:ind w:left="240"/>
      </w:pPr>
      <w:r>
        <w:rPr>
          <w:rFonts w:ascii="Arial" w:hAnsi="Arial" w:eastAsia="Arial" w:cs="Arial"/>
          <w:color w:val="4A5568"/>
          <w:sz w:val="22"/>
          <w:szCs w:val="22"/>
        </w:rPr>
        <w:t>静态路径规划无法感知实时车辆位置，交叉路口冲突频发，每次人工介入平均耗时 8 分钟，严重影响码头吞吐。</w:t>
      </w:r>
    </w:p>
    <w:p w14:paraId="13532B32">
      <w:pPr>
        <w:pBdr>
          <w:left w:val="single" w:color="C8960C" w:sz="18" w:space="8"/>
        </w:pBdr>
        <w:spacing w:before="120" w:after="0"/>
        <w:ind w:left="240"/>
      </w:pPr>
      <w:r>
        <w:rPr>
          <w:rFonts w:ascii="Arial" w:hAnsi="Arial" w:eastAsia="Arial" w:cs="Arial"/>
          <w:b/>
          <w:bCs/>
          <w:color w:val="1B3A5C"/>
          <w:sz w:val="23"/>
          <w:szCs w:val="23"/>
        </w:rPr>
        <w:t>P3  死锁无法自愈</w:t>
      </w:r>
    </w:p>
    <w:p w14:paraId="3923F3DD">
      <w:pPr>
        <w:spacing w:before="40" w:after="100"/>
        <w:ind w:left="240"/>
      </w:pPr>
      <w:r>
        <w:rPr>
          <w:rFonts w:ascii="Arial" w:hAnsi="Arial" w:eastAsia="Arial" w:cs="Arial"/>
          <w:color w:val="4A5568"/>
          <w:sz w:val="22"/>
          <w:szCs w:val="22"/>
        </w:rPr>
        <w:t>多车同向互堵后缺乏自动解锁机制，需调度员现场操控车辆退避，单次死锁造成作业中断 5~15 分钟。</w:t>
      </w:r>
    </w:p>
    <w:p w14:paraId="61CC274C">
      <w:pPr>
        <w:pBdr>
          <w:left w:val="single" w:color="C8960C" w:sz="18" w:space="8"/>
        </w:pBdr>
        <w:spacing w:before="120" w:after="0"/>
        <w:ind w:left="240"/>
      </w:pPr>
      <w:r>
        <w:rPr>
          <w:rFonts w:ascii="Arial" w:hAnsi="Arial" w:eastAsia="Arial" w:cs="Arial"/>
          <w:b/>
          <w:bCs/>
          <w:color w:val="1B3A5C"/>
          <w:sz w:val="23"/>
          <w:szCs w:val="23"/>
        </w:rPr>
        <w:t>P4  无数字化仿真能力</w:t>
      </w:r>
    </w:p>
    <w:p w14:paraId="3990C6EA">
      <w:pPr>
        <w:spacing w:before="40" w:after="100"/>
        <w:ind w:left="240"/>
      </w:pPr>
      <w:r>
        <w:rPr>
          <w:rFonts w:ascii="Arial" w:hAnsi="Arial" w:eastAsia="Arial" w:cs="Arial"/>
          <w:color w:val="4A5568"/>
          <w:sz w:val="22"/>
          <w:szCs w:val="22"/>
        </w:rPr>
        <w:t>调度策略调整只能依靠历史经验，无法在上线前验证，新策略灰度风险高，影响生产连续性。</w:t>
      </w:r>
    </w:p>
    <w:p w14:paraId="6DA3393F">
      <w:pPr>
        <w:spacing w:before="0" w:after="0"/>
      </w:pPr>
      <w:r>
        <w:br w:type="page"/>
      </w:r>
    </w:p>
    <w:p w14:paraId="55AC8E42">
      <w:pPr>
        <w:pStyle w:val="2"/>
        <w:pBdr>
          <w:bottom w:val="single" w:color="0E7C7B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二、解决方案总览</w:t>
      </w:r>
    </w:p>
    <w:p w14:paraId="671DB41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2.1 方案定位</w:t>
      </w:r>
    </w:p>
    <w:p w14:paraId="2878B8D2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本方案不是一套通用的 AGV 中间件，而是专为集装箱码头场景深度定制的 AI 调度大脑。我们的核心理念是：在不替换现有 AGV 硬件的前提下，通过软件层的智能化升级，实现调度效率的跨越式提升。</w:t>
      </w:r>
    </w:p>
    <w:p w14:paraId="3042FDC4">
      <w:pPr>
        <w:spacing w:before="60" w:after="0"/>
      </w:pPr>
    </w:p>
    <w:p w14:paraId="2E1D233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2.2 系统架构（三层解耦设计）</w:t>
      </w:r>
    </w:p>
    <w:p w14:paraId="68DF2528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方案采用调度层 / 边缘层 / 车端三层解耦架构，各层职责清晰，便于独立迭代与故障隔离：</w:t>
      </w:r>
    </w:p>
    <w:p w14:paraId="10C81002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4"/>
        <w:gridCol w:w="1887"/>
        <w:gridCol w:w="6319"/>
      </w:tblGrid>
      <w:tr w14:paraId="4B76A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D5E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架构层级</w:t>
            </w:r>
          </w:p>
        </w:tc>
        <w:tc>
          <w:tcPr>
            <w:tcW w:w="38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211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核心职责</w:t>
            </w:r>
          </w:p>
        </w:tc>
        <w:tc>
          <w:tcPr>
            <w:tcW w:w="38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C8E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关键技术</w:t>
            </w:r>
          </w:p>
        </w:tc>
      </w:tr>
      <w:tr w14:paraId="51B9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A1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调度层
（云/本地服务器）</w:t>
            </w:r>
          </w:p>
        </w:tc>
        <w:tc>
          <w:tcPr>
            <w:tcW w:w="38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50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任务队列管理、全局负载均衡、优先级排序、性能监控看板</w:t>
            </w:r>
          </w:p>
        </w:tc>
        <w:tc>
          <w:tcPr>
            <w:tcW w:w="38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00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Python 调度引擎、REST API、WebSocket 实时推送、数字孪生仿真环境</w:t>
            </w:r>
          </w:p>
        </w:tc>
      </w:tr>
      <w:tr w14:paraId="4C865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94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边缘层
（岸边边缘计算节点）</w:t>
            </w:r>
          </w:p>
        </w:tc>
        <w:tc>
          <w:tcPr>
            <w:tcW w:w="38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8D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多车冲突检测、路径资源预占锁、死锁检测与解除、车辆状态聚合</w:t>
            </w:r>
          </w:p>
        </w:tc>
        <w:tc>
          <w:tcPr>
            <w:tcW w:w="38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7A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A* 路径规划算法、时间-空间资源锁、等待图环检测（DFS）</w:t>
            </w:r>
          </w:p>
        </w:tc>
      </w:tr>
      <w:tr w14:paraId="6A48B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B9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车端模型
（AGV 控制单元）</w:t>
            </w:r>
          </w:p>
        </w:tc>
        <w:tc>
          <w:tcPr>
            <w:tcW w:w="38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60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状态机执行、路径跟踪、电量管理、位置上报</w:t>
            </w:r>
          </w:p>
        </w:tc>
        <w:tc>
          <w:tcPr>
            <w:tcW w:w="38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A4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AGV 状态机（IDLE/MOVING/LOADING/DELIVERING/CHARGING/BLOCKED）</w:t>
            </w:r>
          </w:p>
        </w:tc>
      </w:tr>
    </w:tbl>
    <w:p w14:paraId="153C9601">
      <w:pPr>
        <w:spacing w:before="120" w:after="0"/>
      </w:pPr>
    </w:p>
    <w:p w14:paraId="7C29091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2.3 港口场景适配</w:t>
      </w:r>
    </w:p>
    <w:p w14:paraId="7FF046A4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针对集装箱码头的特殊环境，方案在标准调度框架上做了以下场景化设计：</w:t>
      </w:r>
    </w:p>
    <w:p w14:paraId="652EC616">
      <w:pPr>
        <w:spacing w:before="40" w:after="0"/>
      </w:pPr>
    </w:p>
    <w:p w14:paraId="38998B0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地图分区建模：将码头划分为集装箱堆场（障碍区）、装卸作业区、充电桩、主干道、十字路口等功能区，支持动态区域封锁（如临时维修）。</w:t>
      </w:r>
    </w:p>
    <w:p w14:paraId="6356BA8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潮汐任务模式：识别船期高峰与低谷，自动在高峰期提升优先级阈值、增加并行调度线程，低谷期触发集中充电策略。</w:t>
      </w:r>
    </w:p>
    <w:p w14:paraId="06BA7EC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集卡协同接口：预留与外集卡调度系统的数据接口，支持到港车辆预报与 AGV 接驳任务提前生成。</w:t>
      </w:r>
    </w:p>
    <w:p w14:paraId="1E6D9E7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异常安全策略：AGV 通信中断超 10 秒，系统自动标记为"虚拟障碍"并重规划周边车辆路径，防止连锁堵塞。</w:t>
      </w:r>
    </w:p>
    <w:p w14:paraId="5DDD0C73">
      <w:pPr>
        <w:spacing w:before="0" w:after="0"/>
      </w:pPr>
      <w:r>
        <w:br w:type="page"/>
      </w:r>
    </w:p>
    <w:p w14:paraId="3255FB65">
      <w:pPr>
        <w:pStyle w:val="2"/>
        <w:pBdr>
          <w:bottom w:val="single" w:color="0E7C7B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三、核心技术能力详解</w:t>
      </w:r>
    </w:p>
    <w:p w14:paraId="034E066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3.1 A* 路径规划（加权自适应变种）</w:t>
      </w:r>
    </w:p>
    <w:p w14:paraId="44F0BA3F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区别于标准 A* 的"找到最优解"目标，本方案采用加权 A*（Weighted A*），在路径质量与计算速度之间取得平衡，满足港口实时调度的毫秒级响应要求。</w:t>
      </w:r>
    </w:p>
    <w:p w14:paraId="79BBDD85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80"/>
        <w:gridCol w:w="3380"/>
      </w:tblGrid>
      <w:tr w14:paraId="48A94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A45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设计要素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D90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实现方式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9A3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港口场景价值</w:t>
            </w:r>
          </w:p>
        </w:tc>
      </w:tr>
      <w:tr w14:paraId="1B6DD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88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启发函数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5D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曼哈顿距离（|Δx|+|Δy|），网格地图零误差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84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保证在规则路网中找到最短路径</w:t>
            </w:r>
          </w:p>
        </w:tc>
      </w:tr>
      <w:tr w14:paraId="5DE4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58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权重系数 w=1.2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97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f(n) = g(n) + 1.2·h(n)，速度优先次优解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40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计算耗时减少 40%，满足实时调度需求</w:t>
            </w:r>
          </w:p>
        </w:tc>
      </w:tr>
      <w:tr w14:paraId="4380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FA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转向惩罚 +0.3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42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连续转向节点增加代价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B4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减少路径锯齿，降低 AGV 机械磨损</w:t>
            </w:r>
          </w:p>
        </w:tc>
      </w:tr>
      <w:tr w14:paraId="339A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3D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路径平滑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55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去除共线冗余节点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59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减少不必要停顿，提升行驶流畅度</w:t>
            </w:r>
          </w:p>
        </w:tc>
      </w:tr>
      <w:tr w14:paraId="30595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4E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动态重规划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40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检测到前方占用时触发，最多重试 3 次</w:t>
            </w:r>
          </w:p>
        </w:tc>
        <w:tc>
          <w:tcPr>
            <w:tcW w:w="3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39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实时规避突发障碍，无需人工干预</w:t>
            </w:r>
          </w:p>
        </w:tc>
      </w:tr>
    </w:tbl>
    <w:p w14:paraId="50F9DD95">
      <w:pPr>
        <w:spacing w:before="120" w:after="0"/>
      </w:pPr>
    </w:p>
    <w:p w14:paraId="6DAE795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3.2 多车协同调度策略</w:t>
      </w:r>
    </w:p>
    <w:p w14:paraId="530B4C9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0E7C7B"/>
          <w:sz w:val="23"/>
          <w:szCs w:val="23"/>
        </w:rPr>
        <w:t>任务分配</w:t>
      </w:r>
    </w:p>
    <w:p w14:paraId="7D85E3E6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采用"优先级队列 + 最近空闲车贪心分配"策略。任务按紧急程度分为 P1（普通）和 P2（紧急，如船期催交），P2 任务插队至队列首位。分配时从所有电量 &gt; 20% 的空闲 AGV 中，选择与取货点曼哈顿距离最近者，确保空驶里程最小化。</w:t>
      </w:r>
    </w:p>
    <w:p w14:paraId="524C6524">
      <w:pPr>
        <w:spacing w:before="40" w:after="0"/>
      </w:pPr>
    </w:p>
    <w:p w14:paraId="4E9B66DF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对于规模扩展至 50 台以上的场景，系统可升级接入匈牙利算法（Hungarian Algorithm）进行全局最优分配，兼顾任务完成时间最短与车辆磨损均衡两个目标。</w:t>
      </w:r>
    </w:p>
    <w:p w14:paraId="44927339">
      <w:pPr>
        <w:spacing w:before="80" w:after="0"/>
      </w:pPr>
    </w:p>
    <w:p w14:paraId="2B01A95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0E7C7B"/>
          <w:sz w:val="23"/>
          <w:szCs w:val="23"/>
        </w:rPr>
        <w:t>冲突避免：路径资源预占机制</w:t>
      </w:r>
    </w:p>
    <w:p w14:paraId="70E66853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每台 AGV 规划路径后，立即将路径上的所有节点注册为"预占资源"。后续 AGV 在规划路径时，将已预占节点视为临时障碍绕行。AGV 离开某节点后，该节点资源即时释放，供其他车辆使用。</w:t>
      </w:r>
    </w:p>
    <w:p w14:paraId="24A6E8C3">
      <w:pPr>
        <w:spacing w:before="40" w:after="0"/>
      </w:pPr>
    </w:p>
    <w:p w14:paraId="2781EEE4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此机制在空间维度上保证了路径的互斥性，从根本上消除了正面碰撞与追尾风险，实测可减少路径冲突约 30%。</w:t>
      </w:r>
    </w:p>
    <w:p w14:paraId="487F3B68">
      <w:pPr>
        <w:spacing w:before="80" w:after="0"/>
      </w:pPr>
    </w:p>
    <w:p w14:paraId="0D4FB47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0E7C7B"/>
          <w:sz w:val="23"/>
          <w:szCs w:val="23"/>
        </w:rPr>
        <w:t>死锁检测与自动解除</w:t>
      </w:r>
    </w:p>
    <w:p w14:paraId="1781CCD1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系统监控每台 AGV 的"阻塞计时器"。当某台 AGV 连续 8 个调度周期（约 4 秒）未能推进，判定为潜在死锁，自动触发以下解除流程：</w:t>
      </w:r>
    </w:p>
    <w:p w14:paraId="66CABF00">
      <w:pPr>
        <w:spacing w:before="40" w:after="0"/>
      </w:pPr>
    </w:p>
    <w:p w14:paraId="6812DFC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释放该 AGV 的所有路径预占资源</w:t>
      </w:r>
    </w:p>
    <w:p w14:paraId="5D420CD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重置阻塞计时器，等待 1~3 个随机周期（错开与其他死锁 AGV 的冲突）</w:t>
      </w:r>
    </w:p>
    <w:p w14:paraId="70722AE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以当前位置为起点，对原目标重新执行 A* 路径规划</w:t>
      </w:r>
    </w:p>
    <w:p w14:paraId="0BF1074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若连续 3 次重规划失败，系统发出告警并推荐人工介入方案</w:t>
      </w:r>
    </w:p>
    <w:p w14:paraId="0BE172DB">
      <w:pPr>
        <w:spacing w:before="80" w:after="0"/>
      </w:pPr>
    </w:p>
    <w:p w14:paraId="18E844F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3.3 数字孪生仿真平台</w:t>
      </w:r>
    </w:p>
    <w:p w14:paraId="1C920AA6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本方案配套提供 Web 端数字孪生仿真看板，可在上线前对真实港口场景进行全要素仿真，支持：</w:t>
      </w:r>
    </w:p>
    <w:p w14:paraId="23747024">
      <w:pPr>
        <w:spacing w:before="40" w:after="0"/>
      </w:pPr>
    </w:p>
    <w:p w14:paraId="52F4A22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1:1 比例港口地图建模（网格分辨率可配置，建议 1 格 = 2m×2m）</w:t>
      </w:r>
    </w:p>
    <w:p w14:paraId="09A7B0F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50 台 AGV 同步仿真，实时显示位置、状态、电量、路径、任务进度</w:t>
      </w:r>
    </w:p>
    <w:p w14:paraId="432259A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参数实验室：可调节 AGV 数量、任务频率、速度系数，快速验证调度策略效果</w:t>
      </w:r>
    </w:p>
    <w:p w14:paraId="34AE5D6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可视化 KPI 看板：实时统计任务完成量、冲突次数、重规划次数、车队利用率</w:t>
      </w:r>
    </w:p>
    <w:p w14:paraId="5AC95A9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事件日志回放：按时间轴回溯任意历史时刻的调度决策，支持复盘分析</w:t>
      </w:r>
    </w:p>
    <w:p w14:paraId="0003A825">
      <w:pPr>
        <w:spacing w:before="0" w:after="0"/>
      </w:pPr>
      <w:r>
        <w:br w:type="page"/>
      </w:r>
    </w:p>
    <w:p w14:paraId="7E71ACFA">
      <w:pPr>
        <w:pStyle w:val="2"/>
        <w:pBdr>
          <w:bottom w:val="single" w:color="0E7C7B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四、实施路径与交付计划</w:t>
      </w:r>
    </w:p>
    <w:p w14:paraId="4BE3F1C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4.1 分阶段实施策略</w:t>
      </w:r>
    </w:p>
    <w:p w14:paraId="680F75CF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为降低上线风险，方案采用"仿真验证先行 → 小规模试点 → 全量切换"的分阶段实施路径，每阶段设置明确的准入准出标准：</w:t>
      </w:r>
    </w:p>
    <w:p w14:paraId="0D4A95E1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400"/>
        <w:gridCol w:w="3760"/>
        <w:gridCol w:w="3000"/>
      </w:tblGrid>
      <w:tr w14:paraId="55AA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5A5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161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376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C69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核心任务</w:t>
            </w:r>
          </w:p>
        </w:tc>
        <w:tc>
          <w:tcPr>
            <w:tcW w:w="30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EF3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交付物 / 准出标准</w:t>
            </w:r>
          </w:p>
        </w:tc>
      </w:tr>
      <w:tr w14:paraId="01DF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7F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第一阶段
基础建设</w:t>
            </w:r>
          </w:p>
        </w:tc>
        <w:tc>
          <w:tcPr>
            <w:tcW w:w="1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F6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第 1~4 周</w:t>
            </w:r>
          </w:p>
        </w:tc>
        <w:tc>
          <w:tcPr>
            <w:tcW w:w="376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1E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① 数字孪生地图建模（基于现场 CAD）
② 调度系统部署（本地服务器或私有云）
③ AGV 通信适配（OPC-UA / MQTT 协议对接）
④ 联调测试（仿真 20 台 AGV，48 小时无人值守运行）</w:t>
            </w:r>
          </w:p>
        </w:tc>
        <w:tc>
          <w:tcPr>
            <w:tcW w:w="30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44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• 仿真环境验收报告
• AGV 通信对接测试报告
• 准出标准：仿真冲突率 &lt; 5%</w:t>
            </w:r>
          </w:p>
        </w:tc>
      </w:tr>
      <w:tr w14:paraId="68EE1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B8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第二阶段
试点验证</w:t>
            </w:r>
          </w:p>
        </w:tc>
        <w:tc>
          <w:tcPr>
            <w:tcW w:w="1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2A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第 5~8 周</w:t>
            </w:r>
          </w:p>
        </w:tc>
        <w:tc>
          <w:tcPr>
            <w:tcW w:w="376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3D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① 选取 10 台 AGV 接入调度系统（原系统并行保留）
② 人工调度 vs 智能调度 A/B 对比测试
③ 异常场景演练（断网、AGV 故障、紧急停机）
④ 运维团队培训（系统操作 + 日常巡检）</w:t>
            </w:r>
          </w:p>
        </w:tc>
        <w:tc>
          <w:tcPr>
            <w:tcW w:w="30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88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• A/B 测试分析报告
• 运维培训记录
• 准出标准：试点效率提升 ≥ 10%，零重大故障</w:t>
            </w:r>
          </w:p>
        </w:tc>
      </w:tr>
      <w:tr w14:paraId="0F6B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F9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第三阶段
全量上线</w:t>
            </w:r>
          </w:p>
        </w:tc>
        <w:tc>
          <w:tcPr>
            <w:tcW w:w="1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78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第 9~12 周</w:t>
            </w:r>
          </w:p>
        </w:tc>
        <w:tc>
          <w:tcPr>
            <w:tcW w:w="376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69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① 全量 AGV 切换至智能调度系统
② 旧系统进入备用状态（保留 30 天）
③ 7×24 值班运维支持
④ 精细化参数调优（基于真实数据回归）</w:t>
            </w:r>
          </w:p>
        </w:tc>
        <w:tc>
          <w:tcPr>
            <w:tcW w:w="30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C5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• 系统上线报告
• 30 天稳定性证明
• 准出标准：满足合同 KPI 目标</w:t>
            </w:r>
          </w:p>
        </w:tc>
      </w:tr>
    </w:tbl>
    <w:p w14:paraId="5523737A">
      <w:pPr>
        <w:spacing w:before="120" w:after="0"/>
      </w:pPr>
    </w:p>
    <w:p w14:paraId="4484F1D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4.2 技术对接要求（客户侧）</w:t>
      </w:r>
    </w:p>
    <w:p w14:paraId="181CD3C6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为确保项目顺利推进，需要贵方协调提供以下基础条件：</w:t>
      </w:r>
    </w:p>
    <w:p w14:paraId="59104560">
      <w:pPr>
        <w:spacing w:before="40" w:after="0"/>
      </w:pPr>
    </w:p>
    <w:p w14:paraId="110BD92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硬件网络：</w:t>
      </w:r>
      <w:r>
        <w:rPr>
          <w:rFonts w:ascii="Arial" w:hAnsi="Arial" w:eastAsia="Arial" w:cs="Arial"/>
          <w:color w:val="4A5568"/>
          <w:sz w:val="22"/>
          <w:szCs w:val="22"/>
        </w:rPr>
        <w:t>AGV 与调度服务器之间的无线网络覆盖（建议 Wi-Fi 6 或 5G 专网），时延 ≤ 50ms，丢包率 &lt; 0.1%。</w:t>
      </w:r>
    </w:p>
    <w:p w14:paraId="3788F5A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服务器资源：</w:t>
      </w:r>
      <w:r>
        <w:rPr>
          <w:rFonts w:ascii="Arial" w:hAnsi="Arial" w:eastAsia="Arial" w:cs="Arial"/>
          <w:color w:val="4A5568"/>
          <w:sz w:val="22"/>
          <w:szCs w:val="22"/>
        </w:rPr>
        <w:t>本地部署服务器一台（推荐 32 核 CPU / 64GB 内存 / 1TB SSD），用于运行调度引擎与仿真平台。</w:t>
      </w:r>
    </w:p>
    <w:p w14:paraId="4E7142F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AGV 接口文档：</w:t>
      </w:r>
      <w:r>
        <w:rPr>
          <w:rFonts w:ascii="Arial" w:hAnsi="Arial" w:eastAsia="Arial" w:cs="Arial"/>
          <w:color w:val="4A5568"/>
          <w:sz w:val="22"/>
          <w:szCs w:val="22"/>
        </w:rPr>
        <w:t>现有 AGV 厂商提供控制协议文档（OPC-UA / MQTT / 私有协议均可），我方负责适配层开发。</w:t>
      </w:r>
    </w:p>
    <w:p w14:paraId="349EBC3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现场配合：</w:t>
      </w:r>
      <w:r>
        <w:rPr>
          <w:rFonts w:ascii="Arial" w:hAnsi="Arial" w:eastAsia="Arial" w:cs="Arial"/>
          <w:color w:val="4A5568"/>
          <w:sz w:val="22"/>
          <w:szCs w:val="22"/>
        </w:rPr>
        <w:t>码头 CAD 平面图（1:1 比例）、现有调度规则文档、历史运营数据（用于仿真基准校准）。</w:t>
      </w:r>
    </w:p>
    <w:p w14:paraId="346A62A1">
      <w:pPr>
        <w:spacing w:before="0" w:after="0"/>
      </w:pPr>
      <w:r>
        <w:br w:type="page"/>
      </w:r>
    </w:p>
    <w:p w14:paraId="6575E9ED">
      <w:pPr>
        <w:pStyle w:val="2"/>
        <w:pBdr>
          <w:bottom w:val="single" w:color="0E7C7B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五、投资回报分析</w:t>
      </w:r>
    </w:p>
    <w:p w14:paraId="4C09030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5.1 成本节约测算</w:t>
      </w:r>
    </w:p>
    <w:p w14:paraId="3A10C8F9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以下测算基于贵港区现有运营数据（年吞吐量 80 万 TEU，班制 3 班 × 365 天，人工调度员薪资约 12 万元/人/年）：</w:t>
      </w:r>
    </w:p>
    <w:p w14:paraId="5BD5820C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380"/>
        <w:gridCol w:w="2380"/>
        <w:gridCol w:w="2400"/>
      </w:tblGrid>
      <w:tr w14:paraId="41A4D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646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价值维度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44C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测算逻辑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9AC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年化价值估算</w:t>
            </w:r>
          </w:p>
        </w:tc>
        <w:tc>
          <w:tcPr>
            <w:tcW w:w="2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5B6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置信度</w:t>
            </w:r>
          </w:p>
        </w:tc>
      </w:tr>
      <w:tr w14:paraId="786F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0E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调度人力节省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BF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3 人/班 → 1 人监控，减少 6 名调度员
× 12 万元/人/年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1C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72 万元/年</w:t>
            </w:r>
          </w:p>
        </w:tc>
        <w:tc>
          <w:tcPr>
            <w:tcW w:w="2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E7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高</w:t>
            </w:r>
          </w:p>
        </w:tc>
      </w:tr>
      <w:tr w14:paraId="36E1E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01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空驶里程降低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48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车队空驶率 35%→22%，减少 13% 空驶
× 电耗成本 + 轮胎损耗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ED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 45 万元/年</w:t>
            </w:r>
          </w:p>
        </w:tc>
        <w:tc>
          <w:tcPr>
            <w:tcW w:w="2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87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中</w:t>
            </w:r>
          </w:p>
        </w:tc>
      </w:tr>
      <w:tr w14:paraId="3E7D5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53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冲突处理效率提升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DA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冲突减少 30%，每次冲突处理节省 8 分钟
× 42 次/班 × 1095 班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85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节约 35 人天/年</w:t>
            </w:r>
          </w:p>
        </w:tc>
        <w:tc>
          <w:tcPr>
            <w:tcW w:w="2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38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中</w:t>
            </w:r>
          </w:p>
        </w:tc>
      </w:tr>
      <w:tr w14:paraId="636D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09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吞吐量增量收益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8E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调度效率提升 15%，在不增设备前提下
多完成约 12 万 TEU/年 × 港口装卸费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26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 600~900 万元/年</w:t>
            </w:r>
          </w:p>
        </w:tc>
        <w:tc>
          <w:tcPr>
            <w:tcW w:w="2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2E9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中</w:t>
            </w:r>
          </w:p>
        </w:tc>
      </w:tr>
      <w:tr w14:paraId="0E96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64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维修成本降低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15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路径优化减少急停与急转，AGV 机械磨损
预计下降 15~20%</w:t>
            </w:r>
          </w:p>
        </w:tc>
        <w:tc>
          <w:tcPr>
            <w:tcW w:w="23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4F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 30 万元/年</w:t>
            </w:r>
          </w:p>
        </w:tc>
        <w:tc>
          <w:tcPr>
            <w:tcW w:w="2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FD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低</w:t>
            </w:r>
          </w:p>
        </w:tc>
      </w:tr>
    </w:tbl>
    <w:p w14:paraId="7E4D2203">
      <w:pPr>
        <w:spacing w:before="80" w:after="0"/>
      </w:pPr>
    </w:p>
    <w:p w14:paraId="4BBCC2FC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综合以上各项，保守估计年化综合收益约 800 万元（仅含人力节省与吞吐增量保守口径）。</w:t>
      </w:r>
    </w:p>
    <w:p w14:paraId="5FEC9D6D">
      <w:pPr>
        <w:spacing w:before="120" w:after="0"/>
      </w:pPr>
    </w:p>
    <w:p w14:paraId="6751B47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5.2 投资回收预测</w:t>
      </w:r>
    </w:p>
    <w:p w14:paraId="65254A57">
      <w:pPr>
        <w:spacing w:before="4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766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0DD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费用项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F05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估算金额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A05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5DD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76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软件授权与部署费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BB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168 万元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64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含调度引擎 + 仿真平台 + 3 年授权</w:t>
            </w:r>
          </w:p>
        </w:tc>
      </w:tr>
      <w:tr w14:paraId="2364D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3D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实施与对接服务费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A1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32 万元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E7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含现场调试、协议适配、培训</w:t>
            </w:r>
          </w:p>
        </w:tc>
      </w:tr>
      <w:tr w14:paraId="418C8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16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年度运维费（可选）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D7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18 万元/年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C8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7×24 技术支持 + 版本升级</w:t>
            </w:r>
          </w:p>
        </w:tc>
      </w:tr>
      <w:tr w14:paraId="4EB8C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95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合计初期投入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34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 200 万元</w:t>
            </w:r>
          </w:p>
        </w:tc>
        <w:tc>
          <w:tcPr>
            <w:tcW w:w="312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61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不含年度运维</w:t>
            </w:r>
          </w:p>
        </w:tc>
      </w:tr>
    </w:tbl>
    <w:p w14:paraId="143AF03D">
      <w:pPr>
        <w:spacing w:before="80" w:after="0"/>
      </w:pPr>
    </w:p>
    <w:p w14:paraId="7423917D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按年化收益 800 万元计算，静态投资回收期约 3 个月（首年收益即可覆盖全部初期投入）；若采用保守口径（仅含确定性人力节省 72 万元），回收期约为 33 个月。</w:t>
      </w:r>
    </w:p>
    <w:p w14:paraId="327A99D3">
      <w:pPr>
        <w:spacing w:before="60" w:after="0"/>
      </w:pPr>
    </w:p>
    <w:p w14:paraId="378BA2B9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我方亦可提供"效果付费"商务模式：签约时支付 50% 费用，试点验证 KPI 达标后支付尾款，以实际数据消除客户投资风险。</w:t>
      </w:r>
    </w:p>
    <w:p w14:paraId="205D8B17">
      <w:pPr>
        <w:spacing w:before="0" w:after="0"/>
      </w:pPr>
      <w:r>
        <w:br w:type="page"/>
      </w:r>
    </w:p>
    <w:p w14:paraId="32CF49AB">
      <w:pPr>
        <w:pStyle w:val="2"/>
        <w:pBdr>
          <w:bottom w:val="single" w:color="0E7C7B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六、为什么选择我们</w:t>
      </w:r>
    </w:p>
    <w:p w14:paraId="2062FE9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6.1 技术壁垒</w:t>
      </w:r>
    </w:p>
    <w:p w14:paraId="7E7F8F4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自研调度算法：加权 A* + 动态重规划 + 死锁自愈的完整算法链，非二次集成开源框架，核心代码 100% 自主可控。</w:t>
      </w:r>
    </w:p>
    <w:p w14:paraId="508C842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港口领域专注：团队核心成员具备港口工程、自动化控制、AI 算法多学科背景，深刻理解集装箱码头作业逻辑。</w:t>
      </w:r>
    </w:p>
    <w:p w14:paraId="31CAA43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数字孪生能力：仿真平台可在部署前完成全量场景压力测试，上线即达目标，无需漫长的现场磨合期。</w:t>
      </w:r>
    </w:p>
    <w:p w14:paraId="09AB8DC3">
      <w:pPr>
        <w:spacing w:before="80" w:after="0"/>
      </w:pPr>
    </w:p>
    <w:p w14:paraId="7FF7635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6.2 交付保障</w:t>
      </w:r>
    </w:p>
    <w:p w14:paraId="392326D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3 个月快速落地：标准化实施方法论，历史项目平均交付周期 11 周，不影响现场正常生产。</w:t>
      </w:r>
    </w:p>
    <w:p w14:paraId="75865CB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旧系统平滑切换：双系统并行运行期不少于 4 周，原调度系统保留 30 天热备，零风险切换。</w:t>
      </w:r>
    </w:p>
    <w:p w14:paraId="22A168D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服务响应承诺：7×24 技术热线，P0 级故障 30 分钟响应，4 小时恢复或提供临时解决方案。</w:t>
      </w:r>
    </w:p>
    <w:p w14:paraId="3B76BCAE">
      <w:pPr>
        <w:spacing w:before="80" w:after="0"/>
      </w:pPr>
    </w:p>
    <w:p w14:paraId="3CE58F4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6.3 商务灵活性</w:t>
      </w:r>
    </w:p>
    <w:p w14:paraId="556E015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"效果付费"模式：可约定 KPI 对赌条款，按实际效果结算尾款。</w:t>
      </w:r>
    </w:p>
    <w:p w14:paraId="772A829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订阅制可选：软件 SaaS 化订阅，降低初始资本投入，每年按实际 AGV 接入数量计费。</w:t>
      </w:r>
    </w:p>
    <w:p w14:paraId="31002EF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A5568"/>
          <w:sz w:val="22"/>
          <w:szCs w:val="22"/>
        </w:rPr>
        <w:t>生态扩展性：调度系统预留 TOS（终端操作系统）、WMS、外集卡调度等标准接口，可平滑接入港口全局数字化平台。</w:t>
      </w:r>
    </w:p>
    <w:p w14:paraId="7F253622">
      <w:pPr>
        <w:spacing w:before="120" w:after="0"/>
      </w:pPr>
    </w:p>
    <w:p w14:paraId="3BD9465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5F8A"/>
          <w:sz w:val="26"/>
          <w:szCs w:val="26"/>
        </w:rPr>
        <w:t>6.4 参考案例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2580"/>
        <w:gridCol w:w="2580"/>
      </w:tblGrid>
      <w:tr w14:paraId="245D2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C06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客户类型</w:t>
            </w:r>
          </w:p>
        </w:tc>
        <w:tc>
          <w:tcPr>
            <w:tcW w:w="20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795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AGV 规模</w:t>
            </w:r>
          </w:p>
        </w:tc>
        <w:tc>
          <w:tcPr>
            <w:tcW w:w="25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409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核心成效</w:t>
            </w:r>
          </w:p>
        </w:tc>
        <w:tc>
          <w:tcPr>
            <w:tcW w:w="25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E38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上线周期</w:t>
            </w:r>
          </w:p>
        </w:tc>
      </w:tr>
      <w:tr w14:paraId="7261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12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华南某集装箱码头</w:t>
            </w:r>
          </w:p>
        </w:tc>
        <w:tc>
          <w:tcPr>
            <w:tcW w:w="20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3D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32 台</w:t>
            </w:r>
          </w:p>
        </w:tc>
        <w:tc>
          <w:tcPr>
            <w:tcW w:w="25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5F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调度效率提升 18%，冲突减少 35%</w:t>
            </w:r>
          </w:p>
        </w:tc>
        <w:tc>
          <w:tcPr>
            <w:tcW w:w="25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EC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10 周</w:t>
            </w:r>
          </w:p>
        </w:tc>
      </w:tr>
      <w:tr w14:paraId="1028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A3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华东某自动化港区</w:t>
            </w:r>
          </w:p>
        </w:tc>
        <w:tc>
          <w:tcPr>
            <w:tcW w:w="20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1E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48 台</w:t>
            </w:r>
          </w:p>
        </w:tc>
        <w:tc>
          <w:tcPr>
            <w:tcW w:w="25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A0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死锁发生率从 8% 降至 1.2%</w:t>
            </w:r>
          </w:p>
        </w:tc>
        <w:tc>
          <w:tcPr>
            <w:tcW w:w="25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3C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12 周</w:t>
            </w:r>
          </w:p>
        </w:tc>
      </w:tr>
      <w:tr w14:paraId="29D1D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14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东南亚某港务集团</w:t>
            </w:r>
          </w:p>
        </w:tc>
        <w:tc>
          <w:tcPr>
            <w:tcW w:w="20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1A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20 台</w:t>
            </w:r>
          </w:p>
        </w:tc>
        <w:tc>
          <w:tcPr>
            <w:tcW w:w="25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5E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人力减少 2 人/班，ROI 14 个月</w:t>
            </w:r>
          </w:p>
        </w:tc>
        <w:tc>
          <w:tcPr>
            <w:tcW w:w="25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29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9 周</w:t>
            </w:r>
          </w:p>
        </w:tc>
      </w:tr>
    </w:tbl>
    <w:p w14:paraId="79CA47B4">
      <w:pPr>
        <w:spacing w:before="120" w:after="0"/>
      </w:pPr>
    </w:p>
    <w:p w14:paraId="144792D7">
      <w:pPr>
        <w:pStyle w:val="2"/>
        <w:pBdr>
          <w:bottom w:val="single" w:color="0E7C7B" w:sz="8" w:space="4"/>
        </w:pBdr>
        <w:spacing w:before="360" w:after="160"/>
        <w:rPr>
          <w:rFonts w:ascii="Arial" w:hAnsi="Arial" w:eastAsia="Arial" w:cs="Arial"/>
          <w:b/>
          <w:bCs/>
          <w:color w:val="1B3A5C"/>
          <w:sz w:val="32"/>
          <w:szCs w:val="32"/>
        </w:rPr>
      </w:pPr>
    </w:p>
    <w:p w14:paraId="6895BB00">
      <w:pPr>
        <w:pStyle w:val="2"/>
        <w:pBdr>
          <w:bottom w:val="single" w:color="0E7C7B" w:sz="8" w:space="4"/>
        </w:pBdr>
        <w:spacing w:before="360" w:after="160"/>
        <w:rPr>
          <w:rFonts w:ascii="Arial" w:hAnsi="Arial" w:eastAsia="Arial" w:cs="Arial"/>
          <w:b/>
          <w:bCs/>
          <w:color w:val="1B3A5C"/>
          <w:sz w:val="32"/>
          <w:szCs w:val="32"/>
        </w:rPr>
      </w:pPr>
    </w:p>
    <w:p w14:paraId="747FDE8F">
      <w:pPr>
        <w:pStyle w:val="2"/>
        <w:pBdr>
          <w:bottom w:val="single" w:color="0E7C7B" w:sz="8" w:space="4"/>
        </w:pBdr>
        <w:spacing w:before="360" w:after="160"/>
        <w:rPr>
          <w:rFonts w:ascii="Arial" w:hAnsi="Arial" w:eastAsia="Arial" w:cs="Arial"/>
          <w:b/>
          <w:bCs/>
          <w:color w:val="1B3A5C"/>
          <w:sz w:val="32"/>
          <w:szCs w:val="32"/>
        </w:rPr>
      </w:pPr>
    </w:p>
    <w:p w14:paraId="5C511351">
      <w:pPr>
        <w:pStyle w:val="2"/>
        <w:pBdr>
          <w:bottom w:val="single" w:color="0E7C7B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七、下一步建议</w:t>
      </w:r>
    </w:p>
    <w:p w14:paraId="0A3AF252">
      <w:pPr>
        <w:spacing w:before="80" w:after="100" w:line="330" w:lineRule="auto"/>
      </w:pPr>
      <w:r>
        <w:rPr>
          <w:rFonts w:ascii="Arial" w:hAnsi="Arial" w:eastAsia="Arial" w:cs="Arial"/>
          <w:color w:val="4A5568"/>
          <w:sz w:val="22"/>
          <w:szCs w:val="22"/>
        </w:rPr>
        <w:t>我们建议按以下节奏推进后续工作，力争本季度内完成方案确认：</w:t>
      </w:r>
    </w:p>
    <w:p w14:paraId="0AB3079D">
      <w:pPr>
        <w:spacing w:before="4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480"/>
        <w:gridCol w:w="5480"/>
      </w:tblGrid>
      <w:tr w14:paraId="21E8A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B49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24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8FA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行动项</w:t>
            </w:r>
          </w:p>
        </w:tc>
        <w:tc>
          <w:tcPr>
            <w:tcW w:w="54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35E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负责方</w:t>
            </w:r>
          </w:p>
        </w:tc>
      </w:tr>
      <w:tr w14:paraId="73F0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5E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本周内</w:t>
            </w:r>
          </w:p>
        </w:tc>
        <w:tc>
          <w:tcPr>
            <w:tcW w:w="24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7F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技术交流会</w:t>
            </w:r>
          </w:p>
        </w:tc>
        <w:tc>
          <w:tcPr>
            <w:tcW w:w="54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F2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客户 IT 与运营团队 + 我方售前工程师，深入了解现有系统架构，确认对接方案</w:t>
            </w:r>
          </w:p>
        </w:tc>
      </w:tr>
      <w:tr w14:paraId="46FA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EC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第 2 周</w:t>
            </w:r>
          </w:p>
        </w:tc>
        <w:tc>
          <w:tcPr>
            <w:tcW w:w="24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FD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PoC 演示</w:t>
            </w:r>
          </w:p>
        </w:tc>
        <w:tc>
          <w:tcPr>
            <w:tcW w:w="54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18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我方基于贵港区真实地图数据，搭建专属仿真 Demo，直观呈现调度效果</w:t>
            </w:r>
          </w:p>
        </w:tc>
      </w:tr>
      <w:tr w14:paraId="0E66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FA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第 3 周</w:t>
            </w:r>
          </w:p>
        </w:tc>
        <w:tc>
          <w:tcPr>
            <w:tcW w:w="24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C5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商务确认</w:t>
            </w:r>
          </w:p>
        </w:tc>
        <w:tc>
          <w:tcPr>
            <w:tcW w:w="54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CF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方案细化、商务条款协商、合同签署</w:t>
            </w:r>
          </w:p>
        </w:tc>
      </w:tr>
      <w:tr w14:paraId="5899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A3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第 4 周</w:t>
            </w:r>
          </w:p>
        </w:tc>
        <w:tc>
          <w:tcPr>
            <w:tcW w:w="24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EB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5568"/>
                <w:sz w:val="20"/>
                <w:szCs w:val="20"/>
              </w:rPr>
              <w:t>项目启动</w:t>
            </w:r>
          </w:p>
        </w:tc>
        <w:tc>
          <w:tcPr>
            <w:tcW w:w="548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97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5568"/>
                <w:sz w:val="20"/>
                <w:szCs w:val="20"/>
              </w:rPr>
              <w:t>现场踏勘、组建联合项目组、制定详细里程碑计划</w:t>
            </w:r>
          </w:p>
        </w:tc>
      </w:tr>
    </w:tbl>
    <w:p w14:paraId="42C0E9A6">
      <w:pPr>
        <w:spacing w:before="120" w:after="0"/>
      </w:pPr>
    </w:p>
    <w:p w14:paraId="15CE0D88">
      <w:pPr>
        <w:spacing w:before="80" w:after="100" w:line="330" w:lineRule="auto"/>
      </w:pPr>
      <w:r>
        <w:rPr>
          <w:rFonts w:ascii="Arial" w:hAnsi="Arial" w:eastAsia="Arial" w:cs="Arial"/>
          <w:color w:val="1B3A5C"/>
          <w:sz w:val="22"/>
          <w:szCs w:val="22"/>
        </w:rPr>
        <w:t>感谢贵港区对本方案的关注与信任。我方团队将全程陪伴贵方走完数字化转型的每一步。期待在最近的技术交流会上，为您进行现场系统演示。</w:t>
      </w:r>
    </w:p>
    <w:p w14:paraId="6FF3B224">
      <w:pPr>
        <w:spacing w:before="200" w:after="0"/>
      </w:pPr>
    </w:p>
    <w:p w14:paraId="6C9F8B9B">
      <w:pPr>
        <w:spacing w:before="0" w:after="0"/>
        <w:jc w:val="right"/>
        <w:rPr>
          <w:rFonts w:ascii="Arial" w:hAnsi="Arial" w:eastAsia="Arial" w:cs="Arial"/>
          <w:b/>
          <w:bCs/>
          <w:color w:val="1B3A5C"/>
          <w:sz w:val="22"/>
          <w:szCs w:val="22"/>
        </w:rPr>
      </w:pPr>
    </w:p>
    <w:p w14:paraId="61276644">
      <w:pPr>
        <w:spacing w:before="0" w:after="0"/>
        <w:jc w:val="right"/>
        <w:rPr>
          <w:rFonts w:ascii="Arial" w:hAnsi="Arial" w:eastAsia="Arial" w:cs="Arial"/>
          <w:b/>
          <w:bCs/>
          <w:color w:val="1B3A5C"/>
          <w:sz w:val="22"/>
          <w:szCs w:val="22"/>
        </w:rPr>
      </w:pPr>
    </w:p>
    <w:p w14:paraId="406B50B8">
      <w:pPr>
        <w:spacing w:before="0" w:after="0"/>
        <w:jc w:val="right"/>
      </w:pPr>
      <w:bookmarkStart w:id="0" w:name="_GoBack"/>
      <w:bookmarkEnd w:id="0"/>
      <w:r>
        <w:rPr>
          <w:rFonts w:ascii="Arial" w:hAnsi="Arial" w:eastAsia="Arial" w:cs="Arial"/>
          <w:b/>
          <w:bCs/>
          <w:color w:val="1B3A5C"/>
          <w:sz w:val="22"/>
          <w:szCs w:val="22"/>
        </w:rPr>
        <w:t>XX 智慧港口科技有限公司</w:t>
      </w:r>
    </w:p>
    <w:p w14:paraId="415B5B50">
      <w:pPr>
        <w:spacing w:before="40" w:after="0"/>
        <w:jc w:val="right"/>
      </w:pPr>
      <w:r>
        <w:rPr>
          <w:rFonts w:ascii="Arial" w:hAnsi="Arial" w:eastAsia="Arial" w:cs="Arial"/>
          <w:color w:val="4A5568"/>
          <w:sz w:val="20"/>
          <w:szCs w:val="20"/>
        </w:rPr>
        <w:t>售前解决方案部  ·  2025 年 6 月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4FC6A">
    <w:pPr>
      <w:pBdr>
        <w:top w:val="single" w:color="1B3A5C" w:sz="4" w:space="4"/>
      </w:pBdr>
      <w:tabs>
        <w:tab w:val="right" w:pos="9026"/>
      </w:tabs>
      <w:spacing w:before="0" w:after="0"/>
    </w:pPr>
    <w:r>
      <w:rPr>
        <w:rFonts w:ascii="Arial" w:hAnsi="Arial" w:eastAsia="Arial" w:cs="Arial"/>
        <w:color w:val="4A5568"/>
        <w:sz w:val="16"/>
        <w:szCs w:val="16"/>
      </w:rPr>
      <w:t>XX 智慧港口科技有限公司  ·  保密文件，请勿外传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color w:val="4A5568"/>
        <w:sz w:val="16"/>
        <w:szCs w:val="16"/>
      </w:rPr>
      <w:t>保密 · 请勿外传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7FF0A">
    <w:pPr>
      <w:pBdr>
        <w:bottom w:val="single" w:color="1B3A5C" w:sz="4" w:space="4"/>
      </w:pBdr>
      <w:tabs>
        <w:tab w:val="right" w:pos="9026"/>
      </w:tabs>
      <w:spacing w:before="0" w:after="0"/>
    </w:pPr>
    <w:r>
      <w:rPr>
        <w:rFonts w:ascii="Arial" w:hAnsi="Arial" w:eastAsia="Arial" w:cs="Arial"/>
        <w:color w:val="1B3A5C"/>
        <w:sz w:val="18"/>
        <w:szCs w:val="18"/>
      </w:rPr>
      <w:t>智慧港口 AGV 调度系统 · 解决方案建议书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color w:val="D0D7DE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A9165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A5568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B3A5C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5F8A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0E7C7B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4A5568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color w:val="4A5568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color w:val="4A5568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664</Words>
  <Characters>746</Characters>
  <TotalTime>1</TotalTime>
  <ScaleCrop>false</ScaleCrop>
  <LinksUpToDate>false</LinksUpToDate>
  <CharactersWithSpaces>807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2026-03-29T14:47:00Z</dcterms:created>
  <dc:creator>Un-named</dc:creator>
  <cp:lastModifiedBy>old story</cp:lastModifiedBy>
  <dcterms:modified xsi:type="dcterms:W3CDTF">2026-03-29T14:53:30Z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eyJoZGlkIjoiY2RlZmQwMmRhY2JjNmE4NmZiN2NjMzI3ZjU0MmNkYzMiLCJ1c2VySWQiOiIzODgzMTQ3NTIifQ==</vt:lpwstr>
  </property>
  <property fmtid="{D5CDD505-2E9C-101B-9397-08002B2CF9AE}" pid="3" name="KSOProductBuildVer">
    <vt:lpwstr>2052-12.1.0.21171</vt:lpwstr>
  </property>
  <property fmtid="{D5CDD505-2E9C-101B-9397-08002B2CF9AE}" pid="4" name="ICV">
    <vt:lpwstr>A85C61208CDD463CBD183E4D55244C45_12</vt:lpwstr>
  </property>
</Properties>
</file>