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Arial" w:cs="Arial" w:eastAsia="Arial" w:hAnsi="Arial"/>
        </w:rPr>
        <w:t xml:space="preserve"/>
      </w:r>
    </w:p>
    <w:p>
      <w:pPr>
        <w:spacing w:after="120"/>
        <w:jc w:val="center"/>
      </w:pPr>
      <w:r>
        <w:rPr>
          <w:rFonts w:ascii="Arial" w:cs="Arial" w:eastAsia="Arial" w:hAnsi="Arial"/>
          <w:b/>
          <w:bCs/>
          <w:color w:val="0A7C7C"/>
          <w:sz w:val="56"/>
          <w:szCs w:val="56"/>
        </w:rPr>
        <w:t xml:space="preserve">FieldHealth Africa</w:t>
      </w:r>
    </w:p>
    <w:p>
      <w:pPr>
        <w:spacing w:after="800"/>
        <w:jc w:val="center"/>
      </w:pPr>
      <w:r>
        <w:rPr>
          <w:rFonts w:ascii="Arial" w:cs="Arial" w:eastAsia="Arial" w:hAnsi="Arial"/>
          <w:i/>
          <w:iCs/>
          <w:color w:val="C75B3C"/>
          <w:sz w:val="28"/>
          <w:szCs w:val="28"/>
        </w:rPr>
        <w:t xml:space="preserve">From data to decisions, in the field.</w:t>
      </w:r>
    </w:p>
    <w:p>
      <w:pPr>
        <w:spacing w:after="120"/>
        <w:jc w:val="center"/>
      </w:pPr>
      <w:r>
        <w:rPr>
          <w:rFonts w:ascii="Arial" w:cs="Arial" w:eastAsia="Arial" w:hAnsi="Arial"/>
          <w:b/>
          <w:bCs/>
          <w:color w:val="1F4E5F"/>
          <w:sz w:val="36"/>
          <w:szCs w:val="36"/>
        </w:rPr>
        <w:t xml:space="preserve">BUSINESS PLAN BLUEPRINT</w:t>
      </w:r>
    </w:p>
    <w:p>
      <w:pPr>
        <w:spacing w:after="80"/>
        <w:jc w:val="center"/>
      </w:pPr>
      <w:r>
        <w:rPr>
          <w:rFonts w:ascii="Arial" w:cs="Arial" w:eastAsia="Arial" w:hAnsi="Arial"/>
          <w:color w:val="555555"/>
          <w:sz w:val="24"/>
          <w:szCs w:val="24"/>
        </w:rPr>
        <w:t xml:space="preserve">Two-Library Model — Free Practitioner Library + Paid Pro Library</w:t>
      </w:r>
    </w:p>
    <w:p>
      <w:pPr>
        <w:spacing w:after="1200"/>
        <w:jc w:val="center"/>
      </w:pPr>
      <w:r>
        <w:rPr>
          <w:rFonts w:ascii="Arial" w:cs="Arial" w:eastAsia="Arial" w:hAnsi="Arial"/>
          <w:b/>
          <w:bCs/>
          <w:color w:val="C75B3C"/>
          <w:sz w:val="22"/>
          <w:szCs w:val="22"/>
        </w:rPr>
        <w:t xml:space="preserve">Version 2.0</w:t>
      </w:r>
    </w:p>
    <w:p>
      <w:pPr>
        <w:spacing w:after="80"/>
        <w:jc w:val="center"/>
      </w:pPr>
      <w:r>
        <w:rPr>
          <w:rFonts w:ascii="Arial" w:cs="Arial" w:eastAsia="Arial" w:hAnsi="Arial"/>
          <w:color w:val="555555"/>
          <w:sz w:val="20"/>
          <w:szCs w:val="20"/>
        </w:rPr>
        <w:t xml:space="preserve">Prepared for</w:t>
      </w:r>
    </w:p>
    <w:p>
      <w:pPr>
        <w:spacing w:after="60"/>
        <w:jc w:val="center"/>
      </w:pPr>
      <w:r>
        <w:rPr>
          <w:rFonts w:ascii="Arial" w:cs="Arial" w:eastAsia="Arial" w:hAnsi="Arial"/>
          <w:b/>
          <w:bCs/>
          <w:sz w:val="28"/>
          <w:szCs w:val="28"/>
        </w:rPr>
        <w:t xml:space="preserve">Dr. Nzozone Henry Fomukong</w:t>
      </w:r>
    </w:p>
    <w:p>
      <w:pPr>
        <w:spacing w:after="800"/>
        <w:jc w:val="center"/>
      </w:pPr>
      <w:r>
        <w:rPr>
          <w:rFonts w:ascii="Arial" w:cs="Arial" w:eastAsia="Arial" w:hAnsi="Arial"/>
          <w:i/>
          <w:iCs/>
          <w:color w:val="555555"/>
          <w:sz w:val="20"/>
          <w:szCs w:val="20"/>
        </w:rPr>
        <w:t xml:space="preserve">Medical Doctor • Field Epidemiologist • District Medical Officer, Mamfe</w:t>
      </w:r>
    </w:p>
    <w:p>
      <w:pPr>
        <w:jc w:val="center"/>
      </w:pPr>
      <w:r>
        <w:rPr>
          <w:rFonts w:ascii="Arial" w:cs="Arial" w:eastAsia="Arial" w:hAnsi="Arial"/>
          <w:color w:val="555555"/>
          <w:sz w:val="18"/>
          <w:szCs w:val="18"/>
        </w:rPr>
        <w:t xml:space="preserve">May 2026</w:t>
      </w:r>
    </w:p>
    <w:p>
      <w:pPr>
        <w:jc w:val="center"/>
      </w:pPr>
      <w:r>
        <w:rPr>
          <w:rFonts w:ascii="Arial" w:cs="Arial" w:eastAsia="Arial" w:hAnsi="Arial"/>
          <w:i/>
          <w:iCs/>
          <w:color w:val="555555"/>
          <w:sz w:val="18"/>
          <w:szCs w:val="18"/>
        </w:rPr>
        <w:t xml:space="preserve">Companion: FieldHealth_Africa_Execution_Workbook_v2.xlsx</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Executive Summary</w:t>
      </w:r>
    </w:p>
    <w:p>
      <w:pPr>
        <w:spacing w:after="160" w:line="320"/>
        <w:jc w:val="both"/>
      </w:pPr>
      <w:r>
        <w:rPr>
          <w:rFonts w:ascii="Arial" w:cs="Arial" w:eastAsia="Arial" w:hAnsi="Arial"/>
        </w:rPr>
        <w:t xml:space="preserve">FieldHealth Africa is a digital business that converts the operational knowledge of a practicing District Medical Officer into two parallel libraries of digital assets. The Free Library serves African practitioners — DMOs, facility managers, district pharmacists, M&amp;E officers — with practical tools, templates, and SOPs at no cost. The Paid Library serves international buyers — global health consultants, NGO M&amp;E officers, researchers, diaspora professionals, and small consultancies — with premium Python-based applications, AI-powered tools, and professional dashboards.</w:t>
      </w:r>
    </w:p>
    <w:p>
      <w:pPr>
        <w:spacing w:after="160" w:line="320"/>
        <w:jc w:val="both"/>
      </w:pPr>
      <w:r>
        <w:rPr>
          <w:rFonts w:ascii="Arial" w:cs="Arial" w:eastAsia="Arial" w:hAnsi="Arial"/>
        </w:rPr>
        <w:t xml:space="preserve">The two libraries work together. The Free Library is the brand engine: it builds audience, earns credibility, generates testimonials and case studies, and demonstrates real-world deployment of the tools. The Paid Library is the revenue engine: every premium tool ships with the implicit warranty of having been built by someone who actually uses these methods in the field, with the social proof of practitioners already using the free versions across African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75B3C" w:sz="24"/>
              <w:bottom w:val="single" w:color="DDDDDD" w:sz="4"/>
              <w:right w:val="single" w:color="DDDDDD" w:sz="4"/>
            </w:tcBorders>
            <w:shd w:fill="FAFAFA" w:val="clear"/>
            <w:tcMar>
              <w:top w:type="dxa" w:w="160"/>
              <w:left w:type="dxa" w:w="240"/>
              <w:bottom w:type="dxa" w:w="160"/>
              <w:right w:type="dxa" w:w="240"/>
            </w:tcMar>
          </w:tcPr>
          <w:p>
            <w:pPr>
              <w:spacing w:after="100"/>
            </w:pPr>
            <w:r>
              <w:rPr>
                <w:rFonts w:ascii="Arial" w:cs="Arial" w:eastAsia="Arial" w:hAnsi="Arial"/>
                <w:b/>
                <w:bCs/>
                <w:color w:val="C75B3C"/>
                <w:sz w:val="22"/>
                <w:szCs w:val="22"/>
              </w:rPr>
              <w:t xml:space="preserve">Why two libraries instead of one</w:t>
            </w:r>
          </w:p>
          <w:p>
            <w:pPr>
              <w:spacing w:line="300"/>
            </w:pPr>
            <w:r>
              <w:rPr>
                <w:rFonts w:ascii="Arial" w:cs="Arial" w:eastAsia="Arial" w:hAnsi="Arial"/>
                <w:sz w:val="20"/>
                <w:szCs w:val="20"/>
              </w:rPr>
              <w:t xml:space="preserve">Earlier versions of this plan targeted African practitioners with paid tools. That model was structurally flawed because the people who most need the tools have the least personal budget for them. The two-library model solves this: practitioners get value for free and become advocates; consultants and institutions that have professional budgets get premium tools that save them billable hours and improve their work product. Same expertise, two markets, complementary economics.</w:t>
            </w:r>
          </w:p>
        </w:tc>
      </w:tr>
    </w:tbl>
    <w:p>
      <w:r>
        <w:rPr>
          <w:rFonts w:ascii="Arial" w:cs="Arial" w:eastAsia="Arial" w:hAnsi="Arial"/>
        </w:rPr>
        <w:t xml:space="preserve"/>
      </w:r>
    </w:p>
    <w:p>
      <w:pPr>
        <w:pStyle w:val="Heading2"/>
        <w:spacing w:after="180" w:before="360"/>
      </w:pPr>
      <w:r>
        <w:rPr>
          <w:rFonts w:ascii="Arial" w:cs="Arial" w:eastAsia="Arial" w:hAnsi="Arial"/>
          <w:b/>
          <w:bCs/>
          <w:color w:val="1F4E5F"/>
          <w:sz w:val="26"/>
          <w:szCs w:val="26"/>
        </w:rPr>
        <w:t xml:space="preserve">The financial trajectory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2200"/>
        <w:gridCol w:w="2160"/>
        <w:gridCol w:w="2160"/>
      </w:tblGrid>
      <w:tr>
        <w:tc>
          <w:tcPr>
            <w:tcW w:type="dxa" w:w="284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Milestone</w:t>
            </w:r>
          </w:p>
        </w:tc>
        <w:tc>
          <w:tcPr>
            <w:tcW w:type="dxa" w:w="22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Conservative</w:t>
            </w:r>
          </w:p>
        </w:tc>
        <w:tc>
          <w:tcPr>
            <w:tcW w:type="dxa" w:w="21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Base</w:t>
            </w:r>
          </w:p>
        </w:tc>
        <w:tc>
          <w:tcPr>
            <w:tcW w:type="dxa" w:w="21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Ambitious</w:t>
            </w:r>
          </w:p>
        </w:tc>
      </w:tr>
      <w:tr>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First $1 of revenue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w:t>
            </w:r>
          </w:p>
        </w:tc>
      </w:tr>
      <w:tr>
        <w:tc>
          <w:tcPr>
            <w:tcW w:type="dxa" w:w="28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$1,000 cumulative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5–6</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3–4</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2–3</w:t>
            </w:r>
          </w:p>
        </w:tc>
      </w:tr>
      <w:tr>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$10,000 cumulative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11–13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7–9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5–7</w:t>
            </w:r>
          </w:p>
        </w:tc>
      </w:tr>
      <w:tr>
        <w:tc>
          <w:tcPr>
            <w:tcW w:type="dxa" w:w="28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$50,000 cumulative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22–26</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14–18</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10–13</w:t>
            </w:r>
          </w:p>
        </w:tc>
      </w:tr>
      <w:tr>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$100,000 cumulative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30–36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19–24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13–17</w:t>
            </w:r>
          </w:p>
        </w:tc>
      </w:tr>
      <w:tr>
        <w:tc>
          <w:tcPr>
            <w:tcW w:type="dxa" w:w="28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$500,000 cumulative</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5–6</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40–48</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26–32</w:t>
            </w:r>
          </w:p>
        </w:tc>
      </w:tr>
      <w:tr>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$1,000,000 cumulative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7–8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2.5–3.5</w:t>
            </w:r>
          </w:p>
        </w:tc>
      </w:tr>
    </w:tbl>
    <w:p>
      <w:r>
        <w:rPr>
          <w:rFonts w:ascii="Arial" w:cs="Arial" w:eastAsia="Arial" w:hAnsi="Arial"/>
        </w:rPr>
        <w:t xml:space="preserve"/>
      </w:r>
    </w:p>
    <w:p>
      <w:pPr>
        <w:spacing w:after="160" w:line="320"/>
        <w:jc w:val="both"/>
      </w:pPr>
      <w:r>
        <w:rPr>
          <w:rFonts w:ascii="Arial" w:cs="Arial" w:eastAsia="Arial" w:hAnsi="Arial"/>
        </w:rPr>
        <w:t xml:space="preserve">These projections are more aggressive than earlier versions because the unit economics are stronger. Premium tools priced at $79–$799 serve buyers with professional budgets, generating 3–5x more revenue per subscriber than a single-tier model targeting practitioners who cannot pay. The full month-by-month financial model lives in the companion Excel workbook.</w:t>
      </w:r>
    </w:p>
    <w:p>
      <w:pPr>
        <w:pStyle w:val="Heading2"/>
        <w:spacing w:after="180" w:before="360"/>
      </w:pPr>
      <w:r>
        <w:rPr>
          <w:rFonts w:ascii="Arial" w:cs="Arial" w:eastAsia="Arial" w:hAnsi="Arial"/>
          <w:b/>
          <w:bCs/>
          <w:color w:val="1F4E5F"/>
          <w:sz w:val="26"/>
          <w:szCs w:val="26"/>
        </w:rPr>
        <w:t xml:space="preserve">The unfair advantage</w:t>
      </w:r>
    </w:p>
    <w:p>
      <w:pPr>
        <w:spacing w:after="160" w:line="320"/>
        <w:jc w:val="both"/>
      </w:pPr>
      <w:r>
        <w:rPr>
          <w:rFonts w:ascii="Arial" w:cs="Arial" w:eastAsia="Arial" w:hAnsi="Arial"/>
        </w:rPr>
        <w:t xml:space="preserve">Dr. Fomukong combines four credentials almost no one in African digital health holds simultaneously: medical doctor, field epidemiologist, district medical officer in a crisis-affected setting, and trained data scientist with Python proficiency. Seven peer-reviewed publications, a Data Science and Machine Learning diploma from IDSS, and active mastery of DHIS2, KoboToolbox, Excel, Python, and AI-supported workflows underwrite the technical work. A track record of reopening the Konye District Hospital after four years of closure, raising vaccination coverage from 29% to 44%, and leading PIRI campaigns in conflict zones underwrites the operational credibility. This combination is the moat. Academic competitors cannot match the field operations. Field-experienced competitors cannot match the Python and AI capability. Tech-savvy competitors cannot match the medical and epidemiological depth.</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1. The Rebrand — Why FieldHealth Africa</w:t>
      </w:r>
    </w:p>
    <w:p>
      <w:pPr>
        <w:pStyle w:val="Heading2"/>
        <w:spacing w:after="180" w:before="360"/>
      </w:pPr>
      <w:r>
        <w:rPr>
          <w:rFonts w:ascii="Arial" w:cs="Arial" w:eastAsia="Arial" w:hAnsi="Arial"/>
          <w:b/>
          <w:bCs/>
          <w:color w:val="1F4E5F"/>
          <w:sz w:val="26"/>
          <w:szCs w:val="26"/>
        </w:rPr>
        <w:t xml:space="preserve">1.1 Why the previous name had to go</w:t>
      </w:r>
    </w:p>
    <w:p>
      <w:pPr>
        <w:spacing w:after="160" w:line="320"/>
        <w:jc w:val="both"/>
      </w:pPr>
      <w:r>
        <w:rPr>
          <w:rFonts w:ascii="Arial" w:cs="Arial" w:eastAsia="Arial" w:hAnsi="Arial"/>
        </w:rPr>
        <w:t xml:space="preserve">The previous name, Digital Health Africa, is in active use by two established organisations: a media and community platform with over 5,400 LinkedIn followers and a publication in Frontiers in Digital Health, and the Digital Health Africa Conference hosted by Charité Center for Global Health in Berlin with Makerere University and The Innovation Hub. Both hold the matching .org domains and active social handles. Continuing under the previous name would create permanent brand confusion that would compound over time and undermine the credibility this plan depends on.</w:t>
      </w:r>
    </w:p>
    <w:p>
      <w:pPr>
        <w:pStyle w:val="Heading2"/>
        <w:spacing w:after="180" w:before="360"/>
      </w:pPr>
      <w:r>
        <w:rPr>
          <w:rFonts w:ascii="Arial" w:cs="Arial" w:eastAsia="Arial" w:hAnsi="Arial"/>
          <w:b/>
          <w:bCs/>
          <w:color w:val="1F4E5F"/>
          <w:sz w:val="26"/>
          <w:szCs w:val="26"/>
        </w:rPr>
        <w:t xml:space="preserve">1.2 Why FieldHealth Africa works</w:t>
      </w:r>
    </w:p>
    <w:p>
      <w:pPr>
        <w:spacing w:after="160" w:line="320"/>
        <w:jc w:val="both"/>
      </w:pPr>
      <w:r>
        <w:rPr>
          <w:rFonts w:ascii="Arial" w:cs="Arial" w:eastAsia="Arial" w:hAnsi="Arial"/>
        </w:rPr>
        <w:t xml:space="preserve">The new name solves the conflict and sharpens positioning simultaneously. The word 'Field' is deliberate: it signals where the work is done, what kind of knowledge informs it, and what makes the platform different from conference-led or academic competitors. The tagline — From data to decisions, in the field — translates the differentiation into a sentence funders, partners, and practitioners all understand at first glance.</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2. Market &amp; Positioning</w:t>
      </w:r>
    </w:p>
    <w:p>
      <w:pPr>
        <w:pStyle w:val="Heading2"/>
        <w:spacing w:after="180" w:before="360"/>
      </w:pPr>
      <w:r>
        <w:rPr>
          <w:rFonts w:ascii="Arial" w:cs="Arial" w:eastAsia="Arial" w:hAnsi="Arial"/>
          <w:b/>
          <w:bCs/>
          <w:color w:val="1F4E5F"/>
          <w:sz w:val="26"/>
          <w:szCs w:val="26"/>
        </w:rPr>
        <w:t xml:space="preserve">2.1 The two markets,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Dimension</w:t>
            </w:r>
          </w:p>
        </w:tc>
        <w:tc>
          <w:tcPr>
            <w:tcW w:type="dxa" w:w="36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Free Library audience</w:t>
            </w:r>
          </w:p>
        </w:tc>
        <w:tc>
          <w:tcPr>
            <w:tcW w:type="dxa" w:w="39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Paid Library audience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Who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African DMOs, district staff, facility managers, district pharmacists, M&amp;E officers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Global health consultants, NGO M&amp;E staff, researchers, diaspora pros, MSc/PhD students, small consultancies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Where based</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Primarily Anglophone &amp; Francophone Africa</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US, UK, EU, African capitals, diaspora hubs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Buying power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Limited / no personal tool budget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$50–$5,000+ annual personal/org budget for tools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Why they engage</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Solve immediate operational problem; save hours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Save billable hours; improve work product; win proposals; complete academic 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What they pay for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Nothing — they receive value free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À la carte tools, Pro subscriptions, premium toolkits, custom builds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What we gain from them</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Audience, credibility, testimonials, social proof, case studies</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Revenue, recurring subscriptions, enterprise relationships, grant partnerships</w:t>
            </w:r>
          </w:p>
        </w:tc>
      </w:tr>
    </w:tbl>
    <w:p>
      <w:r>
        <w:rPr>
          <w:rFonts w:ascii="Arial" w:cs="Arial" w:eastAsia="Arial" w:hAnsi="Arial"/>
        </w:rPr>
        <w:t xml:space="preserve"/>
      </w:r>
    </w:p>
    <w:p>
      <w:pPr>
        <w:pStyle w:val="Heading2"/>
        <w:spacing w:after="180" w:before="360"/>
      </w:pPr>
      <w:r>
        <w:rPr>
          <w:rFonts w:ascii="Arial" w:cs="Arial" w:eastAsia="Arial" w:hAnsi="Arial"/>
          <w:b/>
          <w:bCs/>
          <w:color w:val="1F4E5F"/>
          <w:sz w:val="26"/>
          <w:szCs w:val="26"/>
        </w:rPr>
        <w:t xml:space="preserve">2.2 Why this model is structurally sound</w:t>
      </w:r>
    </w:p>
    <w:p>
      <w:pPr>
        <w:spacing w:after="160" w:line="320"/>
        <w:jc w:val="both"/>
      </w:pPr>
      <w:r>
        <w:rPr>
          <w:rFonts w:ascii="Arial" w:cs="Arial" w:eastAsia="Arial" w:hAnsi="Arial"/>
        </w:rPr>
        <w:t xml:space="preserve">Consumer technology has known this pattern for two decades: it's the 'freemium' model in its strongest form. Successful examples include MailChimp (free for small lists, paid for large), Notion (free for individuals, paid for teams), and Substack itself (free reader tier, paid for premium content). What's novel here is the geographic asymmetry: free for one geography, paid for another, but with the same underlying expertise serving both. The free tier is not a hobbled version of the paid tier — it is genuinely valuable, fully functional, designed for a specific audience that needs it. The paid tier is not a marketing funnel — it is a separate product line designed for a separate market with separate willingness to pay.</w:t>
      </w:r>
    </w:p>
    <w:p>
      <w:pPr>
        <w:pStyle w:val="Heading2"/>
        <w:spacing w:after="180" w:before="360"/>
      </w:pPr>
      <w:r>
        <w:rPr>
          <w:rFonts w:ascii="Arial" w:cs="Arial" w:eastAsia="Arial" w:hAnsi="Arial"/>
          <w:b/>
          <w:bCs/>
          <w:color w:val="1F4E5F"/>
          <w:sz w:val="26"/>
          <w:szCs w:val="26"/>
        </w:rPr>
        <w:t xml:space="preserve">2.3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A7C7C" w:sz="24"/>
              <w:bottom w:val="single" w:color="DDDDDD" w:sz="4"/>
              <w:right w:val="single" w:color="DDDDDD" w:sz="4"/>
            </w:tcBorders>
            <w:shd w:fill="FAFAFA" w:val="clear"/>
            <w:tcMar>
              <w:top w:type="dxa" w:w="160"/>
              <w:left w:type="dxa" w:w="240"/>
              <w:bottom w:type="dxa" w:w="160"/>
              <w:right w:type="dxa" w:w="240"/>
            </w:tcMar>
          </w:tcPr>
          <w:p>
            <w:pPr>
              <w:spacing w:after="100"/>
            </w:pPr>
            <w:r>
              <w:rPr>
                <w:rFonts w:ascii="Arial" w:cs="Arial" w:eastAsia="Arial" w:hAnsi="Arial"/>
                <w:b/>
                <w:bCs/>
                <w:color w:val="0A7C7C"/>
                <w:sz w:val="22"/>
                <w:szCs w:val="22"/>
              </w:rPr>
              <w:t xml:space="preserve">Positioning</w:t>
            </w:r>
          </w:p>
          <w:p>
            <w:pPr>
              <w:spacing w:line="300"/>
            </w:pPr>
            <w:r>
              <w:rPr>
                <w:rFonts w:ascii="Arial" w:cs="Arial" w:eastAsia="Arial" w:hAnsi="Arial"/>
                <w:sz w:val="20"/>
                <w:szCs w:val="20"/>
              </w:rPr>
              <w:t xml:space="preserve">FieldHealth Africa is the practitioner-built operational toolkit for African health systems — free for the practitioners who do the work, premium for the consultants, NGOs, and researchers who need professional-grade tools to support that work. Every tool is built and tested in the field before it ships.</w:t>
            </w:r>
          </w:p>
        </w:tc>
      </w:tr>
    </w:tbl>
    <w:p>
      <w:r>
        <w:rPr>
          <w:rFonts w:ascii="Arial" w:cs="Arial" w:eastAsia="Arial" w:hAnsi="Arial"/>
        </w:rPr>
        <w:t xml:space="preserve"/>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3. Business Model — The Two-Library Architecture</w:t>
      </w:r>
    </w:p>
    <w:p>
      <w:pPr>
        <w:pStyle w:val="Heading2"/>
        <w:spacing w:after="180" w:before="360"/>
      </w:pPr>
      <w:r>
        <w:rPr>
          <w:rFonts w:ascii="Arial" w:cs="Arial" w:eastAsia="Arial" w:hAnsi="Arial"/>
          <w:b/>
          <w:bCs/>
          <w:color w:val="1F4E5F"/>
          <w:sz w:val="26"/>
          <w:szCs w:val="26"/>
        </w:rPr>
        <w:t xml:space="preserve">3.1 Free Library (Practitioner)</w:t>
      </w:r>
    </w:p>
    <w:p>
      <w:pPr>
        <w:spacing w:after="160" w:line="320"/>
        <w:jc w:val="both"/>
      </w:pPr>
      <w:r>
        <w:rPr>
          <w:rFonts w:ascii="Arial" w:cs="Arial" w:eastAsia="Arial" w:hAnsi="Arial"/>
        </w:rPr>
        <w:t xml:space="preserve">The Free Library targets two releases per week, approximately 100 assets per year. Tools include lite versions of premium tools, 1-page checklists, supervisory job aids, SOP templates, and free training materials. Build time per free asset averages 4–6 hours; many are repackagings of work products the founder generates in his DMO role.</w:t>
      </w:r>
    </w:p>
    <w:p>
      <w:pPr>
        <w:pStyle w:val="Heading3"/>
        <w:spacing w:after="120" w:before="240"/>
      </w:pPr>
      <w:r>
        <w:rPr>
          <w:rFonts w:ascii="Arial" w:cs="Arial" w:eastAsia="Arial" w:hAnsi="Arial"/>
          <w:b/>
          <w:bCs/>
          <w:color w:val="C75B3C"/>
          <w:sz w:val="22"/>
          <w:szCs w:val="22"/>
        </w:rPr>
        <w:t xml:space="preserve">Free Library purposes</w:t>
      </w:r>
    </w:p>
    <w:p>
      <w:pPr>
        <w:pStyle w:val="ListParagraph"/>
        <w:numPr>
          <w:ilvl w:val="0"/>
          <w:numId w:val="2"/>
        </w:numPr>
        <w:spacing w:after="80" w:line="280"/>
      </w:pPr>
      <w:r>
        <w:rPr>
          <w:rFonts w:ascii="Arial" w:cs="Arial" w:eastAsia="Arial" w:hAnsi="Arial"/>
        </w:rPr>
        <w:t xml:space="preserve">Audience acquisition — every free tool downloaded captures an email subscriber</w:t>
      </w:r>
    </w:p>
    <w:p>
      <w:pPr>
        <w:pStyle w:val="ListParagraph"/>
        <w:numPr>
          <w:ilvl w:val="0"/>
          <w:numId w:val="2"/>
        </w:numPr>
        <w:spacing w:after="80" w:line="280"/>
      </w:pPr>
      <w:r>
        <w:rPr>
          <w:rFonts w:ascii="Arial" w:cs="Arial" w:eastAsia="Arial" w:hAnsi="Arial"/>
        </w:rPr>
        <w:t xml:space="preserve">Brand credibility — practitioners using FieldHealth Africa tools across African districts is the strongest possible signal to paying buyers</w:t>
      </w:r>
    </w:p>
    <w:p>
      <w:pPr>
        <w:pStyle w:val="ListParagraph"/>
        <w:numPr>
          <w:ilvl w:val="0"/>
          <w:numId w:val="2"/>
        </w:numPr>
        <w:spacing w:after="80" w:line="280"/>
      </w:pPr>
      <w:r>
        <w:rPr>
          <w:rFonts w:ascii="Arial" w:cs="Arial" w:eastAsia="Arial" w:hAnsi="Arial"/>
        </w:rPr>
        <w:t xml:space="preserve">Case study generation — every district that adopts a free tool becomes a potential testimonial for the Paid Library</w:t>
      </w:r>
    </w:p>
    <w:p>
      <w:pPr>
        <w:pStyle w:val="ListParagraph"/>
        <w:numPr>
          <w:ilvl w:val="0"/>
          <w:numId w:val="2"/>
        </w:numPr>
        <w:spacing w:after="80" w:line="280"/>
      </w:pPr>
      <w:r>
        <w:rPr>
          <w:rFonts w:ascii="Arial" w:cs="Arial" w:eastAsia="Arial" w:hAnsi="Arial"/>
        </w:rPr>
        <w:t xml:space="preserve">Lead funnel into Paid Library — practitioners who advance in their careers (move to NGO M&amp;E, start consultancies, do graduate work) become paying customers later</w:t>
      </w:r>
    </w:p>
    <w:p>
      <w:pPr>
        <w:pStyle w:val="Heading2"/>
        <w:spacing w:after="180" w:before="360"/>
      </w:pPr>
      <w:r>
        <w:rPr>
          <w:rFonts w:ascii="Arial" w:cs="Arial" w:eastAsia="Arial" w:hAnsi="Arial"/>
          <w:b/>
          <w:bCs/>
          <w:color w:val="1F4E5F"/>
          <w:sz w:val="26"/>
          <w:szCs w:val="26"/>
        </w:rPr>
        <w:t xml:space="preserve">3.2 Paid Library (Pro)</w:t>
      </w:r>
    </w:p>
    <w:p>
      <w:pPr>
        <w:spacing w:after="160" w:line="320"/>
        <w:jc w:val="both"/>
      </w:pPr>
      <w:r>
        <w:rPr>
          <w:rFonts w:ascii="Arial" w:cs="Arial" w:eastAsia="Arial" w:hAnsi="Arial"/>
        </w:rPr>
        <w:t xml:space="preserve">The Paid Library targets one release per week, approximately 50 assets per year. Tools include Python web applications, AI-powered tools using the Claude API, Tableau and Power BI dashboard packs, premium toolkits, and AI-assisted document generators. Build time per paid asset averages 25–60 hours; complex AI tools may take longer.</w:t>
      </w:r>
    </w:p>
    <w:p>
      <w:pPr>
        <w:pStyle w:val="Heading3"/>
        <w:spacing w:after="120" w:before="240"/>
      </w:pPr>
      <w:r>
        <w:rPr>
          <w:rFonts w:ascii="Arial" w:cs="Arial" w:eastAsia="Arial" w:hAnsi="Arial"/>
          <w:b/>
          <w:bCs/>
          <w:color w:val="C75B3C"/>
          <w:sz w:val="22"/>
          <w:szCs w:val="22"/>
        </w:rPr>
        <w:t xml:space="preserve">First 12 Paid Library tools (Months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2300"/>
        <w:gridCol w:w="2400"/>
      </w:tblGrid>
      <w:tr>
        <w:tc>
          <w:tcPr>
            <w:tcW w:type="dxa" w:w="6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Wk</w:t>
            </w:r>
          </w:p>
        </w:tc>
        <w:tc>
          <w:tcPr>
            <w:tcW w:type="dxa" w:w="40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Tool</w:t>
            </w:r>
          </w:p>
        </w:tc>
        <w:tc>
          <w:tcPr>
            <w:tcW w:type="dxa" w:w="23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Tier prices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Health Indicator Calculator Suite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app (Streamlit)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$79 / $29 mo / $299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KoboCollect → Analysis Dashboard</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app (Streamlit)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$99 / $29 mo / $399 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DHIS2 Auto-Report Generator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app (Flask)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$149 / $49 mo / $499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Tableau Health Dashboard Pack (5 dashboards)</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Templates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$129 / $39 mo / $399 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Power BI Health Dashboard Pack (5 dashboards)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Templates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$129 / $39 mo / $399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6</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Health Grant Proposal Builder (Claude-powered)</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AI web app</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$199 / $79 mo / $599 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Health Facility Operational Diagnostic Tool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Premium toolkit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$299 / — / $999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8</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Field Epi Practitioner Toolkit</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Multi-format toolkit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$249 / $49 mo / $499 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9</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DHIS2 Pivot Table Builder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$89 / $29 mo / $299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MSc Public Health Thesis Toolkit</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Templates + notebooks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$79 / $19 mo /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Health Budget Builder (proposal-ready)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$149 / $39 mo / $399 mo</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12</w:t>
            </w:r>
          </w:p>
        </w:tc>
        <w:tc>
          <w:tcPr>
            <w:tcW w:type="dxa" w:w="40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Outbreak Response Costing &amp; Reporting Suite</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Premium toolkit</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$199 / $49 mo / $499 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HEALTH OPS BUNDLE (Diagnostic + Budget + Indicators)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Bundle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$499 / $99 mo / $1,499 mo</w:t>
            </w:r>
          </w:p>
        </w:tc>
      </w:tr>
    </w:tbl>
    <w:p>
      <w:r>
        <w:rPr>
          <w:rFonts w:ascii="Arial" w:cs="Arial" w:eastAsia="Arial" w:hAnsi="Arial"/>
        </w:rPr>
        <w:t xml:space="preserve"/>
      </w:r>
    </w:p>
    <w:p>
      <w:pPr>
        <w:spacing w:after="160" w:line="320"/>
        <w:jc w:val="both"/>
      </w:pPr>
      <w:r>
        <w:rPr>
          <w:rFonts w:ascii="Arial" w:cs="Arial" w:eastAsia="Arial" w:hAnsi="Arial"/>
        </w:rPr>
        <w:t xml:space="preserve">Sequencing rationale: weeks 1–2 launch broad-appeal tools that work for any global health buyer (indicators, Kobo analysis). Week 3 launches the higher-effort DHIS2 generator that targets NGO M&amp;E directly. Weeks 4–5 release the Tableau and Power BI dashboard packs which require minimal coding effort but have high perceived value. Week 6 launches the first AI-powered tool (Grant Proposal Builder) once the broader audience is established. Week 7 launches the flagship premium product (Facility Operational Diagnostic Tool) at the highest price point. Weeks 8–13 round out the library with toolkits, specialized tools, and the first major bundle.</w:t>
      </w:r>
    </w:p>
    <w:p>
      <w:pPr>
        <w:pStyle w:val="Heading2"/>
        <w:spacing w:after="180" w:before="360"/>
      </w:pPr>
      <w:r>
        <w:rPr>
          <w:rFonts w:ascii="Arial" w:cs="Arial" w:eastAsia="Arial" w:hAnsi="Arial"/>
          <w:b/>
          <w:bCs/>
          <w:color w:val="1F4E5F"/>
          <w:sz w:val="26"/>
          <w:szCs w:val="26"/>
        </w:rPr>
        <w:t xml:space="preserve">3.3 Pricing architecture</w:t>
      </w:r>
    </w:p>
    <w:p>
      <w:pPr>
        <w:spacing w:after="160" w:line="320"/>
        <w:jc w:val="both"/>
      </w:pPr>
      <w:r>
        <w:rPr>
          <w:rFonts w:ascii="Arial" w:cs="Arial" w:eastAsia="Arial" w:hAnsi="Arial"/>
        </w:rPr>
        <w:t xml:space="preserve">Each paid tool is offered across three tiers, designed to capture buyers at different willingness-to-pay points without complex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Buyer</w:t>
            </w:r>
          </w:p>
        </w:tc>
        <w:tc>
          <w:tcPr>
            <w:tcW w:type="dxa" w:w="31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Value proposition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À la carte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$79–$299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Individual professional, one-time need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Single tool, perpetual access, single-user license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Pro subscription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$29–$79 / month</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Active professional using multiple tools</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Full library access, updates, new releases included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Institutional / Team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$299–$999 /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NGO, consultancy, university, research group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Team license, customisation rights, priority support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Enterprise customisation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$5,000–$35,000</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Large NGO, donor program, government project</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Branded version, custom integrations, training, multi-year</w:t>
            </w:r>
          </w:p>
        </w:tc>
      </w:tr>
    </w:tbl>
    <w:p>
      <w:r>
        <w:rPr>
          <w:rFonts w:ascii="Arial" w:cs="Arial" w:eastAsia="Arial" w:hAnsi="Arial"/>
        </w:rPr>
        <w:t xml:space="preserve"/>
      </w:r>
    </w:p>
    <w:p>
      <w:pPr>
        <w:pStyle w:val="Heading2"/>
        <w:spacing w:after="180" w:before="360"/>
      </w:pPr>
      <w:r>
        <w:rPr>
          <w:rFonts w:ascii="Arial" w:cs="Arial" w:eastAsia="Arial" w:hAnsi="Arial"/>
          <w:b/>
          <w:bCs/>
          <w:color w:val="1F4E5F"/>
          <w:sz w:val="26"/>
          <w:szCs w:val="26"/>
        </w:rPr>
        <w:t xml:space="preserve">3.4 Five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300"/>
        <w:gridCol w:w="1900"/>
        <w:gridCol w:w="1900"/>
      </w:tblGrid>
      <w:tr>
        <w:tc>
          <w:tcPr>
            <w:tcW w:type="dxa" w:w="32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Stream</w:t>
            </w:r>
          </w:p>
        </w:tc>
        <w:tc>
          <w:tcPr>
            <w:tcW w:type="dxa" w:w="23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Pricing</w:t>
            </w:r>
          </w:p>
        </w:tc>
        <w:tc>
          <w:tcPr>
            <w:tcW w:type="dxa" w:w="19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Y1 share</w:t>
            </w:r>
          </w:p>
        </w:tc>
        <w:tc>
          <w:tcPr>
            <w:tcW w:type="dxa" w:w="19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Y3 share</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 À la carte paid tool sales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$79–$299 each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30%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20%</w:t>
            </w:r>
          </w:p>
        </w:tc>
      </w:tr>
      <w:tr>
        <w:tc>
          <w:tcPr>
            <w:tcW w:type="dxa" w:w="3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 Pro &amp; Institutional subscriptions</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$29–$999/mo</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20%</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35%</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3. Premium bundles &amp; toolkits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$299–$1,499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15%</w:t>
            </w:r>
          </w:p>
        </w:tc>
      </w:tr>
      <w:tr>
        <w:tc>
          <w:tcPr>
            <w:tcW w:type="dxa" w:w="32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 Enterprise customisation</w:t>
            </w:r>
          </w:p>
        </w:tc>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$5K–$35K projects</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20%</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20%</w:t>
            </w:r>
          </w:p>
        </w:tc>
      </w:tr>
      <w:tr>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 Grants, sponsored content, affiliates, speaking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Variable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w:t>
            </w:r>
          </w:p>
        </w:tc>
      </w:tr>
    </w:tbl>
    <w:p>
      <w:r>
        <w:rPr>
          <w:rFonts w:ascii="Arial" w:cs="Arial" w:eastAsia="Arial" w:hAnsi="Arial"/>
        </w:rPr>
        <w:t xml:space="preserve"/>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4. Operations — Building at Variable Capacity</w:t>
      </w:r>
    </w:p>
    <w:p>
      <w:pPr>
        <w:pStyle w:val="Heading2"/>
        <w:spacing w:after="180" w:before="360"/>
      </w:pPr>
      <w:r>
        <w:rPr>
          <w:rFonts w:ascii="Arial" w:cs="Arial" w:eastAsia="Arial" w:hAnsi="Arial"/>
          <w:b/>
          <w:bCs/>
          <w:color w:val="1F4E5F"/>
          <w:sz w:val="26"/>
          <w:szCs w:val="26"/>
        </w:rPr>
        <w:t xml:space="preserve">4.1 The variable-time reality</w:t>
      </w:r>
    </w:p>
    <w:p>
      <w:pPr>
        <w:spacing w:after="160" w:line="320"/>
        <w:jc w:val="both"/>
      </w:pPr>
      <w:r>
        <w:rPr>
          <w:rFonts w:ascii="Arial" w:cs="Arial" w:eastAsia="Arial" w:hAnsi="Arial"/>
        </w:rPr>
        <w:t xml:space="preserve">The founder's available time is not weekly but episodic. Some weeks deliver 15+ hours; others, zero. Family priorities (a one-year-old, two older children, supporting his wife's career), DMO emergencies, and outbreak responses all create unpredictable demand. The operating model must absorb this variance without collapsing.</w:t>
      </w:r>
    </w:p>
    <w:p>
      <w:pPr>
        <w:pStyle w:val="Heading2"/>
        <w:spacing w:after="180" w:before="360"/>
      </w:pPr>
      <w:r>
        <w:rPr>
          <w:rFonts w:ascii="Arial" w:cs="Arial" w:eastAsia="Arial" w:hAnsi="Arial"/>
          <w:b/>
          <w:bCs/>
          <w:color w:val="1F4E5F"/>
          <w:sz w:val="26"/>
          <w:szCs w:val="26"/>
        </w:rPr>
        <w:t xml:space="preserve">4.2 The batch-and-bank discipline</w:t>
      </w:r>
    </w:p>
    <w:p>
      <w:pPr>
        <w:spacing w:after="160" w:line="320"/>
        <w:jc w:val="both"/>
      </w:pPr>
      <w:r>
        <w:rPr>
          <w:rFonts w:ascii="Arial" w:cs="Arial" w:eastAsia="Arial" w:hAnsi="Arial"/>
        </w:rPr>
        <w:t xml:space="preserve">Three mechanisms protect cadence:</w:t>
      </w:r>
    </w:p>
    <w:p>
      <w:pPr>
        <w:pStyle w:val="ListParagraph"/>
        <w:numPr>
          <w:ilvl w:val="0"/>
          <w:numId w:val="3"/>
        </w:numPr>
        <w:spacing w:after="80" w:line="280"/>
      </w:pPr>
      <w:r>
        <w:rPr>
          <w:rFonts w:ascii="Arial" w:cs="Arial" w:eastAsia="Arial" w:hAnsi="Arial"/>
        </w:rPr>
        <w:t xml:space="preserve">Buffer queue. Maintain a queue of at least 4 completed Free Library tools and 2 completed Paid Library tools ready to release. Each high-time week refills the queue. Releases happen on schedule even when the founder cannot be online that day.</w:t>
      </w:r>
    </w:p>
    <w:p>
      <w:pPr>
        <w:pStyle w:val="ListParagraph"/>
        <w:numPr>
          <w:ilvl w:val="0"/>
          <w:numId w:val="3"/>
        </w:numPr>
        <w:spacing w:after="80" w:line="280"/>
      </w:pPr>
      <w:r>
        <w:rPr>
          <w:rFonts w:ascii="Arial" w:cs="Arial" w:eastAsia="Arial" w:hAnsi="Arial"/>
        </w:rPr>
        <w:t xml:space="preserve">Evergreen email funnel. New subscribers enter an automated 7-day welcome sequence introducing both libraries. This runs whether or not the founder is active.</w:t>
      </w:r>
    </w:p>
    <w:p>
      <w:pPr>
        <w:pStyle w:val="ListParagraph"/>
        <w:numPr>
          <w:ilvl w:val="0"/>
          <w:numId w:val="3"/>
        </w:numPr>
        <w:spacing w:after="80" w:line="280"/>
      </w:pPr>
      <w:r>
        <w:rPr>
          <w:rFonts w:ascii="Arial" w:cs="Arial" w:eastAsia="Arial" w:hAnsi="Arial"/>
        </w:rPr>
        <w:t xml:space="preserve">Pre-scheduled social media. Each release triggers pre-written posts across LinkedIn, Facebook, and TikTok. Live engagement is reactive when time permits but does not block releases.</w:t>
      </w:r>
    </w:p>
    <w:p>
      <w:pPr>
        <w:pStyle w:val="Heading2"/>
        <w:spacing w:after="180" w:before="360"/>
      </w:pPr>
      <w:r>
        <w:rPr>
          <w:rFonts w:ascii="Arial" w:cs="Arial" w:eastAsia="Arial" w:hAnsi="Arial"/>
          <w:b/>
          <w:bCs/>
          <w:color w:val="1F4E5F"/>
          <w:sz w:val="26"/>
          <w:szCs w:val="26"/>
        </w:rPr>
        <w:t xml:space="preserve">4.3 Leveraging Claude Pro and Python</w:t>
      </w:r>
    </w:p>
    <w:p>
      <w:pPr>
        <w:spacing w:after="160" w:line="320"/>
        <w:jc w:val="both"/>
      </w:pPr>
      <w:r>
        <w:rPr>
          <w:rFonts w:ascii="Arial" w:cs="Arial" w:eastAsia="Arial" w:hAnsi="Arial"/>
        </w:rPr>
        <w:t xml:space="preserve">The founder's existing tools — Python proficiency and Claude Pro access — significantly compress development time for Paid Library tools. Specifically:</w:t>
      </w:r>
    </w:p>
    <w:p>
      <w:pPr>
        <w:pStyle w:val="ListParagraph"/>
        <w:numPr>
          <w:ilvl w:val="0"/>
          <w:numId w:val="2"/>
        </w:numPr>
        <w:spacing w:after="80" w:line="280"/>
      </w:pPr>
      <w:r>
        <w:rPr>
          <w:rFonts w:ascii="Arial" w:cs="Arial" w:eastAsia="Arial" w:hAnsi="Arial"/>
        </w:rPr>
        <w:t xml:space="preserve">Claude assists with code generation, debugging, and documentation for Python applications, reducing build time by an estimated 40–60%.</w:t>
      </w:r>
    </w:p>
    <w:p>
      <w:pPr>
        <w:pStyle w:val="ListParagraph"/>
        <w:numPr>
          <w:ilvl w:val="0"/>
          <w:numId w:val="2"/>
        </w:numPr>
        <w:spacing w:after="80" w:line="280"/>
      </w:pPr>
      <w:r>
        <w:rPr>
          <w:rFonts w:ascii="Arial" w:cs="Arial" w:eastAsia="Arial" w:hAnsi="Arial"/>
        </w:rPr>
        <w:t xml:space="preserve">Streamlit and Flask enable rapid web app deployment without front-end development overhead.</w:t>
      </w:r>
    </w:p>
    <w:p>
      <w:pPr>
        <w:pStyle w:val="ListParagraph"/>
        <w:numPr>
          <w:ilvl w:val="0"/>
          <w:numId w:val="2"/>
        </w:numPr>
        <w:spacing w:after="80" w:line="280"/>
      </w:pPr>
      <w:r>
        <w:rPr>
          <w:rFonts w:ascii="Arial" w:cs="Arial" w:eastAsia="Arial" w:hAnsi="Arial"/>
        </w:rPr>
        <w:t xml:space="preserve">Claude API integration in AI tools (Grant Proposal Builder, Policy Analyzer, M&amp;E Plan Generator) creates a unique product category competitors cannot easily replicate without similar AI integration expertise.</w:t>
      </w:r>
    </w:p>
    <w:p>
      <w:pPr>
        <w:pStyle w:val="ListParagraph"/>
        <w:numPr>
          <w:ilvl w:val="0"/>
          <w:numId w:val="2"/>
        </w:numPr>
        <w:spacing w:after="80" w:line="280"/>
      </w:pPr>
      <w:r>
        <w:rPr>
          <w:rFonts w:ascii="Arial" w:cs="Arial" w:eastAsia="Arial" w:hAnsi="Arial"/>
        </w:rPr>
        <w:t xml:space="preserve">Excel and HTML tools (the founder's existing strength) provide a fast launch path for simpler products while more complex Python apps are in development.</w:t>
      </w:r>
    </w:p>
    <w:p>
      <w:pPr>
        <w:pStyle w:val="Heading2"/>
        <w:spacing w:after="180" w:before="360"/>
      </w:pPr>
      <w:r>
        <w:rPr>
          <w:rFonts w:ascii="Arial" w:cs="Arial" w:eastAsia="Arial" w:hAnsi="Arial"/>
          <w:b/>
          <w:bCs/>
          <w:color w:val="1F4E5F"/>
          <w:sz w:val="26"/>
          <w:szCs w:val="26"/>
        </w:rPr>
        <w:t xml:space="preserve">4.4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Function</w:t>
            </w:r>
          </w:p>
        </w:tc>
        <w:tc>
          <w:tcPr>
            <w:tcW w:type="dxa" w:w="42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Tool</w:t>
            </w:r>
          </w:p>
        </w:tc>
        <w:tc>
          <w:tcPr>
            <w:tcW w:type="dxa" w:w="27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Email newsletter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Substack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 / $10 mo Pro</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Website</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Carrd or Squarespace</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$0–$18 / 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Asset sales &amp; delivery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Gumroad or Lemon Squeezy (merchant of record)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 of sales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Subscription billing</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Stripe (direct) and Substack Pro</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 of revenue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Payment processing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Stripe + PayPal + manual mobile money for African buyers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 blended</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Python app hosting</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Streamlit Cloud (free tier) or Render</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$0–$50 / 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AI tool backend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Claude API (pay-per-use)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Variable, pass-through option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Design</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Canva Pro (existing subscription)</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Tool development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Python, Streamlit, Flask, pandas, Excel, KoboToolbox, DHIS2, Tableau, Power BI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Existing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Analytics</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Substack stats + Google Analytics</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Pipeline tracking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Notion or Airtable free tier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w:t>
            </w:r>
          </w:p>
        </w:tc>
      </w:tr>
    </w:tbl>
    <w:p>
      <w:r>
        <w:rPr>
          <w:rFonts w:ascii="Arial" w:cs="Arial" w:eastAsia="Arial" w:hAnsi="Arial"/>
        </w:rPr>
        <w:t xml:space="preserve"/>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5. Marketing &amp; Distribution</w:t>
      </w:r>
    </w:p>
    <w:p>
      <w:pPr>
        <w:pStyle w:val="Heading2"/>
        <w:spacing w:after="180" w:before="360"/>
      </w:pPr>
      <w:r>
        <w:rPr>
          <w:rFonts w:ascii="Arial" w:cs="Arial" w:eastAsia="Arial" w:hAnsi="Arial"/>
          <w:b/>
          <w:bCs/>
          <w:color w:val="1F4E5F"/>
          <w:sz w:val="26"/>
          <w:szCs w:val="26"/>
        </w:rPr>
        <w:t xml:space="preserve">5.1 Distribute thinly across all channels first</w:t>
      </w:r>
    </w:p>
    <w:p>
      <w:pPr>
        <w:spacing w:after="160" w:line="320"/>
        <w:jc w:val="both"/>
      </w:pPr>
      <w:r>
        <w:rPr>
          <w:rFonts w:ascii="Arial" w:cs="Arial" w:eastAsia="Arial" w:hAnsi="Arial"/>
        </w:rPr>
        <w:t xml:space="preserve">In Year 1, FieldHealth Africa distributes both libraries thinly across all available channels, then doubles down where signal appears. The channels and their primary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400"/>
        <w:gridCol w:w="2760"/>
      </w:tblGrid>
      <w:tr>
        <w:tc>
          <w:tcPr>
            <w:tcW w:type="dxa" w:w="23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Channel</w:t>
            </w:r>
          </w:p>
        </w:tc>
        <w:tc>
          <w:tcPr>
            <w:tcW w:type="dxa" w:w="19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Primary library</w:t>
            </w:r>
          </w:p>
        </w:tc>
        <w:tc>
          <w:tcPr>
            <w:tcW w:type="dxa" w:w="24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Current state</w:t>
            </w:r>
          </w:p>
        </w:tc>
        <w:tc>
          <w:tcPr>
            <w:tcW w:type="dxa" w:w="27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Y1 target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LinkedIn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Paid (consultants, M&amp;E)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1,464 impressions/month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60,000 impressions/month</w:t>
            </w:r>
          </w:p>
        </w:tc>
      </w:tr>
      <w:tr>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Substack</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Both — long-form authority</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~40 subs, ~113 views/month</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3,500 subs, 15,000 views/month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Facebook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 (practitioner community)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7,000 followers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Reach 60,000/month</w:t>
            </w:r>
          </w:p>
        </w:tc>
      </w:tr>
      <w:tr>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TikTok</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 (broad reach, demos)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Active channel</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80,000 views/month</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fieldhealthafrica.org website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Both — conversion hub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 yet 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Live by Month 2; 10K visitors/month by M12</w:t>
            </w:r>
          </w:p>
        </w:tc>
      </w:tr>
      <w:tr>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Tableau Public + Power BI gallery</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Paid (dashboard discovery)</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 yet present</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Featured profiles with traffic to paid tools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Direct outreach (LinkedIn DM, email)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Paid (enterprise)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 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 targeted outreach contacts/week</w:t>
            </w:r>
          </w:p>
        </w:tc>
      </w:tr>
      <w:tr>
        <w:tc>
          <w:tcPr>
            <w:tcW w:type="dxa" w:w="23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Conferences &amp; speaking</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Both (authority)</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ASTMH 2024 done</w:t>
            </w:r>
          </w:p>
        </w:tc>
        <w:tc>
          <w:tcPr>
            <w:tcW w:type="dxa" w:w="2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2–4 engagements in Year 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Paid LinkedIn ads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Paid (Pro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Not 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$50–$100/month from Month 3</w:t>
            </w:r>
          </w:p>
        </w:tc>
      </w:tr>
    </w:tbl>
    <w:p>
      <w:r>
        <w:rPr>
          <w:rFonts w:ascii="Arial" w:cs="Arial" w:eastAsia="Arial" w:hAnsi="Arial"/>
        </w:rPr>
        <w:t xml:space="preserve"/>
      </w:r>
    </w:p>
    <w:p>
      <w:pPr>
        <w:pStyle w:val="Heading2"/>
        <w:spacing w:after="180" w:before="360"/>
      </w:pPr>
      <w:r>
        <w:rPr>
          <w:rFonts w:ascii="Arial" w:cs="Arial" w:eastAsia="Arial" w:hAnsi="Arial"/>
          <w:b/>
          <w:bCs/>
          <w:color w:val="1F4E5F"/>
          <w:sz w:val="26"/>
          <w:szCs w:val="26"/>
        </w:rPr>
        <w:t xml:space="preserve">5.2 The Free Library as marketing for the Paid Library</w:t>
      </w:r>
    </w:p>
    <w:p>
      <w:pPr>
        <w:spacing w:after="160" w:line="320"/>
        <w:jc w:val="both"/>
      </w:pPr>
      <w:r>
        <w:rPr>
          <w:rFonts w:ascii="Arial" w:cs="Arial" w:eastAsia="Arial" w:hAnsi="Arial"/>
        </w:rPr>
        <w:t xml:space="preserve">Every Free Library release is also a marketing event for the Paid Library. Each free tool's landing page contains a clear pointer: 'This is the free version. Looking for the professional version with [X advanced features]? See [Pro tool name].' This makes the upgrade path obvious without being aggressive. Free downloaders who advance in their careers self-segment into Paid Library buyers.</w:t>
      </w:r>
    </w:p>
    <w:p>
      <w:pPr>
        <w:pStyle w:val="Heading2"/>
        <w:spacing w:after="180" w:before="360"/>
      </w:pPr>
      <w:r>
        <w:rPr>
          <w:rFonts w:ascii="Arial" w:cs="Arial" w:eastAsia="Arial" w:hAnsi="Arial"/>
          <w:b/>
          <w:bCs/>
          <w:color w:val="1F4E5F"/>
          <w:sz w:val="26"/>
          <w:szCs w:val="26"/>
        </w:rPr>
        <w:t xml:space="preserve">5.3 The 7-day email mini-course as primary funnel</w:t>
      </w:r>
    </w:p>
    <w:p>
      <w:pPr>
        <w:spacing w:after="160" w:line="320"/>
        <w:jc w:val="both"/>
      </w:pPr>
      <w:r>
        <w:rPr>
          <w:rFonts w:ascii="Arial" w:cs="Arial" w:eastAsia="Arial" w:hAnsi="Arial"/>
        </w:rPr>
        <w:t xml:space="preserve">The 7-day Digital Health Tools email mini-course is the primary lead-magnet funnel. Visitors to fieldhealthafrica.org are offered the course in exchange for an email address. Over seven days, they receive practical lessons on DHIS2 dashboards, KoboCollect form design, Excel-based supervision tools, AI-assisted health workflows, and indicator computation. Each day's email contains one free asset (a checklist, template, or 1-pager) and one mention of a relevant Pro tool. Day 7 contains the primary paid offer with a launch discount. The mini-course is automated, segments by interest, and converts visitors into subscribers and subscribers into first-time buyers.</w:t>
      </w:r>
    </w:p>
    <w:p>
      <w:pPr>
        <w:pStyle w:val="Heading2"/>
        <w:spacing w:after="180" w:before="360"/>
      </w:pPr>
      <w:r>
        <w:rPr>
          <w:rFonts w:ascii="Arial" w:cs="Arial" w:eastAsia="Arial" w:hAnsi="Arial"/>
          <w:b/>
          <w:bCs/>
          <w:color w:val="1F4E5F"/>
          <w:sz w:val="26"/>
          <w:szCs w:val="26"/>
        </w:rPr>
        <w:t xml:space="preserve">5.4 Conversion strategy</w:t>
      </w:r>
    </w:p>
    <w:p>
      <w:pPr>
        <w:spacing w:after="160" w:line="320"/>
        <w:jc w:val="both"/>
      </w:pPr>
      <w:r>
        <w:rPr>
          <w:rFonts w:ascii="Arial" w:cs="Arial" w:eastAsia="Arial" w:hAnsi="Arial"/>
        </w:rPr>
        <w:t xml:space="preserve">Audience-to-buyer conversion happens through trust accumulated over many free interactions. Specifically:</w:t>
      </w:r>
    </w:p>
    <w:p>
      <w:pPr>
        <w:pStyle w:val="ListParagraph"/>
        <w:numPr>
          <w:ilvl w:val="0"/>
          <w:numId w:val="2"/>
        </w:numPr>
        <w:spacing w:after="80" w:line="280"/>
      </w:pPr>
      <w:r>
        <w:rPr>
          <w:rFonts w:ascii="Arial" w:cs="Arial" w:eastAsia="Arial" w:hAnsi="Arial"/>
        </w:rPr>
        <w:t xml:space="preserve">Every paid tool has a free Lite version that solves part of the problem; the upgrade buys the rest.</w:t>
      </w:r>
    </w:p>
    <w:p>
      <w:pPr>
        <w:pStyle w:val="ListParagraph"/>
        <w:numPr>
          <w:ilvl w:val="0"/>
          <w:numId w:val="2"/>
        </w:numPr>
        <w:spacing w:after="80" w:line="280"/>
      </w:pPr>
      <w:r>
        <w:rPr>
          <w:rFonts w:ascii="Arial" w:cs="Arial" w:eastAsia="Arial" w:hAnsi="Arial"/>
        </w:rPr>
        <w:t xml:space="preserve">Pro subscription is offered after a subscriber has downloaded 3 free assets — at that point the friction shifts in favor of subscribing.</w:t>
      </w:r>
    </w:p>
    <w:p>
      <w:pPr>
        <w:pStyle w:val="ListParagraph"/>
        <w:numPr>
          <w:ilvl w:val="0"/>
          <w:numId w:val="2"/>
        </w:numPr>
        <w:spacing w:after="80" w:line="280"/>
      </w:pPr>
      <w:r>
        <w:rPr>
          <w:rFonts w:ascii="Arial" w:cs="Arial" w:eastAsia="Arial" w:hAnsi="Arial"/>
        </w:rPr>
        <w:t xml:space="preserve">Institutional pricing is offered when a Pro subscriber's profile suggests organisational use (multiple emails from same domain, team license requests).</w:t>
      </w:r>
    </w:p>
    <w:p>
      <w:pPr>
        <w:pStyle w:val="ListParagraph"/>
        <w:numPr>
          <w:ilvl w:val="0"/>
          <w:numId w:val="2"/>
        </w:numPr>
        <w:spacing w:after="80" w:line="280"/>
      </w:pPr>
      <w:r>
        <w:rPr>
          <w:rFonts w:ascii="Arial" w:cs="Arial" w:eastAsia="Arial" w:hAnsi="Arial"/>
        </w:rPr>
        <w:t xml:space="preserve">Enterprise customisation is offered only after direct conversation, typically initiated by the buyer through email or LinkedIn after seeing the Diagnostic Tool or Grant Builder.</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6. Financial Projections</w:t>
      </w:r>
    </w:p>
    <w:p>
      <w:pPr>
        <w:pStyle w:val="Heading2"/>
        <w:spacing w:after="180" w:before="360"/>
      </w:pPr>
      <w:r>
        <w:rPr>
          <w:rFonts w:ascii="Arial" w:cs="Arial" w:eastAsia="Arial" w:hAnsi="Arial"/>
          <w:b/>
          <w:bCs/>
          <w:color w:val="1F4E5F"/>
          <w:sz w:val="26"/>
          <w:szCs w:val="26"/>
        </w:rPr>
        <w:t xml:space="preserve">6.1 Three scenarios</w:t>
      </w:r>
    </w:p>
    <w:p>
      <w:pPr>
        <w:spacing w:after="160" w:line="320"/>
        <w:jc w:val="both"/>
      </w:pPr>
      <w:r>
        <w:rPr>
          <w:rFonts w:ascii="Arial" w:cs="Arial" w:eastAsia="Arial" w:hAnsi="Arial"/>
        </w:rPr>
        <w:t xml:space="preserve">The financial model is built in three scenarios. The Conservative case assumes modest audience growth, lower pricing, and slower enterprise pipeline development. The Base case is the planning anchor — realistic but achievable with consistent execution. The Ambitious case assumes higher conversion rates, faster enterprise pipeline, and stronger international reach. Full month-by-month numbers are in the companion Excel workbook.</w:t>
      </w:r>
    </w:p>
    <w:p>
      <w:pPr>
        <w:pStyle w:val="Heading2"/>
        <w:spacing w:after="180" w:before="360"/>
      </w:pPr>
      <w:r>
        <w:rPr>
          <w:rFonts w:ascii="Arial" w:cs="Arial" w:eastAsia="Arial" w:hAnsi="Arial"/>
          <w:b/>
          <w:bCs/>
          <w:color w:val="1F4E5F"/>
          <w:sz w:val="26"/>
          <w:szCs w:val="26"/>
        </w:rPr>
        <w:t xml:space="preserve">6.2 Time to milestones (revised from V1)</w:t>
      </w:r>
    </w:p>
    <w:p>
      <w:pPr>
        <w:spacing w:after="160" w:line="320"/>
        <w:jc w:val="both"/>
      </w:pPr>
      <w:r>
        <w:rPr>
          <w:rFonts w:ascii="Arial" w:cs="Arial" w:eastAsia="Arial" w:hAnsi="Arial"/>
        </w:rPr>
        <w:t xml:space="preserve">Compared with the previous version of this plan, V2 reaches all major milestones faster because premium pricing on Paid Library tools generates more revenue per buyer. The trade-off: V2 requires more upfront build effort per tool (Python apps vs. Excel templates), and revenue depends on reaching buyer audiences who don't yet know FieldHealth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V1 (Base)</w:t>
            </w:r>
          </w:p>
        </w:tc>
        <w:tc>
          <w:tcPr>
            <w:tcW w:type="dxa" w:w="18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V2 (Base)</w:t>
            </w:r>
          </w:p>
        </w:tc>
        <w:tc>
          <w:tcPr>
            <w:tcW w:type="dxa" w:w="18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V2 Ambitious</w:t>
            </w:r>
          </w:p>
        </w:tc>
        <w:tc>
          <w:tcPr>
            <w:tcW w:type="dxa" w:w="15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Why faster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First $10K cumulative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9–11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Premium pricing</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First $100K cumulative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24–30</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19–24</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13–17</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Enterprise + Pro subs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First $500K cumulative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48–54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40–48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Month 26–32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Multi-stream maturity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$1M cumulative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5–6</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4–5</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Year 2.5–3.5</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Higher ARPU + enterprise</w:t>
            </w:r>
          </w:p>
        </w:tc>
      </w:tr>
    </w:tbl>
    <w:p>
      <w:r>
        <w:rPr>
          <w:rFonts w:ascii="Arial" w:cs="Arial" w:eastAsia="Arial" w:hAnsi="Arial"/>
        </w:rPr>
        <w:t xml:space="preserve"/>
      </w:r>
    </w:p>
    <w:p>
      <w:pPr>
        <w:pStyle w:val="Heading2"/>
        <w:spacing w:after="180" w:before="360"/>
      </w:pPr>
      <w:r>
        <w:rPr>
          <w:rFonts w:ascii="Arial" w:cs="Arial" w:eastAsia="Arial" w:hAnsi="Arial"/>
          <w:b/>
          <w:bCs/>
          <w:color w:val="1F4E5F"/>
          <w:sz w:val="26"/>
          <w:szCs w:val="26"/>
        </w:rPr>
        <w:t xml:space="preserve">6.3 Unit economics</w:t>
      </w:r>
    </w:p>
    <w:p>
      <w:pPr>
        <w:spacing w:after="160" w:line="320"/>
        <w:jc w:val="both"/>
      </w:pPr>
      <w:r>
        <w:rPr>
          <w:rFonts w:ascii="Arial" w:cs="Arial" w:eastAsia="Arial" w:hAnsi="Arial"/>
        </w:rPr>
        <w:t xml:space="preserve">Premium tools at $149 average yield approximately $143 after payment processing. Build time per paid tool averages 35 hours blended. Break-even on a tool's build time is approximately 5 sales at a $20/hour notional founder rate; most tools reach this within the first 60 days, then continue generating revenue for years with near-zero marginal cost.</w:t>
      </w:r>
    </w:p>
    <w:p>
      <w:pPr>
        <w:spacing w:after="160" w:line="320"/>
        <w:jc w:val="both"/>
      </w:pPr>
      <w:r>
        <w:rPr>
          <w:rFonts w:ascii="Arial" w:cs="Arial" w:eastAsia="Arial" w:hAnsi="Arial"/>
        </w:rPr>
        <w:t xml:space="preserve">Pro subscriptions at $49/month yield approximately $47 after fees. With 4% monthly churn, average customer lifetime is 25 months, yielding approximately $1,175 lifetime value per Pro subscriber. CAC target under $80; LTV:CAC ratio 14:1 once channels are validated.</w:t>
      </w:r>
    </w:p>
    <w:p>
      <w:pPr>
        <w:spacing w:after="160" w:line="320"/>
        <w:jc w:val="both"/>
      </w:pPr>
      <w:r>
        <w:rPr>
          <w:rFonts w:ascii="Arial" w:cs="Arial" w:eastAsia="Arial" w:hAnsi="Arial"/>
        </w:rPr>
        <w:t xml:space="preserve">Institutional subscriptions at $599/month yield approximately $575 after fees. With 1.5% monthly churn, lifetime is 67 months, yielding approximately $38,500 per institutional client. A single institutional client therefore generates more revenue than 30+ Pro subscribers, justifying significant sales effort, including direct outreach, custom demos, and bespoke onboarding.</w:t>
      </w:r>
    </w:p>
    <w:p>
      <w:pPr>
        <w:spacing w:after="160" w:line="320"/>
        <w:jc w:val="both"/>
      </w:pPr>
      <w:r>
        <w:rPr>
          <w:rFonts w:ascii="Arial" w:cs="Arial" w:eastAsia="Arial" w:hAnsi="Arial"/>
        </w:rPr>
        <w:t xml:space="preserve">Enterprise customisation deals at $15,000 average yield approximately $14,400 after fees. Effort per deal is roughly 60–120 hours. Margins are excellent because the underlying tools are already built — customisation is configuration, branding, and integration work.</w:t>
      </w:r>
    </w:p>
    <w:p>
      <w:pPr>
        <w:pStyle w:val="Heading2"/>
        <w:spacing w:after="180" w:before="360"/>
      </w:pPr>
      <w:r>
        <w:rPr>
          <w:rFonts w:ascii="Arial" w:cs="Arial" w:eastAsia="Arial" w:hAnsi="Arial"/>
          <w:b/>
          <w:bCs/>
          <w:color w:val="1F4E5F"/>
          <w:sz w:val="26"/>
          <w:szCs w:val="26"/>
        </w:rPr>
        <w:t xml:space="preserve">6.4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Y1 monthly</w:t>
            </w:r>
          </w:p>
        </w:tc>
        <w:tc>
          <w:tcPr>
            <w:tcW w:type="dxa" w:w="3000"/>
            <w:tcBorders>
              <w:top w:val="single" w:color="CCCCCC" w:sz="1"/>
              <w:left w:val="single" w:color="CCCCCC" w:sz="1"/>
              <w:bottom w:val="single" w:color="CCCCCC" w:sz="1"/>
              <w:right w:val="single" w:color="CCCCCC" w:sz="1"/>
            </w:tcBorders>
            <w:shd w:fill="0A7C7C" w:val="clear"/>
            <w:tcMar>
              <w:top w:type="dxa" w:w="80"/>
              <w:left w:type="dxa" w:w="120"/>
              <w:bottom w:type="dxa" w:w="80"/>
              <w:right w:type="dxa" w:w="120"/>
            </w:tcMar>
          </w:tcPr>
          <w:p>
            <w:pPr>
              <w:spacing w:after="40" w:before="40"/>
              <w:jc w:val="left"/>
            </w:pPr>
            <w:r>
              <w:rPr>
                <w:rFonts w:ascii="Arial" w:cs="Arial" w:eastAsia="Arial" w:hAnsi="Arial"/>
                <w:b/>
                <w:bCs/>
                <w:color w:val="FFFFFF"/>
                <w:sz w:val="20"/>
                <w:szCs w:val="20"/>
              </w:rPr>
              <w:t xml:space="preserve">Y2+ monthly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Domain &amp; 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$40</w:t>
            </w:r>
          </w:p>
        </w:tc>
      </w:tr>
      <w:tr>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Software &amp; tools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$80</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$150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Web app hosting (Streamlit, Render)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$0–$50 (start)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$150</w:t>
            </w:r>
          </w:p>
        </w:tc>
      </w:tr>
      <w:tr>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Claude API (AI tools)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$80 (start M4)</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$250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Ads &amp; promotion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$400</w:t>
            </w:r>
          </w:p>
        </w:tc>
      </w:tr>
      <w:tr>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Freelance / contractor</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$0 (Y1)</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$500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Payment processing (% of revenue)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~4%</w:t>
            </w:r>
          </w:p>
        </w:tc>
      </w:tr>
      <w:tr>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Estimated total monthly cost</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$285–$300</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40" w:before="40"/>
              <w:jc w:val="left"/>
            </w:pPr>
            <w:r>
              <w:rPr>
                <w:rFonts w:ascii="Arial" w:cs="Arial" w:eastAsia="Arial" w:hAnsi="Arial"/>
                <w:b w:val="false"/>
                <w:bCs w:val="false"/>
                <w:color w:val="000000"/>
                <w:sz w:val="20"/>
                <w:szCs w:val="20"/>
              </w:rPr>
              <w:t xml:space="preserve">$1,500–$2,500</w:t>
            </w:r>
          </w:p>
        </w:tc>
      </w:tr>
    </w:tbl>
    <w:p>
      <w:r>
        <w:rPr>
          <w:rFonts w:ascii="Arial" w:cs="Arial" w:eastAsia="Arial" w:hAnsi="Arial"/>
        </w:rPr>
        <w:t xml:space="preserve"/>
      </w:r>
    </w:p>
    <w:p>
      <w:pPr>
        <w:spacing w:after="160" w:line="320"/>
        <w:jc w:val="both"/>
      </w:pPr>
      <w:r>
        <w:rPr>
          <w:rFonts w:ascii="Arial" w:cs="Arial" w:eastAsia="Arial" w:hAnsi="Arial"/>
        </w:rPr>
        <w:t xml:space="preserve">Operating costs remain modest relative to revenue. Total Year 1 operating costs are approximately $3,500–$4,000, well within the $500–$1,000 startup capital plus expected Year 1 revenue. Year 2+ costs scale with revenue as ads, freelancers, and web hosting grow alongside the business.</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7. Milestones &amp; Success Metrics</w:t>
      </w:r>
    </w:p>
    <w:p>
      <w:pPr>
        <w:pStyle w:val="Heading2"/>
        <w:spacing w:after="180" w:before="360"/>
      </w:pPr>
      <w:r>
        <w:rPr>
          <w:rFonts w:ascii="Arial" w:cs="Arial" w:eastAsia="Arial" w:hAnsi="Arial"/>
          <w:b/>
          <w:bCs/>
          <w:color w:val="1F4E5F"/>
          <w:sz w:val="26"/>
          <w:szCs w:val="26"/>
        </w:rPr>
        <w:t xml:space="preserve">7.1 90-day milestones</w:t>
      </w:r>
    </w:p>
    <w:p>
      <w:pPr>
        <w:pStyle w:val="ListParagraph"/>
        <w:numPr>
          <w:ilvl w:val="0"/>
          <w:numId w:val="2"/>
        </w:numPr>
        <w:spacing w:after="80" w:line="280"/>
      </w:pPr>
      <w:r>
        <w:rPr>
          <w:rFonts w:ascii="Arial" w:cs="Arial" w:eastAsia="Arial" w:hAnsi="Arial"/>
        </w:rPr>
        <w:t xml:space="preserve">Rebrand fully migrated; all channels renamed; announcement posted.</w:t>
      </w:r>
    </w:p>
    <w:p>
      <w:pPr>
        <w:pStyle w:val="ListParagraph"/>
        <w:numPr>
          <w:ilvl w:val="0"/>
          <w:numId w:val="2"/>
        </w:numPr>
        <w:spacing w:after="80" w:line="280"/>
      </w:pPr>
      <w:r>
        <w:rPr>
          <w:rFonts w:ascii="Arial" w:cs="Arial" w:eastAsia="Arial" w:hAnsi="Arial"/>
        </w:rPr>
        <w:t xml:space="preserve">fieldhealthafrica.org live with landing page and email opt-in.</w:t>
      </w:r>
    </w:p>
    <w:p>
      <w:pPr>
        <w:pStyle w:val="ListParagraph"/>
        <w:numPr>
          <w:ilvl w:val="0"/>
          <w:numId w:val="2"/>
        </w:numPr>
        <w:spacing w:after="80" w:line="280"/>
      </w:pPr>
      <w:r>
        <w:rPr>
          <w:rFonts w:ascii="Arial" w:cs="Arial" w:eastAsia="Arial" w:hAnsi="Arial"/>
        </w:rPr>
        <w:t xml:space="preserve">First 3 Paid Library tools launched: Health Indicator Calculator Suite, KoboCollect Analysis Dashboard, DHIS2 Auto-Report Generator.</w:t>
      </w:r>
    </w:p>
    <w:p>
      <w:pPr>
        <w:pStyle w:val="ListParagraph"/>
        <w:numPr>
          <w:ilvl w:val="0"/>
          <w:numId w:val="2"/>
        </w:numPr>
        <w:spacing w:after="80" w:line="280"/>
      </w:pPr>
      <w:r>
        <w:rPr>
          <w:rFonts w:ascii="Arial" w:cs="Arial" w:eastAsia="Arial" w:hAnsi="Arial"/>
        </w:rPr>
        <w:t xml:space="preserve">First 12+ Free Library tools released.</w:t>
      </w:r>
    </w:p>
    <w:p>
      <w:pPr>
        <w:pStyle w:val="ListParagraph"/>
        <w:numPr>
          <w:ilvl w:val="0"/>
          <w:numId w:val="2"/>
        </w:numPr>
        <w:spacing w:after="80" w:line="280"/>
      </w:pPr>
      <w:r>
        <w:rPr>
          <w:rFonts w:ascii="Arial" w:cs="Arial" w:eastAsia="Arial" w:hAnsi="Arial"/>
        </w:rPr>
        <w:t xml:space="preserve">Email list at 320+ subscribers.</w:t>
      </w:r>
    </w:p>
    <w:p>
      <w:pPr>
        <w:pStyle w:val="ListParagraph"/>
        <w:numPr>
          <w:ilvl w:val="0"/>
          <w:numId w:val="2"/>
        </w:numPr>
        <w:spacing w:after="80" w:line="280"/>
      </w:pPr>
      <w:r>
        <w:rPr>
          <w:rFonts w:ascii="Arial" w:cs="Arial" w:eastAsia="Arial" w:hAnsi="Arial"/>
        </w:rPr>
        <w:t xml:space="preserve">First $500–$1,500 in revenue collected.</w:t>
      </w:r>
    </w:p>
    <w:p>
      <w:pPr>
        <w:pStyle w:val="ListParagraph"/>
        <w:numPr>
          <w:ilvl w:val="0"/>
          <w:numId w:val="2"/>
        </w:numPr>
        <w:spacing w:after="80" w:line="280"/>
      </w:pPr>
      <w:r>
        <w:rPr>
          <w:rFonts w:ascii="Arial" w:cs="Arial" w:eastAsia="Arial" w:hAnsi="Arial"/>
        </w:rPr>
        <w:t xml:space="preserve">Payment infrastructure (Stripe + PayPal + mobile money) operational.</w:t>
      </w:r>
    </w:p>
    <w:p>
      <w:pPr>
        <w:pStyle w:val="Heading2"/>
        <w:spacing w:after="180" w:before="360"/>
      </w:pPr>
      <w:r>
        <w:rPr>
          <w:rFonts w:ascii="Arial" w:cs="Arial" w:eastAsia="Arial" w:hAnsi="Arial"/>
          <w:b/>
          <w:bCs/>
          <w:color w:val="1F4E5F"/>
          <w:sz w:val="26"/>
          <w:szCs w:val="26"/>
        </w:rPr>
        <w:t xml:space="preserve">7.2 12-month milestones</w:t>
      </w:r>
    </w:p>
    <w:p>
      <w:pPr>
        <w:pStyle w:val="ListParagraph"/>
        <w:numPr>
          <w:ilvl w:val="0"/>
          <w:numId w:val="2"/>
        </w:numPr>
        <w:spacing w:after="80" w:line="280"/>
      </w:pPr>
      <w:r>
        <w:rPr>
          <w:rFonts w:ascii="Arial" w:cs="Arial" w:eastAsia="Arial" w:hAnsi="Arial"/>
        </w:rPr>
        <w:t xml:space="preserve">Paid Library at 32+ tools; Free Library at 80+ tools.</w:t>
      </w:r>
    </w:p>
    <w:p>
      <w:pPr>
        <w:pStyle w:val="ListParagraph"/>
        <w:numPr>
          <w:ilvl w:val="0"/>
          <w:numId w:val="2"/>
        </w:numPr>
        <w:spacing w:after="80" w:line="280"/>
      </w:pPr>
      <w:r>
        <w:rPr>
          <w:rFonts w:ascii="Arial" w:cs="Arial" w:eastAsia="Arial" w:hAnsi="Arial"/>
        </w:rPr>
        <w:t xml:space="preserve">Email list at 2,000+ subscribers.</w:t>
      </w:r>
    </w:p>
    <w:p>
      <w:pPr>
        <w:pStyle w:val="ListParagraph"/>
        <w:numPr>
          <w:ilvl w:val="0"/>
          <w:numId w:val="2"/>
        </w:numPr>
        <w:spacing w:after="80" w:line="280"/>
      </w:pPr>
      <w:r>
        <w:rPr>
          <w:rFonts w:ascii="Arial" w:cs="Arial" w:eastAsia="Arial" w:hAnsi="Arial"/>
        </w:rPr>
        <w:t xml:space="preserve">Pro subscriber base of 30–80 active members.</w:t>
      </w:r>
    </w:p>
    <w:p>
      <w:pPr>
        <w:pStyle w:val="ListParagraph"/>
        <w:numPr>
          <w:ilvl w:val="0"/>
          <w:numId w:val="2"/>
        </w:numPr>
        <w:spacing w:after="80" w:line="280"/>
      </w:pPr>
      <w:r>
        <w:rPr>
          <w:rFonts w:ascii="Arial" w:cs="Arial" w:eastAsia="Arial" w:hAnsi="Arial"/>
        </w:rPr>
        <w:t xml:space="preserve">2–4 institutional clients secured.</w:t>
      </w:r>
    </w:p>
    <w:p>
      <w:pPr>
        <w:pStyle w:val="ListParagraph"/>
        <w:numPr>
          <w:ilvl w:val="0"/>
          <w:numId w:val="2"/>
        </w:numPr>
        <w:spacing w:after="80" w:line="280"/>
      </w:pPr>
      <w:r>
        <w:rPr>
          <w:rFonts w:ascii="Arial" w:cs="Arial" w:eastAsia="Arial" w:hAnsi="Arial"/>
        </w:rPr>
        <w:t xml:space="preserve">First 1–3 enterprise customisation engagements completed.</w:t>
      </w:r>
    </w:p>
    <w:p>
      <w:pPr>
        <w:pStyle w:val="ListParagraph"/>
        <w:numPr>
          <w:ilvl w:val="0"/>
          <w:numId w:val="2"/>
        </w:numPr>
        <w:spacing w:after="80" w:line="280"/>
      </w:pPr>
      <w:r>
        <w:rPr>
          <w:rFonts w:ascii="Arial" w:cs="Arial" w:eastAsia="Arial" w:hAnsi="Arial"/>
        </w:rPr>
        <w:t xml:space="preserve">First grant application submitted; first sponsored content deal closed.</w:t>
      </w:r>
    </w:p>
    <w:p>
      <w:pPr>
        <w:pStyle w:val="ListParagraph"/>
        <w:numPr>
          <w:ilvl w:val="0"/>
          <w:numId w:val="2"/>
        </w:numPr>
        <w:spacing w:after="80" w:line="280"/>
      </w:pPr>
      <w:r>
        <w:rPr>
          <w:rFonts w:ascii="Arial" w:cs="Arial" w:eastAsia="Arial" w:hAnsi="Arial"/>
        </w:rPr>
        <w:t xml:space="preserve">Cumulative revenue $25,000–$40,000 (Base scenario).</w:t>
      </w:r>
    </w:p>
    <w:p>
      <w:pPr>
        <w:pStyle w:val="Heading2"/>
        <w:spacing w:after="180" w:before="360"/>
      </w:pPr>
      <w:r>
        <w:rPr>
          <w:rFonts w:ascii="Arial" w:cs="Arial" w:eastAsia="Arial" w:hAnsi="Arial"/>
          <w:b/>
          <w:bCs/>
          <w:color w:val="1F4E5F"/>
          <w:sz w:val="26"/>
          <w:szCs w:val="26"/>
        </w:rPr>
        <w:t xml:space="preserve">7.3 24-month milestones</w:t>
      </w:r>
    </w:p>
    <w:p>
      <w:pPr>
        <w:pStyle w:val="ListParagraph"/>
        <w:numPr>
          <w:ilvl w:val="0"/>
          <w:numId w:val="2"/>
        </w:numPr>
        <w:spacing w:after="80" w:line="280"/>
      </w:pPr>
      <w:r>
        <w:rPr>
          <w:rFonts w:ascii="Arial" w:cs="Arial" w:eastAsia="Arial" w:hAnsi="Arial"/>
        </w:rPr>
        <w:t xml:space="preserve">Paid Library at 60+ tools; Free Library at 150+ tools.</w:t>
      </w:r>
    </w:p>
    <w:p>
      <w:pPr>
        <w:pStyle w:val="ListParagraph"/>
        <w:numPr>
          <w:ilvl w:val="0"/>
          <w:numId w:val="2"/>
        </w:numPr>
        <w:spacing w:after="80" w:line="280"/>
      </w:pPr>
      <w:r>
        <w:rPr>
          <w:rFonts w:ascii="Arial" w:cs="Arial" w:eastAsia="Arial" w:hAnsi="Arial"/>
        </w:rPr>
        <w:t xml:space="preserve">Email list at 5,500+ subscribers.</w:t>
      </w:r>
    </w:p>
    <w:p>
      <w:pPr>
        <w:pStyle w:val="ListParagraph"/>
        <w:numPr>
          <w:ilvl w:val="0"/>
          <w:numId w:val="2"/>
        </w:numPr>
        <w:spacing w:after="80" w:line="280"/>
      </w:pPr>
      <w:r>
        <w:rPr>
          <w:rFonts w:ascii="Arial" w:cs="Arial" w:eastAsia="Arial" w:hAnsi="Arial"/>
        </w:rPr>
        <w:t xml:space="preserve">Pro subscriber base of 150–250 members.</w:t>
      </w:r>
    </w:p>
    <w:p>
      <w:pPr>
        <w:pStyle w:val="ListParagraph"/>
        <w:numPr>
          <w:ilvl w:val="0"/>
          <w:numId w:val="2"/>
        </w:numPr>
        <w:spacing w:after="80" w:line="280"/>
      </w:pPr>
      <w:r>
        <w:rPr>
          <w:rFonts w:ascii="Arial" w:cs="Arial" w:eastAsia="Arial" w:hAnsi="Arial"/>
        </w:rPr>
        <w:t xml:space="preserve">10–20 institutional clients.</w:t>
      </w:r>
    </w:p>
    <w:p>
      <w:pPr>
        <w:pStyle w:val="ListParagraph"/>
        <w:numPr>
          <w:ilvl w:val="0"/>
          <w:numId w:val="2"/>
        </w:numPr>
        <w:spacing w:after="80" w:line="280"/>
      </w:pPr>
      <w:r>
        <w:rPr>
          <w:rFonts w:ascii="Arial" w:cs="Arial" w:eastAsia="Arial" w:hAnsi="Arial"/>
        </w:rPr>
        <w:t xml:space="preserve">First major grant ($25K+) secured.</w:t>
      </w:r>
    </w:p>
    <w:p>
      <w:pPr>
        <w:pStyle w:val="ListParagraph"/>
        <w:numPr>
          <w:ilvl w:val="0"/>
          <w:numId w:val="2"/>
        </w:numPr>
        <w:spacing w:after="80" w:line="280"/>
      </w:pPr>
      <w:r>
        <w:rPr>
          <w:rFonts w:ascii="Arial" w:cs="Arial" w:eastAsia="Arial" w:hAnsi="Arial"/>
        </w:rPr>
        <w:t xml:space="preserve">First part-time team member (VA, designer, or developer) onboarded.</w:t>
      </w:r>
    </w:p>
    <w:p>
      <w:pPr>
        <w:pStyle w:val="ListParagraph"/>
        <w:numPr>
          <w:ilvl w:val="0"/>
          <w:numId w:val="2"/>
        </w:numPr>
        <w:spacing w:after="80" w:line="280"/>
      </w:pPr>
      <w:r>
        <w:rPr>
          <w:rFonts w:ascii="Arial" w:cs="Arial" w:eastAsia="Arial" w:hAnsi="Arial"/>
        </w:rPr>
        <w:t xml:space="preserve">Cumulative revenue $200,000–$280,000 (Base scenario).</w:t>
      </w:r>
    </w:p>
    <w:p>
      <w:pPr>
        <w:pStyle w:val="Heading2"/>
        <w:spacing w:after="180" w:before="360"/>
      </w:pPr>
      <w:r>
        <w:rPr>
          <w:rFonts w:ascii="Arial" w:cs="Arial" w:eastAsia="Arial" w:hAnsi="Arial"/>
          <w:b/>
          <w:bCs/>
          <w:color w:val="1F4E5F"/>
          <w:sz w:val="26"/>
          <w:szCs w:val="26"/>
        </w:rPr>
        <w:t xml:space="preserve">7.4 48-month milestones</w:t>
      </w:r>
    </w:p>
    <w:p>
      <w:pPr>
        <w:pStyle w:val="ListParagraph"/>
        <w:numPr>
          <w:ilvl w:val="0"/>
          <w:numId w:val="2"/>
        </w:numPr>
        <w:spacing w:after="80" w:line="280"/>
      </w:pPr>
      <w:r>
        <w:rPr>
          <w:rFonts w:ascii="Arial" w:cs="Arial" w:eastAsia="Arial" w:hAnsi="Arial"/>
        </w:rPr>
        <w:t xml:space="preserve">Paid Library at 100+ tools; Free Library at 250+ tools.</w:t>
      </w:r>
    </w:p>
    <w:p>
      <w:pPr>
        <w:pStyle w:val="ListParagraph"/>
        <w:numPr>
          <w:ilvl w:val="0"/>
          <w:numId w:val="2"/>
        </w:numPr>
        <w:spacing w:after="80" w:line="280"/>
      </w:pPr>
      <w:r>
        <w:rPr>
          <w:rFonts w:ascii="Arial" w:cs="Arial" w:eastAsia="Arial" w:hAnsi="Arial"/>
        </w:rPr>
        <w:t xml:space="preserve">Email list at 15,000+ subscribers.</w:t>
      </w:r>
    </w:p>
    <w:p>
      <w:pPr>
        <w:pStyle w:val="ListParagraph"/>
        <w:numPr>
          <w:ilvl w:val="0"/>
          <w:numId w:val="2"/>
        </w:numPr>
        <w:spacing w:after="80" w:line="280"/>
      </w:pPr>
      <w:r>
        <w:rPr>
          <w:rFonts w:ascii="Arial" w:cs="Arial" w:eastAsia="Arial" w:hAnsi="Arial"/>
        </w:rPr>
        <w:t xml:space="preserve">Established recurring revenue base of $30K–$50K/month.</w:t>
      </w:r>
    </w:p>
    <w:p>
      <w:pPr>
        <w:pStyle w:val="ListParagraph"/>
        <w:numPr>
          <w:ilvl w:val="0"/>
          <w:numId w:val="2"/>
        </w:numPr>
        <w:spacing w:after="80" w:line="280"/>
      </w:pPr>
      <w:r>
        <w:rPr>
          <w:rFonts w:ascii="Arial" w:cs="Arial" w:eastAsia="Arial" w:hAnsi="Arial"/>
        </w:rPr>
        <w:t xml:space="preserve">Multi-year enterprise contracts and sponsored programmes in place.</w:t>
      </w:r>
    </w:p>
    <w:p>
      <w:pPr>
        <w:pStyle w:val="ListParagraph"/>
        <w:numPr>
          <w:ilvl w:val="0"/>
          <w:numId w:val="2"/>
        </w:numPr>
        <w:spacing w:after="80" w:line="280"/>
      </w:pPr>
      <w:r>
        <w:rPr>
          <w:rFonts w:ascii="Arial" w:cs="Arial" w:eastAsia="Arial" w:hAnsi="Arial"/>
        </w:rPr>
        <w:t xml:space="preserve">Cumulative revenue $700,000+ (Base scenario).</w:t>
      </w:r>
    </w:p>
    <w:p>
      <w:pPr>
        <w:pStyle w:val="ListParagraph"/>
        <w:numPr>
          <w:ilvl w:val="0"/>
          <w:numId w:val="2"/>
        </w:numPr>
        <w:spacing w:after="80" w:line="280"/>
      </w:pPr>
      <w:r>
        <w:rPr>
          <w:rFonts w:ascii="Arial" w:cs="Arial" w:eastAsia="Arial" w:hAnsi="Arial"/>
        </w:rPr>
        <w:t xml:space="preserve">Decision point: scale to full team, spin out separate entity, or continue lean.</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8. Risks &amp; Mitigation</w:t>
      </w:r>
    </w:p>
    <w:p>
      <w:pPr>
        <w:spacing w:after="160" w:line="320"/>
        <w:jc w:val="both"/>
      </w:pPr>
      <w:r>
        <w:rPr>
          <w:rFonts w:ascii="Arial" w:cs="Arial" w:eastAsia="Arial" w:hAnsi="Arial"/>
        </w:rPr>
        <w:t xml:space="preserve">The full 14-item risk register is maintained in the Excel workbook. The five most consequential risks are summarised here.</w:t>
      </w:r>
    </w:p>
    <w:p>
      <w:pPr>
        <w:pStyle w:val="Heading3"/>
        <w:spacing w:after="120" w:before="240"/>
      </w:pPr>
      <w:r>
        <w:rPr>
          <w:rFonts w:ascii="Arial" w:cs="Arial" w:eastAsia="Arial" w:hAnsi="Arial"/>
          <w:b/>
          <w:bCs/>
          <w:color w:val="C75B3C"/>
          <w:sz w:val="22"/>
          <w:szCs w:val="22"/>
        </w:rPr>
        <w:t xml:space="preserve">Risk 1 — DMO workload absorbs all bandwidth (Score: 9)</w:t>
      </w:r>
    </w:p>
    <w:p>
      <w:pPr>
        <w:spacing w:after="160" w:line="320"/>
        <w:jc w:val="both"/>
      </w:pPr>
      <w:r>
        <w:rPr>
          <w:rFonts w:ascii="Arial" w:cs="Arial" w:eastAsia="Arial" w:hAnsi="Arial"/>
        </w:rPr>
        <w:t xml:space="preserve">Mitigation: Batch-build during quiet weeks. Maintain a 4-week buffer queue for Free Library and 2-week queue for Paid Library. Accept slower cadence over zero cadence.</w:t>
      </w:r>
    </w:p>
    <w:p>
      <w:pPr>
        <w:pStyle w:val="Heading3"/>
        <w:spacing w:after="120" w:before="240"/>
      </w:pPr>
      <w:r>
        <w:rPr>
          <w:rFonts w:ascii="Arial" w:cs="Arial" w:eastAsia="Arial" w:hAnsi="Arial"/>
          <w:b/>
          <w:bCs/>
          <w:color w:val="C75B3C"/>
          <w:sz w:val="22"/>
          <w:szCs w:val="22"/>
        </w:rPr>
        <w:t xml:space="preserve">Risk 2 — Burnout from DMO + family + platform (Score: 9)</w:t>
      </w:r>
    </w:p>
    <w:p>
      <w:pPr>
        <w:spacing w:after="160" w:line="320"/>
        <w:jc w:val="both"/>
      </w:pPr>
      <w:r>
        <w:rPr>
          <w:rFonts w:ascii="Arial" w:cs="Arial" w:eastAsia="Arial" w:hAnsi="Arial"/>
        </w:rPr>
        <w:t xml:space="preserve">Mitigation: Mandatory one day per week off platform work. Quarterly review of what to drop. Family time non-negotiable. The plan is built to survive a 0-hour week.</w:t>
      </w:r>
    </w:p>
    <w:p>
      <w:pPr>
        <w:pStyle w:val="Heading3"/>
        <w:spacing w:after="120" w:before="240"/>
      </w:pPr>
      <w:r>
        <w:rPr>
          <w:rFonts w:ascii="Arial" w:cs="Arial" w:eastAsia="Arial" w:hAnsi="Arial"/>
          <w:b/>
          <w:bCs/>
          <w:color w:val="C75B3C"/>
          <w:sz w:val="22"/>
          <w:szCs w:val="22"/>
        </w:rPr>
        <w:t xml:space="preserve">Risk 3 — Buyers don't convert at projected rates (Score: 6)</w:t>
      </w:r>
    </w:p>
    <w:p>
      <w:pPr>
        <w:spacing w:after="160" w:line="320"/>
        <w:jc w:val="both"/>
      </w:pPr>
      <w:r>
        <w:rPr>
          <w:rFonts w:ascii="Arial" w:cs="Arial" w:eastAsia="Arial" w:hAnsi="Arial"/>
        </w:rPr>
        <w:t xml:space="preserve">Mitigation: Validate first paid tool by Month 3. Iterate price, positioning, and offer fast. If conversion is below 0.5% by Month 6, restructure the funnel before scaling acquisition spend. Consider lowering entry prices or expanding free tier to attract more buyers initially.</w:t>
      </w:r>
    </w:p>
    <w:p>
      <w:pPr>
        <w:pStyle w:val="Heading3"/>
        <w:spacing w:after="120" w:before="240"/>
      </w:pPr>
      <w:r>
        <w:rPr>
          <w:rFonts w:ascii="Arial" w:cs="Arial" w:eastAsia="Arial" w:hAnsi="Arial"/>
          <w:b/>
          <w:bCs/>
          <w:color w:val="C75B3C"/>
          <w:sz w:val="22"/>
          <w:szCs w:val="22"/>
        </w:rPr>
        <w:t xml:space="preserve">Risk 4 — Python apps break in production damaging reputation (Score: 6)</w:t>
      </w:r>
    </w:p>
    <w:p>
      <w:pPr>
        <w:spacing w:after="160" w:line="320"/>
        <w:jc w:val="both"/>
      </w:pPr>
      <w:r>
        <w:rPr>
          <w:rFonts w:ascii="Arial" w:cs="Arial" w:eastAsia="Arial" w:hAnsi="Arial"/>
        </w:rPr>
        <w:t xml:space="preserve">Mitigation: Each tool tested with at least 3 real users before launch. Version control on every asset. 48-hour fix policy: any reported defect addressed and version bumped within two days.</w:t>
      </w:r>
    </w:p>
    <w:p>
      <w:pPr>
        <w:pStyle w:val="Heading3"/>
        <w:spacing w:after="120" w:before="240"/>
      </w:pPr>
      <w:r>
        <w:rPr>
          <w:rFonts w:ascii="Arial" w:cs="Arial" w:eastAsia="Arial" w:hAnsi="Arial"/>
          <w:b/>
          <w:bCs/>
          <w:color w:val="C75B3C"/>
          <w:sz w:val="22"/>
          <w:szCs w:val="22"/>
        </w:rPr>
        <w:t xml:space="preserve">Risk 5 — Pro tools too complex to maintain solo (Score: 6)</w:t>
      </w:r>
    </w:p>
    <w:p>
      <w:pPr>
        <w:spacing w:after="160" w:line="320"/>
        <w:jc w:val="both"/>
      </w:pPr>
      <w:r>
        <w:rPr>
          <w:rFonts w:ascii="Arial" w:cs="Arial" w:eastAsia="Arial" w:hAnsi="Arial"/>
        </w:rPr>
        <w:t xml:space="preserve">Mitigation: Sequence simpler tools first (Excel templates, basic Streamlit apps) before more complex builds (AI-powered tools, multi-feature platforms). Plan for first freelance developer hire by Month 12–18. Build modularly so individual tools can be deprecated if maintenance becomes uneconomic.</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9. Implementation Roadmap</w:t>
      </w:r>
    </w:p>
    <w:p>
      <w:pPr>
        <w:pStyle w:val="Heading2"/>
        <w:spacing w:after="180" w:before="360"/>
      </w:pPr>
      <w:r>
        <w:rPr>
          <w:rFonts w:ascii="Arial" w:cs="Arial" w:eastAsia="Arial" w:hAnsi="Arial"/>
          <w:b/>
          <w:bCs/>
          <w:color w:val="1F4E5F"/>
          <w:sz w:val="26"/>
          <w:szCs w:val="26"/>
        </w:rPr>
        <w:t xml:space="preserve">9.1 Phase 0 — Rebrand &amp; Foundation (Weeks 1–2)</w:t>
      </w:r>
    </w:p>
    <w:p>
      <w:pPr>
        <w:pStyle w:val="ListParagraph"/>
        <w:numPr>
          <w:ilvl w:val="0"/>
          <w:numId w:val="3"/>
        </w:numPr>
        <w:spacing w:after="80" w:line="280"/>
      </w:pPr>
      <w:r>
        <w:rPr>
          <w:rFonts w:ascii="Arial" w:cs="Arial" w:eastAsia="Arial" w:hAnsi="Arial"/>
        </w:rPr>
        <w:t xml:space="preserve">Register fieldhealthafrica.org and secure all social handles.</w:t>
      </w:r>
    </w:p>
    <w:p>
      <w:pPr>
        <w:pStyle w:val="ListParagraph"/>
        <w:numPr>
          <w:ilvl w:val="0"/>
          <w:numId w:val="3"/>
        </w:numPr>
        <w:spacing w:after="80" w:line="280"/>
      </w:pPr>
      <w:r>
        <w:rPr>
          <w:rFonts w:ascii="Arial" w:cs="Arial" w:eastAsia="Arial" w:hAnsi="Arial"/>
        </w:rPr>
        <w:t xml:space="preserve">Update Canva Pro brand kit with new logo, colors, tagline.</w:t>
      </w:r>
    </w:p>
    <w:p>
      <w:pPr>
        <w:pStyle w:val="ListParagraph"/>
        <w:numPr>
          <w:ilvl w:val="0"/>
          <w:numId w:val="3"/>
        </w:numPr>
        <w:spacing w:after="80" w:line="280"/>
      </w:pPr>
      <w:r>
        <w:rPr>
          <w:rFonts w:ascii="Arial" w:cs="Arial" w:eastAsia="Arial" w:hAnsi="Arial"/>
        </w:rPr>
        <w:t xml:space="preserve">Rename all platforms (Substack, Facebook, TikTok, LinkedIn) in coordinated 48-hour window.</w:t>
      </w:r>
    </w:p>
    <w:p>
      <w:pPr>
        <w:pStyle w:val="ListParagraph"/>
        <w:numPr>
          <w:ilvl w:val="0"/>
          <w:numId w:val="3"/>
        </w:numPr>
        <w:spacing w:after="80" w:line="280"/>
      </w:pPr>
      <w:r>
        <w:rPr>
          <w:rFonts w:ascii="Arial" w:cs="Arial" w:eastAsia="Arial" w:hAnsi="Arial"/>
        </w:rPr>
        <w:t xml:space="preserve">Post transition announcement across all channels.</w:t>
      </w:r>
    </w:p>
    <w:p>
      <w:pPr>
        <w:pStyle w:val="ListParagraph"/>
        <w:numPr>
          <w:ilvl w:val="0"/>
          <w:numId w:val="3"/>
        </w:numPr>
        <w:spacing w:after="80" w:line="280"/>
      </w:pPr>
      <w:r>
        <w:rPr>
          <w:rFonts w:ascii="Arial" w:cs="Arial" w:eastAsia="Arial" w:hAnsi="Arial"/>
        </w:rPr>
        <w:t xml:space="preserve">Update ORCID, Google Scholar, ResearchGate, LinkedIn profiles.</w:t>
      </w:r>
    </w:p>
    <w:p>
      <w:pPr>
        <w:pStyle w:val="ListParagraph"/>
        <w:numPr>
          <w:ilvl w:val="0"/>
          <w:numId w:val="3"/>
        </w:numPr>
        <w:spacing w:after="80" w:line="280"/>
      </w:pPr>
      <w:r>
        <w:rPr>
          <w:rFonts w:ascii="Arial" w:cs="Arial" w:eastAsia="Arial" w:hAnsi="Arial"/>
        </w:rPr>
        <w:t xml:space="preserve">Set up payment infrastructure (Stripe + PayPal + mobile money) and Gumroad/Lemon Squeezy.</w:t>
      </w:r>
    </w:p>
    <w:p>
      <w:pPr>
        <w:pStyle w:val="ListParagraph"/>
        <w:numPr>
          <w:ilvl w:val="0"/>
          <w:numId w:val="3"/>
        </w:numPr>
        <w:spacing w:after="80" w:line="280"/>
      </w:pPr>
      <w:r>
        <w:rPr>
          <w:rFonts w:ascii="Arial" w:cs="Arial" w:eastAsia="Arial" w:hAnsi="Arial"/>
        </w:rPr>
        <w:t xml:space="preserve">Set up Streamlit Cloud / Render account for Python app hosting.</w:t>
      </w:r>
    </w:p>
    <w:p>
      <w:pPr>
        <w:pStyle w:val="ListParagraph"/>
        <w:numPr>
          <w:ilvl w:val="0"/>
          <w:numId w:val="3"/>
        </w:numPr>
        <w:spacing w:after="80" w:line="280"/>
      </w:pPr>
      <w:r>
        <w:rPr>
          <w:rFonts w:ascii="Arial" w:cs="Arial" w:eastAsia="Arial" w:hAnsi="Arial"/>
        </w:rPr>
        <w:t xml:space="preserve">Set up Claude API account and billing for AI tools.</w:t>
      </w:r>
    </w:p>
    <w:p>
      <w:pPr>
        <w:pStyle w:val="Heading2"/>
        <w:spacing w:after="180" w:before="360"/>
      </w:pPr>
      <w:r>
        <w:rPr>
          <w:rFonts w:ascii="Arial" w:cs="Arial" w:eastAsia="Arial" w:hAnsi="Arial"/>
          <w:b/>
          <w:bCs/>
          <w:color w:val="1F4E5F"/>
          <w:sz w:val="26"/>
          <w:szCs w:val="26"/>
        </w:rPr>
        <w:t xml:space="preserve">9.2 Phase 1 — Library Launch (Months 1–3)</w:t>
      </w:r>
    </w:p>
    <w:p>
      <w:pPr>
        <w:pStyle w:val="ListParagraph"/>
        <w:numPr>
          <w:ilvl w:val="0"/>
          <w:numId w:val="3"/>
        </w:numPr>
        <w:spacing w:after="80" w:line="280"/>
      </w:pPr>
      <w:r>
        <w:rPr>
          <w:rFonts w:ascii="Arial" w:cs="Arial" w:eastAsia="Arial" w:hAnsi="Arial"/>
        </w:rPr>
        <w:t xml:space="preserve">Build and launch fieldhealthafrica.org with 7-day mini-course opt-in.</w:t>
      </w:r>
    </w:p>
    <w:p>
      <w:pPr>
        <w:pStyle w:val="ListParagraph"/>
        <w:numPr>
          <w:ilvl w:val="0"/>
          <w:numId w:val="3"/>
        </w:numPr>
        <w:spacing w:after="80" w:line="280"/>
      </w:pPr>
      <w:r>
        <w:rPr>
          <w:rFonts w:ascii="Arial" w:cs="Arial" w:eastAsia="Arial" w:hAnsi="Arial"/>
        </w:rPr>
        <w:t xml:space="preserve">Launch Paid Library Tool 1: Health Indicator Calculator Suite (Week 2).</w:t>
      </w:r>
    </w:p>
    <w:p>
      <w:pPr>
        <w:pStyle w:val="ListParagraph"/>
        <w:numPr>
          <w:ilvl w:val="0"/>
          <w:numId w:val="3"/>
        </w:numPr>
        <w:spacing w:after="80" w:line="280"/>
      </w:pPr>
      <w:r>
        <w:rPr>
          <w:rFonts w:ascii="Arial" w:cs="Arial" w:eastAsia="Arial" w:hAnsi="Arial"/>
        </w:rPr>
        <w:t xml:space="preserve">Launch Paid Library Tool 2: KoboCollect Analysis Dashboard (Week 4-6).</w:t>
      </w:r>
    </w:p>
    <w:p>
      <w:pPr>
        <w:pStyle w:val="ListParagraph"/>
        <w:numPr>
          <w:ilvl w:val="0"/>
          <w:numId w:val="3"/>
        </w:numPr>
        <w:spacing w:after="80" w:line="280"/>
      </w:pPr>
      <w:r>
        <w:rPr>
          <w:rFonts w:ascii="Arial" w:cs="Arial" w:eastAsia="Arial" w:hAnsi="Arial"/>
        </w:rPr>
        <w:t xml:space="preserve">Launch Paid Library Tool 3: DHIS2 Auto-Report Generator (Week 8-10).</w:t>
      </w:r>
    </w:p>
    <w:p>
      <w:pPr>
        <w:pStyle w:val="ListParagraph"/>
        <w:numPr>
          <w:ilvl w:val="0"/>
          <w:numId w:val="3"/>
        </w:numPr>
        <w:spacing w:after="80" w:line="280"/>
      </w:pPr>
      <w:r>
        <w:rPr>
          <w:rFonts w:ascii="Arial" w:cs="Arial" w:eastAsia="Arial" w:hAnsi="Arial"/>
        </w:rPr>
        <w:t xml:space="preserve">Release 24+ Free Library tools across the quarter.</w:t>
      </w:r>
    </w:p>
    <w:p>
      <w:pPr>
        <w:pStyle w:val="ListParagraph"/>
        <w:numPr>
          <w:ilvl w:val="0"/>
          <w:numId w:val="3"/>
        </w:numPr>
        <w:spacing w:after="80" w:line="280"/>
      </w:pPr>
      <w:r>
        <w:rPr>
          <w:rFonts w:ascii="Arial" w:cs="Arial" w:eastAsia="Arial" w:hAnsi="Arial"/>
        </w:rPr>
        <w:t xml:space="preserve">Cross 200 email subscribers, 80 free tool downloads, $500–$1,500 revenue.</w:t>
      </w:r>
    </w:p>
    <w:p>
      <w:pPr>
        <w:pStyle w:val="Heading2"/>
        <w:spacing w:after="180" w:before="360"/>
      </w:pPr>
      <w:r>
        <w:rPr>
          <w:rFonts w:ascii="Arial" w:cs="Arial" w:eastAsia="Arial" w:hAnsi="Arial"/>
          <w:b/>
          <w:bCs/>
          <w:color w:val="1F4E5F"/>
          <w:sz w:val="26"/>
          <w:szCs w:val="26"/>
        </w:rPr>
        <w:t xml:space="preserve">9.3 Phase 2 — Paid Library Compounding (Months 4–12)</w:t>
      </w:r>
    </w:p>
    <w:p>
      <w:pPr>
        <w:pStyle w:val="ListParagraph"/>
        <w:numPr>
          <w:ilvl w:val="0"/>
          <w:numId w:val="3"/>
        </w:numPr>
        <w:spacing w:after="80" w:line="280"/>
      </w:pPr>
      <w:r>
        <w:rPr>
          <w:rFonts w:ascii="Arial" w:cs="Arial" w:eastAsia="Arial" w:hAnsi="Arial"/>
        </w:rPr>
        <w:t xml:space="preserve">Maintain 1 paid tool/week + 2 free tools/week cadence.</w:t>
      </w:r>
    </w:p>
    <w:p>
      <w:pPr>
        <w:pStyle w:val="ListParagraph"/>
        <w:numPr>
          <w:ilvl w:val="0"/>
          <w:numId w:val="3"/>
        </w:numPr>
        <w:spacing w:after="80" w:line="280"/>
      </w:pPr>
      <w:r>
        <w:rPr>
          <w:rFonts w:ascii="Arial" w:cs="Arial" w:eastAsia="Arial" w:hAnsi="Arial"/>
        </w:rPr>
        <w:t xml:space="preserve">Launch Tableau and Power BI Dashboard Packs (Weeks 4–5).</w:t>
      </w:r>
    </w:p>
    <w:p>
      <w:pPr>
        <w:pStyle w:val="ListParagraph"/>
        <w:numPr>
          <w:ilvl w:val="0"/>
          <w:numId w:val="3"/>
        </w:numPr>
        <w:spacing w:after="80" w:line="280"/>
      </w:pPr>
      <w:r>
        <w:rPr>
          <w:rFonts w:ascii="Arial" w:cs="Arial" w:eastAsia="Arial" w:hAnsi="Arial"/>
        </w:rPr>
        <w:t xml:space="preserve">Launch Health Grant Proposal Builder (AI tool) — first AI-powered product.</w:t>
      </w:r>
    </w:p>
    <w:p>
      <w:pPr>
        <w:pStyle w:val="ListParagraph"/>
        <w:numPr>
          <w:ilvl w:val="0"/>
          <w:numId w:val="3"/>
        </w:numPr>
        <w:spacing w:after="80" w:line="280"/>
      </w:pPr>
      <w:r>
        <w:rPr>
          <w:rFonts w:ascii="Arial" w:cs="Arial" w:eastAsia="Arial" w:hAnsi="Arial"/>
        </w:rPr>
        <w:t xml:space="preserve">Launch Health Facility Operational Diagnostic Tool — flagship premium product at $299/999.</w:t>
      </w:r>
    </w:p>
    <w:p>
      <w:pPr>
        <w:pStyle w:val="ListParagraph"/>
        <w:numPr>
          <w:ilvl w:val="0"/>
          <w:numId w:val="3"/>
        </w:numPr>
        <w:spacing w:after="80" w:line="280"/>
      </w:pPr>
      <w:r>
        <w:rPr>
          <w:rFonts w:ascii="Arial" w:cs="Arial" w:eastAsia="Arial" w:hAnsi="Arial"/>
        </w:rPr>
        <w:t xml:space="preserve">Launch first major bundle: HEALTH OPS BUNDLE at $499/$1,499.</w:t>
      </w:r>
    </w:p>
    <w:p>
      <w:pPr>
        <w:pStyle w:val="ListParagraph"/>
        <w:numPr>
          <w:ilvl w:val="0"/>
          <w:numId w:val="3"/>
        </w:numPr>
        <w:spacing w:after="80" w:line="280"/>
      </w:pPr>
      <w:r>
        <w:rPr>
          <w:rFonts w:ascii="Arial" w:cs="Arial" w:eastAsia="Arial" w:hAnsi="Arial"/>
        </w:rPr>
        <w:t xml:space="preserve">Engage first institutional clients and first 1–3 enterprise customisations.</w:t>
      </w:r>
    </w:p>
    <w:p>
      <w:pPr>
        <w:pStyle w:val="ListParagraph"/>
        <w:numPr>
          <w:ilvl w:val="0"/>
          <w:numId w:val="3"/>
        </w:numPr>
        <w:spacing w:after="80" w:line="280"/>
      </w:pPr>
      <w:r>
        <w:rPr>
          <w:rFonts w:ascii="Arial" w:cs="Arial" w:eastAsia="Arial" w:hAnsi="Arial"/>
        </w:rPr>
        <w:t xml:space="preserve">Submit first grant application; close first sponsored content deal.</w:t>
      </w:r>
    </w:p>
    <w:p>
      <w:pPr>
        <w:pStyle w:val="ListParagraph"/>
        <w:numPr>
          <w:ilvl w:val="0"/>
          <w:numId w:val="3"/>
        </w:numPr>
        <w:spacing w:after="80" w:line="280"/>
      </w:pPr>
      <w:r>
        <w:rPr>
          <w:rFonts w:ascii="Arial" w:cs="Arial" w:eastAsia="Arial" w:hAnsi="Arial"/>
        </w:rPr>
        <w:t xml:space="preserve">Cross 2,000 email subscribers and $25,000–$40,000 cumulative revenue.</w:t>
      </w:r>
    </w:p>
    <w:p>
      <w:pPr>
        <w:pStyle w:val="Heading2"/>
        <w:spacing w:after="180" w:before="360"/>
      </w:pPr>
      <w:r>
        <w:rPr>
          <w:rFonts w:ascii="Arial" w:cs="Arial" w:eastAsia="Arial" w:hAnsi="Arial"/>
          <w:b/>
          <w:bCs/>
          <w:color w:val="1F4E5F"/>
          <w:sz w:val="26"/>
          <w:szCs w:val="26"/>
        </w:rPr>
        <w:t xml:space="preserve">9.4 Phase 3 — Scale &amp; Diversify (Months 13–24)</w:t>
      </w:r>
    </w:p>
    <w:p>
      <w:pPr>
        <w:pStyle w:val="ListParagraph"/>
        <w:numPr>
          <w:ilvl w:val="0"/>
          <w:numId w:val="3"/>
        </w:numPr>
        <w:spacing w:after="80" w:line="280"/>
      </w:pPr>
      <w:r>
        <w:rPr>
          <w:rFonts w:ascii="Arial" w:cs="Arial" w:eastAsia="Arial" w:hAnsi="Arial"/>
        </w:rPr>
        <w:t xml:space="preserve">Onboard first part-time team member (VA, designer, or developer).</w:t>
      </w:r>
    </w:p>
    <w:p>
      <w:pPr>
        <w:pStyle w:val="ListParagraph"/>
        <w:numPr>
          <w:ilvl w:val="0"/>
          <w:numId w:val="3"/>
        </w:numPr>
        <w:spacing w:after="80" w:line="280"/>
      </w:pPr>
      <w:r>
        <w:rPr>
          <w:rFonts w:ascii="Arial" w:cs="Arial" w:eastAsia="Arial" w:hAnsi="Arial"/>
        </w:rPr>
        <w:t xml:space="preserve">Launch French versions of top 15 paid tools.</w:t>
      </w:r>
    </w:p>
    <w:p>
      <w:pPr>
        <w:pStyle w:val="ListParagraph"/>
        <w:numPr>
          <w:ilvl w:val="0"/>
          <w:numId w:val="3"/>
        </w:numPr>
        <w:spacing w:after="80" w:line="280"/>
      </w:pPr>
      <w:r>
        <w:rPr>
          <w:rFonts w:ascii="Arial" w:cs="Arial" w:eastAsia="Arial" w:hAnsi="Arial"/>
        </w:rPr>
        <w:t xml:space="preserve">Establish 10–20 institutional clients and 4+ enterprise customisations.</w:t>
      </w:r>
    </w:p>
    <w:p>
      <w:pPr>
        <w:pStyle w:val="ListParagraph"/>
        <w:numPr>
          <w:ilvl w:val="0"/>
          <w:numId w:val="3"/>
        </w:numPr>
        <w:spacing w:after="80" w:line="280"/>
      </w:pPr>
      <w:r>
        <w:rPr>
          <w:rFonts w:ascii="Arial" w:cs="Arial" w:eastAsia="Arial" w:hAnsi="Arial"/>
        </w:rPr>
        <w:t xml:space="preserve">Diversify revenue: secure first major grant ($25K+) and major sponsored content programme.</w:t>
      </w:r>
    </w:p>
    <w:p>
      <w:pPr>
        <w:pStyle w:val="ListParagraph"/>
        <w:numPr>
          <w:ilvl w:val="0"/>
          <w:numId w:val="3"/>
        </w:numPr>
        <w:spacing w:after="80" w:line="280"/>
      </w:pPr>
      <w:r>
        <w:rPr>
          <w:rFonts w:ascii="Arial" w:cs="Arial" w:eastAsia="Arial" w:hAnsi="Arial"/>
        </w:rPr>
        <w:t xml:space="preserve">Cross $200K cumulative revenue.</w:t>
      </w:r>
    </w:p>
    <w:p>
      <w:pPr>
        <w:pStyle w:val="Heading2"/>
        <w:spacing w:after="180" w:before="360"/>
      </w:pPr>
      <w:r>
        <w:rPr>
          <w:rFonts w:ascii="Arial" w:cs="Arial" w:eastAsia="Arial" w:hAnsi="Arial"/>
          <w:b/>
          <w:bCs/>
          <w:color w:val="1F4E5F"/>
          <w:sz w:val="26"/>
          <w:szCs w:val="26"/>
        </w:rPr>
        <w:t xml:space="preserve">9.5 Phase 4 — Maturity &amp; Decision (Months 25–48)</w:t>
      </w:r>
    </w:p>
    <w:p>
      <w:pPr>
        <w:pStyle w:val="ListParagraph"/>
        <w:numPr>
          <w:ilvl w:val="0"/>
          <w:numId w:val="3"/>
        </w:numPr>
        <w:spacing w:after="80" w:line="280"/>
      </w:pPr>
      <w:r>
        <w:rPr>
          <w:rFonts w:ascii="Arial" w:cs="Arial" w:eastAsia="Arial" w:hAnsi="Arial"/>
        </w:rPr>
        <w:t xml:space="preserve">Paid Library at 60–100 tools; Free Library at 150–250 tools.</w:t>
      </w:r>
    </w:p>
    <w:p>
      <w:pPr>
        <w:pStyle w:val="ListParagraph"/>
        <w:numPr>
          <w:ilvl w:val="0"/>
          <w:numId w:val="3"/>
        </w:numPr>
        <w:spacing w:after="80" w:line="280"/>
      </w:pPr>
      <w:r>
        <w:rPr>
          <w:rFonts w:ascii="Arial" w:cs="Arial" w:eastAsia="Arial" w:hAnsi="Arial"/>
        </w:rPr>
        <w:t xml:space="preserve">Recurring revenue exceeds $20,000/month.</w:t>
      </w:r>
    </w:p>
    <w:p>
      <w:pPr>
        <w:pStyle w:val="ListParagraph"/>
        <w:numPr>
          <w:ilvl w:val="0"/>
          <w:numId w:val="3"/>
        </w:numPr>
        <w:spacing w:after="80" w:line="280"/>
      </w:pPr>
      <w:r>
        <w:rPr>
          <w:rFonts w:ascii="Arial" w:cs="Arial" w:eastAsia="Arial" w:hAnsi="Arial"/>
        </w:rPr>
        <w:t xml:space="preserve">Cross $500K and $700K cumulative revenue thresholds.</w:t>
      </w:r>
    </w:p>
    <w:p>
      <w:pPr>
        <w:pStyle w:val="ListParagraph"/>
        <w:numPr>
          <w:ilvl w:val="0"/>
          <w:numId w:val="3"/>
        </w:numPr>
        <w:spacing w:after="80" w:line="280"/>
      </w:pPr>
      <w:r>
        <w:rPr>
          <w:rFonts w:ascii="Arial" w:cs="Arial" w:eastAsia="Arial" w:hAnsi="Arial"/>
        </w:rPr>
        <w:t xml:space="preserve">Strategic decision: scale to full team, spin out, or continue solo-led.</w:t>
      </w:r>
    </w:p>
    <w:p>
      <w:r>
        <w:br w:type="page"/>
      </w:r>
    </w:p>
    <w:p>
      <w:pPr>
        <w:pStyle w:val="Heading1"/>
        <w:pBdr>
          <w:bottom w:val="single" w:color="0A7C7C" w:sz="12" w:space="4"/>
        </w:pBdr>
        <w:spacing w:after="240" w:before="480"/>
      </w:pPr>
      <w:r>
        <w:rPr>
          <w:rFonts w:ascii="Arial" w:cs="Arial" w:eastAsia="Arial" w:hAnsi="Arial"/>
          <w:b/>
          <w:bCs/>
          <w:color w:val="0A7C7C"/>
          <w:sz w:val="32"/>
          <w:szCs w:val="32"/>
        </w:rPr>
        <w:t xml:space="preserve">10. Conclusion</w:t>
      </w:r>
    </w:p>
    <w:p>
      <w:pPr>
        <w:spacing w:after="160" w:line="320"/>
        <w:jc w:val="both"/>
      </w:pPr>
      <w:r>
        <w:rPr>
          <w:rFonts w:ascii="Arial" w:cs="Arial" w:eastAsia="Arial" w:hAnsi="Arial"/>
        </w:rPr>
        <w:t xml:space="preserve">FieldHealth Africa version 2.0 is a fundamentally stronger plan than version 1.0. Version 1.0 attempted to charge African practitioners for tools they couldn't afford and couldn't justify to procurement. Version 2.0 solves the problem by recognizing that practitioners and buyers are two different markets with two different economic profiles — and serving each with the appropriate product line.</w:t>
      </w:r>
    </w:p>
    <w:p>
      <w:pPr>
        <w:spacing w:after="160" w:line="320"/>
        <w:jc w:val="both"/>
      </w:pPr>
      <w:r>
        <w:rPr>
          <w:rFonts w:ascii="Arial" w:cs="Arial" w:eastAsia="Arial" w:hAnsi="Arial"/>
        </w:rPr>
        <w:t xml:space="preserve">The Free Library serves African health workers as a public good, building authority, audience, and credibility. The Paid Library serves the global health consulting, NGO, research, and academic markets as a commercial business, generating revenue through tools priced for buyers with professional budgets. The two libraries reinforce each other: practitioner adoption of free tools validates the brand for paying buyers; paid revenue funds the free library's continued growth.</w:t>
      </w:r>
    </w:p>
    <w:p>
      <w:pPr>
        <w:spacing w:after="160" w:line="320"/>
        <w:jc w:val="both"/>
      </w:pPr>
      <w:r>
        <w:rPr>
          <w:rFonts w:ascii="Arial" w:cs="Arial" w:eastAsia="Arial" w:hAnsi="Arial"/>
        </w:rPr>
        <w:t xml:space="preserve">The founder's combination of medical, epidemiological, operational, and Python/AI capabilities is the moat. The discipline of weekly releases — with batch-and-bank execution to absorb DMO workload variability — is the engine. The library compounding effect, where catalog breadth itself becomes the value proposition, is the long-term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0A7C7C" w:sz="24"/>
              <w:bottom w:val="single" w:color="DDDDDD" w:sz="4"/>
              <w:right w:val="single" w:color="DDDDDD" w:sz="4"/>
            </w:tcBorders>
            <w:shd w:fill="FAFAFA" w:val="clear"/>
            <w:tcMar>
              <w:top w:type="dxa" w:w="160"/>
              <w:left w:type="dxa" w:w="240"/>
              <w:bottom w:type="dxa" w:w="160"/>
              <w:right w:type="dxa" w:w="240"/>
            </w:tcMar>
          </w:tcPr>
          <w:p>
            <w:pPr>
              <w:spacing w:after="100"/>
            </w:pPr>
            <w:r>
              <w:rPr>
                <w:rFonts w:ascii="Arial" w:cs="Arial" w:eastAsia="Arial" w:hAnsi="Arial"/>
                <w:b/>
                <w:bCs/>
                <w:color w:val="0A7C7C"/>
                <w:sz w:val="22"/>
                <w:szCs w:val="22"/>
              </w:rPr>
              <w:t xml:space="preserve">The commitment</w:t>
            </w:r>
          </w:p>
          <w:p>
            <w:pPr>
              <w:spacing w:line="300"/>
            </w:pPr>
            <w:r>
              <w:rPr>
                <w:rFonts w:ascii="Arial" w:cs="Arial" w:eastAsia="Arial" w:hAnsi="Arial"/>
                <w:sz w:val="20"/>
                <w:szCs w:val="20"/>
              </w:rPr>
              <w:t xml:space="preserve">Build the Free Library at 2/week. Build the Paid Library at 1/week. Trust the compounding. Use Python and Claude to compress build times. Respect family time as non-negotiable. Review quarterly. Refine annually.</w:t>
            </w:r>
          </w:p>
        </w:tc>
      </w:tr>
    </w:tbl>
    <w:p>
      <w:r>
        <w:rPr>
          <w:rFonts w:ascii="Arial" w:cs="Arial" w:eastAsia="Arial" w:hAnsi="Arial"/>
        </w:rPr>
        <w:t xml:space="preserve"/>
      </w:r>
    </w:p>
    <w:p>
      <w:pPr>
        <w:jc w:val="center"/>
      </w:pPr>
      <w:r>
        <w:rPr>
          <w:rFonts w:ascii="Arial" w:cs="Arial" w:eastAsia="Arial" w:hAnsi="Arial"/>
          <w:i/>
          <w:iCs/>
          <w:color w:val="555555"/>
          <w:sz w:val="18"/>
          <w:szCs w:val="18"/>
        </w:rPr>
        <w:t xml:space="preserve">End of Business Plan v2.0</w:t>
      </w:r>
    </w:p>
    <w:p>
      <w:pPr>
        <w:jc w:val="center"/>
      </w:pPr>
      <w:r>
        <w:rPr>
          <w:rFonts w:ascii="Arial" w:cs="Arial" w:eastAsia="Arial" w:hAnsi="Arial"/>
          <w:i/>
          <w:iCs/>
          <w:color w:val="555555"/>
          <w:sz w:val="18"/>
          <w:szCs w:val="18"/>
        </w:rPr>
        <w:t xml:space="preserve">Companion: FieldHealth_Africa_Execution_Workbook_v2.xlsx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i/>
        <w:iCs/>
        <w:color w:val="0A7C7C"/>
        <w:sz w:val="16"/>
        <w:szCs w:val="16"/>
      </w:rPr>
      <w:t xml:space="preserve">From data to decisions, in the field.</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C7C" w:sz="4" w:space="4"/>
      </w:pBdr>
      <w:jc w:val="right"/>
    </w:pPr>
    <w:r>
      <w:rPr>
        <w:rFonts w:ascii="Arial" w:cs="Arial" w:eastAsia="Arial" w:hAnsi="Arial"/>
        <w:i/>
        <w:iCs/>
        <w:color w:val="555555"/>
        <w:sz w:val="18"/>
        <w:szCs w:val="18"/>
      </w:rPr>
      <w:t xml:space="preserve">FieldHealth Africa — Business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7C7C"/>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1F4E5F"/>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C75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FieldHealth Africa Business Plan v2.0</dc:title>
  <dc:creator>FieldHealth Africa</dc:creator>
  <cp:lastModifiedBy>Un-named</cp:lastModifiedBy>
  <cp:revision>1</cp:revision>
  <dcterms:created xsi:type="dcterms:W3CDTF">2026-05-14T17:20:00.107Z</dcterms:created>
  <dcterms:modified xsi:type="dcterms:W3CDTF">2026-05-14T17:20:00.119Z</dcterms:modified>
</cp:coreProperties>
</file>

<file path=docProps/custom.xml><?xml version="1.0" encoding="utf-8"?>
<Properties xmlns="http://schemas.openxmlformats.org/officeDocument/2006/custom-properties" xmlns:vt="http://schemas.openxmlformats.org/officeDocument/2006/docPropsVTypes"/>
</file>