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120" w:before="0"/>
        <w:jc w:val="center"/>
      </w:pPr>
      <w:r>
        <w:rPr>
          <w:rFonts w:ascii="Arial" w:cs="Arial" w:eastAsia="Arial" w:hAnsi="Arial"/>
          <w:b/>
          <w:bCs/>
          <w:color w:val="006633"/>
          <w:sz w:val="36"/>
          <w:szCs w:val="36"/>
        </w:rPr>
        <w:t xml:space="preserve">FieldHealth Africa</w:t>
      </w:r>
    </w:p>
    <w:p>
      <w:pPr>
        <w:spacing w:after="80" w:before="0"/>
        <w:jc w:val="center"/>
      </w:pPr>
      <w:r>
        <w:rPr>
          <w:rFonts w:ascii="Arial" w:cs="Arial" w:eastAsia="Arial" w:hAnsi="Arial"/>
          <w:color w:val="888888"/>
          <w:sz w:val="22"/>
          <w:szCs w:val="22"/>
        </w:rPr>
        <w:t xml:space="preserve">www.fieldhealthafrica.org</w:t>
      </w:r>
    </w:p>
    <w:p>
      <w:pPr>
        <w:pBdr>
          <w:bottom w:val="single" w:color="006633" w:sz="6" w:space="1"/>
        </w:pBdr>
        <w:spacing w:after="0" w:before="0"/>
      </w:pPr>
    </w:p>
    <w:p/>
    <w:p>
      <w:pPr>
        <w:spacing w:after="80" w:before="120"/>
        <w:jc w:val="center"/>
      </w:pPr>
      <w:r>
        <w:rPr>
          <w:rFonts w:ascii="Arial" w:cs="Arial" w:eastAsia="Arial" w:hAnsi="Arial"/>
          <w:b/>
          <w:bCs/>
          <w:color w:val="006633"/>
          <w:sz w:val="44"/>
          <w:szCs w:val="44"/>
        </w:rPr>
        <w:t xml:space="preserve">OUTIL DE GESTION FINANCIÈRE v3</w:t>
      </w:r>
    </w:p>
    <w:p>
      <w:pPr>
        <w:spacing w:after="80" w:before="0"/>
        <w:jc w:val="center"/>
      </w:pPr>
      <w:r>
        <w:rPr>
          <w:rFonts w:ascii="Arial" w:cs="Arial" w:eastAsia="Arial" w:hAnsi="Arial"/>
          <w:b/>
          <w:bCs/>
          <w:color w:val="1A3A6B"/>
          <w:sz w:val="36"/>
          <w:szCs w:val="36"/>
        </w:rPr>
        <w:t xml:space="preserve">Financial Management Tool v3</w:t>
      </w:r>
    </w:p>
    <w:p>
      <w:pPr>
        <w:spacing w:after="80" w:before="0"/>
        <w:jc w:val="center"/>
      </w:pPr>
      <w:r>
        <w:rPr>
          <w:rFonts w:ascii="Arial" w:cs="Arial" w:eastAsia="Arial" w:hAnsi="Arial"/>
          <w:color w:val="555555"/>
          <w:sz w:val="26"/>
          <w:szCs w:val="26"/>
        </w:rPr>
        <w:t xml:space="preserve">Recettes Propres des Formations Sanitaires  —  MINSANTE Cameroun</w:t>
      </w:r>
    </w:p>
    <w:p>
      <w:pPr>
        <w:spacing w:after="200" w:before="0"/>
        <w:jc w:val="center"/>
      </w:pPr>
      <w:r>
        <w:rPr>
          <w:rFonts w:ascii="Arial" w:cs="Arial" w:eastAsia="Arial" w:hAnsi="Arial"/>
          <w:color w:val="555555"/>
          <w:sz w:val="26"/>
          <w:szCs w:val="26"/>
        </w:rPr>
        <w:t xml:space="preserve">Internally Generated Funds — Health Facilities</w:t>
      </w:r>
    </w:p>
    <w:p>
      <w:pPr>
        <w:pBdr>
          <w:bottom w:val="single" w:color="006633" w:sz="6" w:space="1"/>
        </w:pBdr>
        <w:spacing w:after="0" w:before="0"/>
      </w:pP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E8F5EE" w:val="clear"/>
            <w:tcMar>
              <w:top w:type="dxa" w:w="120"/>
              <w:left w:type="dxa" w:w="180"/>
              <w:bottom w:type="dxa" w:w="120"/>
              <w:right w:type="dxa" w:w="180"/>
            </w:tcMar>
          </w:tcPr>
          <w:p>
            <w:r>
              <w:rPr>
                <w:rFonts w:ascii="Arial" w:cs="Arial" w:eastAsia="Arial" w:hAnsi="Arial"/>
                <w:b/>
                <w:bCs/>
                <w:color w:val="006633"/>
                <w:sz w:val="22"/>
                <w:szCs w:val="22"/>
              </w:rPr>
              <w:t xml:space="preserve">GUIDE UTILISATEUR — FRANÇAIS</w:t>
            </w:r>
          </w:p>
          <w:p>
            <w:pPr>
              <w:spacing w:before="60"/>
            </w:pPr>
            <w:r>
              <w:rPr>
                <w:rFonts w:ascii="Arial" w:cs="Arial" w:eastAsia="Arial" w:hAnsi="Arial"/>
                <w:sz w:val="20"/>
                <w:szCs w:val="20"/>
              </w:rPr>
              <w:t xml:space="preserve">Catégories 3, 4 et 5  |  Version 3.0</w:t>
            </w:r>
          </w:p>
        </w:tc>
        <w:tc>
          <w:tcPr>
            <w:tcW w:type="dxa" w:w="4600"/>
            <w:tcBorders>
              <w:top w:val="single" w:color="D4CFC4" w:sz="4"/>
              <w:left w:val="single" w:color="D4CFC4" w:sz="4"/>
              <w:bottom w:val="single" w:color="D4CFC4" w:sz="4"/>
              <w:right w:val="single" w:color="D4CFC4" w:sz="4"/>
            </w:tcBorders>
            <w:shd w:fill="EEF2FF" w:val="clear"/>
            <w:tcMar>
              <w:top w:type="dxa" w:w="120"/>
              <w:left w:type="dxa" w:w="180"/>
              <w:bottom w:type="dxa" w:w="120"/>
              <w:right w:type="dxa" w:w="180"/>
            </w:tcMar>
          </w:tcPr>
          <w:p>
            <w:r>
              <w:rPr>
                <w:rFonts w:ascii="Arial" w:cs="Arial" w:eastAsia="Arial" w:hAnsi="Arial"/>
                <w:b/>
                <w:bCs/>
                <w:color w:val="1A3A6B"/>
                <w:sz w:val="22"/>
                <w:szCs w:val="22"/>
              </w:rPr>
              <w:t xml:space="preserve">USER GUIDE — ENGLISH</w:t>
            </w:r>
          </w:p>
          <w:p>
            <w:pPr>
              <w:spacing w:before="60"/>
            </w:pPr>
            <w:r>
              <w:rPr>
                <w:rFonts w:ascii="Arial" w:cs="Arial" w:eastAsia="Arial" w:hAnsi="Arial"/>
                <w:sz w:val="20"/>
                <w:szCs w:val="20"/>
              </w:rPr>
              <w:t xml:space="preserve">Categories 3, 4 and 5  |  Version 3.0</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A5C00" w:sz="8"/>
              <w:left w:val="single" w:color="7A5C00" w:sz="20"/>
              <w:bottom w:val="single" w:color="7A5C00" w:sz="8"/>
              <w:right w:val="single" w:color="7A5C00" w:sz="8"/>
            </w:tcBorders>
            <w:shd w:fill="F5F0E8" w:val="clear"/>
            <w:tcMar>
              <w:top w:type="dxa" w:w="100"/>
              <w:left w:type="dxa" w:w="160"/>
              <w:bottom w:type="dxa" w:w="100"/>
              <w:right w:type="dxa" w:w="160"/>
            </w:tcMar>
          </w:tcPr>
          <w:p>
            <w:pPr>
              <w:spacing w:after="80" w:before="0"/>
            </w:pPr>
            <w:r>
              <w:rPr>
                <w:rFonts w:ascii="Arial" w:cs="Arial" w:eastAsia="Arial" w:hAnsi="Arial"/>
                <w:b/>
                <w:bCs/>
                <w:color w:val="7A5C00"/>
                <w:sz w:val="22"/>
                <w:szCs w:val="22"/>
              </w:rPr>
              <w:t xml:space="preserve">Références Légales / Legal References</w:t>
            </w:r>
          </w:p>
          <w:p>
            <w:pPr>
              <w:spacing w:after="30" w:before="30"/>
            </w:pPr>
            <w:r>
              <w:rPr>
                <w:rFonts w:ascii="Arial" w:cs="Arial" w:eastAsia="Arial" w:hAnsi="Arial"/>
                <w:sz w:val="21"/>
                <w:szCs w:val="21"/>
              </w:rPr>
              <w:t xml:space="preserve">Décret 2016/6447/PM — Quotes-Parts du Personnel des FOSA</w:t>
            </w:r>
          </w:p>
          <w:p>
            <w:pPr>
              <w:spacing w:after="30" w:before="30"/>
            </w:pPr>
            <w:r>
              <w:rPr>
                <w:rFonts w:ascii="Arial" w:cs="Arial" w:eastAsia="Arial" w:hAnsi="Arial"/>
                <w:sz w:val="21"/>
                <w:szCs w:val="21"/>
              </w:rPr>
              <w:t xml:space="preserve">Décret 2018/366 — Passation des Marchés Publics</w:t>
            </w:r>
          </w:p>
          <w:p>
            <w:pPr>
              <w:spacing w:after="30" w:before="30"/>
            </w:pPr>
            <w:r>
              <w:rPr>
                <w:rFonts w:ascii="Arial" w:cs="Arial" w:eastAsia="Arial" w:hAnsi="Arial"/>
                <w:sz w:val="21"/>
                <w:szCs w:val="21"/>
              </w:rPr>
              <w:t xml:space="preserve">RGCP Art. 68 — Versements Décadaires Obligatoires au Trésor</w:t>
            </w:r>
          </w:p>
          <w:p>
            <w:pPr>
              <w:spacing w:after="30" w:before="30"/>
            </w:pPr>
            <w:r>
              <w:rPr>
                <w:rFonts w:ascii="Arial" w:cs="Arial" w:eastAsia="Arial" w:hAnsi="Arial"/>
                <w:sz w:val="21"/>
                <w:szCs w:val="21"/>
              </w:rPr>
              <w:t xml:space="preserve">RGCP Art. 71 — Pièces Justificatives Obligatoires</w:t>
            </w:r>
          </w:p>
          <w:p>
            <w:pPr>
              <w:spacing w:after="30" w:before="30"/>
            </w:pPr>
            <w:r>
              <w:rPr>
                <w:rFonts w:ascii="Arial" w:cs="Arial" w:eastAsia="Arial" w:hAnsi="Arial"/>
                <w:sz w:val="21"/>
                <w:szCs w:val="21"/>
              </w:rPr>
              <w:t xml:space="preserve">Circulaire MINSANTE — Rapport Mensuel à la Délégation Régionale</w:t>
            </w:r>
          </w:p>
        </w:tc>
      </w:tr>
    </w:tbl>
    <w:p/>
    <w:p>
      <w:pPr>
        <w:spacing w:before="120"/>
        <w:jc w:val="center"/>
      </w:pPr>
      <w:r>
        <w:rPr>
          <w:rFonts w:ascii="Arial" w:cs="Arial" w:eastAsia="Arial" w:hAnsi="Arial"/>
          <w:color w:val="888888"/>
          <w:sz w:val="20"/>
          <w:szCs w:val="20"/>
        </w:rPr>
        <w:t xml:space="preserve">Publié par / Published by  </w:t>
      </w:r>
      <w:r>
        <w:rPr>
          <w:rFonts w:ascii="Arial" w:cs="Arial" w:eastAsia="Arial" w:hAnsi="Arial"/>
          <w:b/>
          <w:bCs/>
          <w:color w:val="006633"/>
          <w:sz w:val="20"/>
          <w:szCs w:val="20"/>
        </w:rPr>
        <w:t xml:space="preserve">FieldHealth Africa</w:t>
      </w:r>
      <w:r>
        <w:rPr>
          <w:rFonts w:ascii="Arial" w:cs="Arial" w:eastAsia="Arial" w:hAnsi="Arial"/>
          <w:color w:val="888888"/>
          <w:sz w:val="20"/>
          <w:szCs w:val="20"/>
        </w:rPr>
        <w:t xml:space="preserve">  |  </w:t>
      </w:r>
      <w:r>
        <w:rPr>
          <w:rFonts w:ascii="Arial" w:cs="Arial" w:eastAsia="Arial" w:hAnsi="Arial"/>
          <w:b/>
          <w:bCs/>
          <w:color w:val="1A3A6B"/>
          <w:sz w:val="20"/>
          <w:szCs w:val="20"/>
        </w:rPr>
        <w:t xml:space="preserve">Dr Henry Fomukong</w:t>
      </w:r>
    </w:p>
    <w:p>
      <w:pPr>
        <w:spacing w:before="40"/>
        <w:jc w:val="center"/>
      </w:pPr>
      <w:r>
        <w:rPr>
          <w:rFonts w:ascii="Arial" w:cs="Arial" w:eastAsia="Arial" w:hAnsi="Arial"/>
          <w:i/>
          <w:iCs/>
          <w:color w:val="888888"/>
          <w:sz w:val="20"/>
          <w:szCs w:val="20"/>
        </w:rPr>
        <w:t xml:space="preserve">From data to decisions, in the field</w:t>
      </w:r>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006633" w:sz="4"/>
              <w:left w:val="single" w:color="006633" w:sz="4"/>
              <w:bottom w:val="single" w:color="006633" w:sz="4"/>
              <w:right w:val="single" w:color="006633" w:sz="4"/>
            </w:tcBorders>
            <w:shd w:fill="006633"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GUIDE UTILISATEUR — FRANÇAIS</w:t>
            </w:r>
          </w:p>
          <w:p>
            <w:pPr>
              <w:jc w:val="center"/>
            </w:pPr>
            <w:r>
              <w:rPr>
                <w:rFonts w:ascii="Arial" w:cs="Arial" w:eastAsia="Arial" w:hAnsi="Arial"/>
                <w:color w:val="FFFFFF"/>
                <w:sz w:val="22"/>
                <w:szCs w:val="22"/>
              </w:rPr>
              <w:t xml:space="preserve">Outil de Gestion Financière v3 des Recettes Propres</w:t>
            </w:r>
          </w:p>
        </w:tc>
      </w:tr>
    </w:tbl>
    <w:p/>
    <w:p>
      <w:pPr>
        <w:pStyle w:val="Heading1"/>
        <w:spacing w:after="120" w:before="360"/>
      </w:pPr>
      <w:r>
        <w:rPr>
          <w:rFonts w:ascii="Arial" w:cs="Arial" w:eastAsia="Arial" w:hAnsi="Arial"/>
          <w:b/>
          <w:bCs/>
          <w:color w:val="006633"/>
          <w:sz w:val="32"/>
          <w:szCs w:val="32"/>
        </w:rPr>
        <w:t xml:space="preserve">1. Introduction</w:t>
      </w:r>
    </w:p>
    <w:p>
      <w:pPr>
        <w:spacing w:after="80" w:before="60"/>
      </w:pPr>
      <w:r>
        <w:rPr>
          <w:rFonts w:ascii="Arial" w:cs="Arial" w:eastAsia="Arial" w:hAnsi="Arial"/>
          <w:sz w:val="22"/>
          <w:szCs w:val="22"/>
        </w:rPr>
        <w:t xml:space="preserve">L'Outil de Gestion Financière v3 des Recettes Propres est une application web autonome (fichier HTML unique) conçue pour les formations sanitaires (FOSA) de catégories 3, 4 et 5 au Cameroun. Il automatise la comptabilité des fonds internes, les calculs réglementaires, les versements décadaires au Trésor et la génération de rapports officiels conformément aux textes MINSANTE.</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06633" w:sz="8"/>
              <w:left w:val="single" w:color="006633" w:sz="20"/>
              <w:bottom w:val="single" w:color="006633" w:sz="8"/>
              <w:right w:val="single" w:color="006633" w:sz="8"/>
            </w:tcBorders>
            <w:shd w:fill="E8F5EE" w:val="clear"/>
            <w:tcMar>
              <w:top w:type="dxa" w:w="100"/>
              <w:left w:type="dxa" w:w="160"/>
              <w:bottom w:type="dxa" w:w="100"/>
              <w:right w:type="dxa" w:w="160"/>
            </w:tcMar>
          </w:tcPr>
          <w:p>
            <w:pPr>
              <w:spacing w:after="80" w:before="0"/>
            </w:pPr>
            <w:r>
              <w:rPr>
                <w:rFonts w:ascii="Arial" w:cs="Arial" w:eastAsia="Arial" w:hAnsi="Arial"/>
                <w:b/>
                <w:bCs/>
                <w:color w:val="006633"/>
                <w:sz w:val="22"/>
                <w:szCs w:val="22"/>
              </w:rPr>
              <w:t xml:space="preserve">Aucune installation requise</w:t>
            </w:r>
          </w:p>
          <w:p>
            <w:pPr>
              <w:spacing w:after="30" w:before="30"/>
            </w:pPr>
            <w:r>
              <w:rPr>
                <w:rFonts w:ascii="Arial" w:cs="Arial" w:eastAsia="Arial" w:hAnsi="Arial"/>
                <w:sz w:val="21"/>
                <w:szCs w:val="21"/>
              </w:rPr>
              <w:t xml:space="preserve">Télécharger le fichier MINSANTE_v3_GestionFinanciere.html</w:t>
            </w:r>
          </w:p>
          <w:p>
            <w:pPr>
              <w:spacing w:after="30" w:before="30"/>
            </w:pPr>
            <w:r>
              <w:rPr>
                <w:rFonts w:ascii="Arial" w:cs="Arial" w:eastAsia="Arial" w:hAnsi="Arial"/>
                <w:sz w:val="21"/>
                <w:szCs w:val="21"/>
              </w:rPr>
              <w:t xml:space="preserve">Ouvrir dans Chrome, Edge ou Firefox — connexion internet non requise</w:t>
            </w:r>
          </w:p>
          <w:p>
            <w:pPr>
              <w:spacing w:after="30" w:before="30"/>
            </w:pPr>
            <w:r>
              <w:rPr>
                <w:rFonts w:ascii="Arial" w:cs="Arial" w:eastAsia="Arial" w:hAnsi="Arial"/>
                <w:sz w:val="21"/>
                <w:szCs w:val="21"/>
              </w:rPr>
              <w:t xml:space="preserve">Toutes les données sont sauvegardées automatiquement dans le navigateur (localStorage)</w:t>
            </w:r>
          </w:p>
          <w:p>
            <w:pPr>
              <w:spacing w:after="30" w:before="30"/>
            </w:pPr>
            <w:r>
              <w:rPr>
                <w:rFonts w:ascii="Arial" w:cs="Arial" w:eastAsia="Arial" w:hAnsi="Arial"/>
                <w:sz w:val="21"/>
                <w:szCs w:val="21"/>
              </w:rPr>
              <w:t xml:space="preserve">Publié par FieldHealth Africa : www.fieldhealthafrica.org</w:t>
            </w:r>
          </w:p>
        </w:tc>
      </w:tr>
    </w:tbl>
    <w:p/>
    <w:p>
      <w:pPr>
        <w:pStyle w:val="Heading1"/>
        <w:spacing w:after="120" w:before="360"/>
      </w:pPr>
      <w:r>
        <w:rPr>
          <w:rFonts w:ascii="Arial" w:cs="Arial" w:eastAsia="Arial" w:hAnsi="Arial"/>
          <w:b/>
          <w:bCs/>
          <w:color w:val="006633"/>
          <w:sz w:val="32"/>
          <w:szCs w:val="32"/>
        </w:rPr>
        <w:t xml:space="preserve">2. Premiers Pas — Configuration</w:t>
      </w:r>
    </w:p>
    <w:p>
      <w:pPr>
        <w:pStyle w:val="Heading2"/>
        <w:spacing w:after="80" w:before="240"/>
      </w:pPr>
      <w:r>
        <w:rPr>
          <w:rFonts w:ascii="Arial" w:cs="Arial" w:eastAsia="Arial" w:hAnsi="Arial"/>
          <w:b/>
          <w:bCs/>
          <w:color w:val="1A3A6B"/>
          <w:sz w:val="26"/>
          <w:szCs w:val="26"/>
        </w:rPr>
        <w:t xml:space="preserve">2.1 Lancer l'outil</w:t>
      </w:r>
    </w:p>
    <w:p>
      <w:pPr>
        <w:spacing w:after="80" w:before="60"/>
      </w:pPr>
      <w:r>
        <w:rPr>
          <w:rFonts w:ascii="Arial" w:cs="Arial" w:eastAsia="Arial" w:hAnsi="Arial"/>
          <w:sz w:val="22"/>
          <w:szCs w:val="22"/>
        </w:rPr>
        <w:t xml:space="preserve">Au premier lancement, une fenêtre de configuration apparaît. Remplir tous les champs obligatoires (*)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Champ</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Nom de la FOSA *</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Nom complet de la formation sanitaire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Catégorie *</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Catégorie 3, 4 ou 5</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District de Santé *</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District auquel la FOSA est rattachée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Région *</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Région administrative</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Exercice financier *</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Année en cours (ex. 2025)</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Régisseur de Recettes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Nom complet du régisseur</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Directeur</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Nom complet du directeur</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Code FOSA</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Code officiel MINSANTE (ex. SW-MMF-HD-001)</w:t>
            </w:r>
          </w:p>
        </w:tc>
      </w:tr>
    </w:tbl>
    <w:p/>
    <w:p>
      <w:pPr>
        <w:spacing w:after="80" w:before="60"/>
      </w:pPr>
      <w:r>
        <w:rPr>
          <w:rFonts w:ascii="Arial" w:cs="Arial" w:eastAsia="Arial" w:hAnsi="Arial"/>
          <w:sz w:val="22"/>
          <w:szCs w:val="22"/>
        </w:rPr>
        <w:t xml:space="preserve">Cliquer sur ✅ Confirmer &amp; Commencer. La configuration est sauvegardée automatiquement.</w:t>
      </w:r>
    </w:p>
    <w:p/>
    <w:p>
      <w:pPr>
        <w:pStyle w:val="Heading2"/>
        <w:spacing w:after="80" w:before="240"/>
      </w:pPr>
      <w:r>
        <w:rPr>
          <w:rFonts w:ascii="Arial" w:cs="Arial" w:eastAsia="Arial" w:hAnsi="Arial"/>
          <w:b/>
          <w:bCs/>
          <w:color w:val="1A3A6B"/>
          <w:sz w:val="26"/>
          <w:szCs w:val="26"/>
        </w:rPr>
        <w:t xml:space="preserve">2.2 Autosauvegarde</w:t>
      </w:r>
    </w:p>
    <w:p>
      <w:pPr>
        <w:spacing w:after="80" w:before="60"/>
      </w:pPr>
      <w:r>
        <w:rPr>
          <w:rFonts w:ascii="Arial" w:cs="Arial" w:eastAsia="Arial" w:hAnsi="Arial"/>
          <w:sz w:val="22"/>
          <w:szCs w:val="22"/>
        </w:rPr>
        <w:t xml:space="preserve">L'outil sauvegarde automatiquement toutes les données à chaque modification dans le navigateur. En haut de l'écran, le statut « ✓ Auto-sauvegardé HH:MM:SS » confirme la sauvegarde. À l'ouverture suivante du fichier, toutes les données sont restaurées automatiquement.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A5C00" w:sz="8"/>
              <w:left w:val="single" w:color="7A5C00" w:sz="20"/>
              <w:bottom w:val="single" w:color="7A5C00" w:sz="8"/>
              <w:right w:val="single" w:color="7A5C00" w:sz="8"/>
            </w:tcBorders>
            <w:shd w:fill="F5F0E8" w:val="clear"/>
            <w:tcMar>
              <w:top w:type="dxa" w:w="100"/>
              <w:left w:type="dxa" w:w="160"/>
              <w:bottom w:type="dxa" w:w="100"/>
              <w:right w:type="dxa" w:w="160"/>
            </w:tcMar>
          </w:tcPr>
          <w:p>
            <w:pPr>
              <w:spacing w:after="80" w:before="0"/>
            </w:pPr>
            <w:r>
              <w:rPr>
                <w:rFonts w:ascii="Arial" w:cs="Arial" w:eastAsia="Arial" w:hAnsi="Arial"/>
                <w:b/>
                <w:bCs/>
                <w:color w:val="7A5C00"/>
                <w:sz w:val="22"/>
                <w:szCs w:val="22"/>
              </w:rPr>
              <w:t xml:space="preserve">Important — Sauvegarde JSON recommandée</w:t>
            </w:r>
          </w:p>
          <w:p>
            <w:pPr>
              <w:spacing w:after="30" w:before="30"/>
            </w:pPr>
            <w:r>
              <w:rPr>
                <w:rFonts w:ascii="Arial" w:cs="Arial" w:eastAsia="Arial" w:hAnsi="Arial"/>
                <w:sz w:val="21"/>
                <w:szCs w:val="21"/>
              </w:rPr>
              <w:t xml:space="preserve">Cliquer sur 💾 Sauvegarder JSON dans la barre d'action pour créer un fichier de sauvegarde externe.</w:t>
            </w:r>
          </w:p>
          <w:p>
            <w:pPr>
              <w:spacing w:after="30" w:before="30"/>
            </w:pPr>
            <w:r>
              <w:rPr>
                <w:rFonts w:ascii="Arial" w:cs="Arial" w:eastAsia="Arial" w:hAnsi="Arial"/>
                <w:sz w:val="21"/>
                <w:szCs w:val="21"/>
              </w:rPr>
              <w:t xml:space="preserve">Nommer le fichier de façon explicite (ex. HD_Mamfe_2025_T1.json) et le conserver dans un dossier sécurisé.</w:t>
            </w:r>
          </w:p>
          <w:p>
            <w:pPr>
              <w:spacing w:after="30" w:before="30"/>
            </w:pPr>
            <w:r>
              <w:rPr>
                <w:rFonts w:ascii="Arial" w:cs="Arial" w:eastAsia="Arial" w:hAnsi="Arial"/>
                <w:sz w:val="21"/>
                <w:szCs w:val="21"/>
              </w:rPr>
              <w:t xml:space="preserve">Pour restaurer : cliquer sur 📂 Charger JSON et sélectionner le fichier.</w:t>
            </w:r>
          </w:p>
          <w:p>
            <w:pPr>
              <w:spacing w:after="30" w:before="30"/>
            </w:pPr>
            <w:r>
              <w:rPr>
                <w:rFonts w:ascii="Arial" w:cs="Arial" w:eastAsia="Arial" w:hAnsi="Arial"/>
                <w:sz w:val="21"/>
                <w:szCs w:val="21"/>
              </w:rPr>
              <w:t xml:space="preserve">NB : Vider le cache du navigateur efface l'autosauvegarde — toujours disposer d'un JSON de secours.</w:t>
            </w:r>
          </w:p>
        </w:tc>
      </w:tr>
    </w:tbl>
    <w:p/>
    <w:p>
      <w:pPr>
        <w:pStyle w:val="Heading1"/>
        <w:spacing w:after="120" w:before="360"/>
      </w:pPr>
      <w:r>
        <w:rPr>
          <w:rFonts w:ascii="Arial" w:cs="Arial" w:eastAsia="Arial" w:hAnsi="Arial"/>
          <w:b/>
          <w:bCs/>
          <w:color w:val="006633"/>
          <w:sz w:val="32"/>
          <w:szCs w:val="32"/>
        </w:rPr>
        <w:t xml:space="preserve">3. Navigation — Les 10 Modules</w:t>
      </w:r>
    </w:p>
    <w:p>
      <w:pPr>
        <w:spacing w:after="80" w:before="60"/>
      </w:pPr>
      <w:r>
        <w:rPr>
          <w:rFonts w:ascii="Arial" w:cs="Arial" w:eastAsia="Arial" w:hAnsi="Arial"/>
          <w:sz w:val="22"/>
          <w:szCs w:val="22"/>
        </w:rPr>
        <w:t xml:space="preserve">L'outil comprend 10 onglets accessibles depuis la barre de navigation bleue :</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Onglet</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Fonction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Dashboard</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Tableau de bord — vue synthétique mensuelle et annuelle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Registres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Saisie journalière des recettes par service (12 services)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Journal de Caisse</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Enregistrement des écritures comptables + moteur de calcul officiel</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Versements Trésor</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Suivi des versements décadaires au Trésor Public</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Solidarité</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Gestion du Fonds de Solidarité BISEC (par décade)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Pharmacie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Suivi des dépôts CR Pharmacie</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Dépenses CR</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Registre des dépenses sur recouvrement des coûts</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Quotes-Parts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Paiement de la motivation du personnel</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Triangulation</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Vérification croisée sur période sélectionnée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Rapport</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Génération du rapport officiel imprimable</w:t>
            </w:r>
          </w:p>
        </w:tc>
      </w:tr>
    </w:tbl>
    <w:p/>
    <w:p>
      <w:pPr>
        <w:pStyle w:val="Heading1"/>
        <w:spacing w:after="120" w:before="360"/>
      </w:pPr>
      <w:r>
        <w:rPr>
          <w:rFonts w:ascii="Arial" w:cs="Arial" w:eastAsia="Arial" w:hAnsi="Arial"/>
          <w:b/>
          <w:bCs/>
          <w:color w:val="006633"/>
          <w:sz w:val="32"/>
          <w:szCs w:val="32"/>
        </w:rPr>
        <w:t xml:space="preserve">4. Registres — Saisie des Recettes</w:t>
      </w:r>
    </w:p>
    <w:p>
      <w:pPr>
        <w:pStyle w:val="Heading2"/>
        <w:spacing w:after="80" w:before="240"/>
      </w:pPr>
      <w:r>
        <w:rPr>
          <w:rFonts w:ascii="Arial" w:cs="Arial" w:eastAsia="Arial" w:hAnsi="Arial"/>
          <w:b/>
          <w:bCs/>
          <w:color w:val="1A3A6B"/>
          <w:sz w:val="26"/>
          <w:szCs w:val="26"/>
        </w:rPr>
        <w:t xml:space="preserve">4.1 Deux modes de saisie</w:t>
      </w:r>
    </w:p>
    <w:p>
      <w:pPr>
        <w:spacing w:after="80" w:before="60"/>
      </w:pPr>
      <w:r>
        <w:rPr>
          <w:rFonts w:ascii="Arial" w:cs="Arial" w:eastAsia="Arial" w:hAnsi="Arial"/>
          <w:sz w:val="22"/>
          <w:szCs w:val="22"/>
        </w:rPr>
        <w:t xml:space="preserve">Le module Registres offre deux modes de saisie synchronisés — toute donnée entrée dans l'un est automatiquement reflétée dans l'autre :</w:t>
      </w:r>
    </w:p>
    <w:p/>
    <w:p>
      <w:pPr>
        <w:pStyle w:val="ListParagraph"/>
        <w:numPr>
          <w:ilvl w:val="0"/>
          <w:numId w:val="2"/>
        </w:numPr>
        <w:spacing w:after="40" w:before="40"/>
        <w:ind w:left="360" w:hanging="360"/>
      </w:pPr>
      <w:r>
        <w:rPr>
          <w:rFonts w:ascii="Arial" w:cs="Arial" w:eastAsia="Arial" w:hAnsi="Arial"/>
          <w:b/>
          <w:bCs/>
          <w:sz w:val="22"/>
          <w:szCs w:val="22"/>
        </w:rPr>
        <w:t xml:space="preserve">Mode Onglets (Tab Mode) </w:t>
      </w:r>
      <w:r>
        <w:rPr>
          <w:rFonts w:ascii="Arial" w:cs="Arial" w:eastAsia="Arial" w:hAnsi="Arial"/>
          <w:sz w:val="22"/>
          <w:szCs w:val="22"/>
        </w:rPr>
        <w:t xml:space="preserve"/>
      </w:r>
    </w:p>
    <w:p>
      <w:pPr>
        <w:spacing w:after="80" w:before="60"/>
      </w:pPr>
      <w:r>
        <w:rPr>
          <w:rFonts w:ascii="Arial" w:cs="Arial" w:eastAsia="Arial" w:hAnsi="Arial"/>
          <w:sz w:val="22"/>
          <w:szCs w:val="22"/>
        </w:rPr>
        <w:t xml:space="preserve">Cliquer sur « 📋 Par Service (Onglets) ». Sélectionner l'année, le mois et le jour, puis cliquer sur Charger Jour. Chaque service (Consultations, Labo, Pharmacie, etc.) dispose d'un onglet dédié avec 4 champs : montant total (FCFA), nombre de patients/actes, reçu N° début, reçu N° fin. Cliquer sur 💾 Sauvegarder Jour après chaque journée.</w:t>
      </w:r>
    </w:p>
    <w:p>
      <w:pPr>
        <w:pStyle w:val="ListParagraph"/>
        <w:numPr>
          <w:ilvl w:val="0"/>
          <w:numId w:val="2"/>
        </w:numPr>
        <w:spacing w:after="40" w:before="40"/>
        <w:ind w:left="360" w:hanging="360"/>
      </w:pPr>
      <w:r>
        <w:rPr>
          <w:rFonts w:ascii="Arial" w:cs="Arial" w:eastAsia="Arial" w:hAnsi="Arial"/>
          <w:b/>
          <w:bCs/>
          <w:sz w:val="22"/>
          <w:szCs w:val="22"/>
        </w:rPr>
        <w:t xml:space="preserve">Mode Tableau Mensuel (Monthly Grid) </w:t>
      </w:r>
      <w:r>
        <w:rPr>
          <w:rFonts w:ascii="Arial" w:cs="Arial" w:eastAsia="Arial" w:hAnsi="Arial"/>
          <w:sz w:val="22"/>
          <w:szCs w:val="22"/>
        </w:rPr>
        <w:t xml:space="preserve"/>
      </w:r>
    </w:p>
    <w:p>
      <w:pPr>
        <w:spacing w:after="80" w:before="60"/>
      </w:pPr>
      <w:r>
        <w:rPr>
          <w:rFonts w:ascii="Arial" w:cs="Arial" w:eastAsia="Arial" w:hAnsi="Arial"/>
          <w:sz w:val="22"/>
          <w:szCs w:val="22"/>
        </w:rPr>
        <w:t xml:space="preserve">Cliquer sur « 📅 Vue Mensuelle (Tableau) ». Un tableau avec 31 lignes (jours) × 12 colonnes (services) s'affiche. Saisir directement dans les cellules — la sauvegarde est automatique à chaque modification. La ligne du jour en cours est surlignée en bleu. La ligne TOTAL en bas se recalcule en temps réel.</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A3A6B" w:sz="8"/>
              <w:left w:val="single" w:color="1A3A6B" w:sz="20"/>
              <w:bottom w:val="single" w:color="1A3A6B" w:sz="8"/>
              <w:right w:val="single" w:color="1A3A6B" w:sz="8"/>
            </w:tcBorders>
            <w:shd w:fill="EEF2FF" w:val="clear"/>
            <w:tcMar>
              <w:top w:type="dxa" w:w="100"/>
              <w:left w:type="dxa" w:w="160"/>
              <w:bottom w:type="dxa" w:w="100"/>
              <w:right w:type="dxa" w:w="160"/>
            </w:tcMar>
          </w:tcPr>
          <w:p>
            <w:pPr>
              <w:spacing w:after="80" w:before="0"/>
            </w:pPr>
            <w:r>
              <w:rPr>
                <w:rFonts w:ascii="Arial" w:cs="Arial" w:eastAsia="Arial" w:hAnsi="Arial"/>
                <w:b/>
                <w:bCs/>
                <w:color w:val="1A3A6B"/>
                <w:sz w:val="22"/>
                <w:szCs w:val="22"/>
              </w:rPr>
              <w:t xml:space="preserve">Raccourci clavier</w:t>
            </w:r>
          </w:p>
          <w:p>
            <w:pPr>
              <w:spacing w:after="30" w:before="30"/>
            </w:pPr>
            <w:r>
              <w:rPr>
                <w:rFonts w:ascii="Arial" w:cs="Arial" w:eastAsia="Arial" w:hAnsi="Arial"/>
                <w:sz w:val="21"/>
                <w:szCs w:val="21"/>
              </w:rPr>
              <w:t xml:space="preserve">Ctrl + S  →  Sauvegarde le jour en cours (mode onglets) ou exporte les données (mode tableau)</w:t>
            </w:r>
          </w:p>
        </w:tc>
      </w:tr>
    </w:tbl>
    <w:p/>
    <w:p>
      <w:pPr>
        <w:pStyle w:val="Heading2"/>
        <w:spacing w:after="80" w:before="240"/>
      </w:pPr>
      <w:r>
        <w:rPr>
          <w:rFonts w:ascii="Arial" w:cs="Arial" w:eastAsia="Arial" w:hAnsi="Arial"/>
          <w:b/>
          <w:bCs/>
          <w:color w:val="1A3A6B"/>
          <w:sz w:val="26"/>
          <w:szCs w:val="26"/>
        </w:rPr>
        <w:t xml:space="preserve">4.2 Récapitulatif mensuel &amp; décadaire</w:t>
      </w:r>
    </w:p>
    <w:p>
      <w:pPr>
        <w:spacing w:after="80" w:before="60"/>
      </w:pPr>
      <w:r>
        <w:rPr>
          <w:rFonts w:ascii="Arial" w:cs="Arial" w:eastAsia="Arial" w:hAnsi="Arial"/>
          <w:sz w:val="22"/>
          <w:szCs w:val="22"/>
        </w:rPr>
        <w:t xml:space="preserve">Sous le module de saisie, le tableau récapitulatif affiche automatiquement les totaux par service pour les 3 décades du mois (D1: 1–10, D2: 11–20, D3: 21–fin) ainsi que le total mensuel. Le panneau de calcul des 6 étapes se met à jour en temps réel.</w:t>
      </w:r>
    </w:p>
    <w:p/>
    <w:p>
      <w:pPr>
        <w:pStyle w:val="Heading2"/>
        <w:spacing w:after="80" w:before="240"/>
      </w:pPr>
      <w:r>
        <w:rPr>
          <w:rFonts w:ascii="Arial" w:cs="Arial" w:eastAsia="Arial" w:hAnsi="Arial"/>
          <w:b/>
          <w:bCs/>
          <w:color w:val="1A3A6B"/>
          <w:sz w:val="26"/>
          <w:szCs w:val="26"/>
        </w:rPr>
        <w:t xml:space="preserve">4.3 Export</w:t>
      </w:r>
    </w:p>
    <w:p>
      <w:pPr>
        <w:pStyle w:val="ListParagraph"/>
        <w:numPr>
          <w:ilvl w:val="0"/>
          <w:numId w:val="2"/>
        </w:numPr>
        <w:spacing w:after="40" w:before="40"/>
        <w:ind w:left="720" w:hanging="360"/>
      </w:pPr>
      <w:r>
        <w:rPr>
          <w:rFonts w:ascii="Arial" w:cs="Arial" w:eastAsia="Arial" w:hAnsi="Arial"/>
          <w:b/>
          <w:bCs/>
          <w:sz w:val="22"/>
          <w:szCs w:val="22"/>
        </w:rPr>
        <w:t xml:space="preserve">Fichier tableur universel (compatible Excel, LibreOffice, Numbers) </w:t>
      </w:r>
      <w:r>
        <w:rPr>
          <w:rFonts w:ascii="Arial" w:cs="Arial" w:eastAsia="Arial" w:hAnsi="Arial"/>
          <w:sz w:val="22"/>
          <w:szCs w:val="22"/>
        </w:rPr>
        <w:t xml:space="preserve">CSV →</w:t>
      </w:r>
    </w:p>
    <w:p>
      <w:pPr>
        <w:pStyle w:val="ListParagraph"/>
        <w:numPr>
          <w:ilvl w:val="0"/>
          <w:numId w:val="2"/>
        </w:numPr>
        <w:spacing w:after="40" w:before="40"/>
        <w:ind w:left="720" w:hanging="360"/>
      </w:pPr>
      <w:r>
        <w:rPr>
          <w:rFonts w:ascii="Arial" w:cs="Arial" w:eastAsia="Arial" w:hAnsi="Arial"/>
          <w:b/>
          <w:bCs/>
          <w:sz w:val="22"/>
          <w:szCs w:val="22"/>
        </w:rPr>
        <w:t xml:space="preserve">Classeur .xlsx avec en-têtes et toutes les données du mois sélectionné </w:t>
      </w:r>
      <w:r>
        <w:rPr>
          <w:rFonts w:ascii="Arial" w:cs="Arial" w:eastAsia="Arial" w:hAnsi="Arial"/>
          <w:sz w:val="22"/>
          <w:szCs w:val="22"/>
        </w:rPr>
        <w:t xml:space="preserve">Excel →</w:t>
      </w:r>
    </w:p>
    <w:p/>
    <w:p>
      <w:pPr>
        <w:pStyle w:val="Heading1"/>
        <w:spacing w:after="120" w:before="360"/>
      </w:pPr>
      <w:r>
        <w:rPr>
          <w:rFonts w:ascii="Arial" w:cs="Arial" w:eastAsia="Arial" w:hAnsi="Arial"/>
          <w:b/>
          <w:bCs/>
          <w:color w:val="006633"/>
          <w:sz w:val="32"/>
          <w:szCs w:val="32"/>
        </w:rPr>
        <w:t xml:space="preserve">5. Journal de Caisse</w:t>
      </w:r>
    </w:p>
    <w:p>
      <w:pPr>
        <w:pStyle w:val="Heading2"/>
        <w:spacing w:after="80" w:before="240"/>
      </w:pPr>
      <w:r>
        <w:rPr>
          <w:rFonts w:ascii="Arial" w:cs="Arial" w:eastAsia="Arial" w:hAnsi="Arial"/>
          <w:b/>
          <w:bCs/>
          <w:color w:val="1A3A6B"/>
          <w:sz w:val="26"/>
          <w:szCs w:val="26"/>
        </w:rPr>
        <w:t xml:space="preserve">5.1 Enregistrer une écriture</w:t>
      </w:r>
    </w:p>
    <w:p>
      <w:pPr>
        <w:spacing w:after="80" w:before="60"/>
      </w:pPr>
      <w:r>
        <w:rPr>
          <w:rFonts w:ascii="Arial" w:cs="Arial" w:eastAsia="Arial" w:hAnsi="Arial"/>
          <w:sz w:val="22"/>
          <w:szCs w:val="22"/>
        </w:rPr>
        <w:t xml:space="preserve">Pour chaque encaissement ou paiement, remplir le formulaire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Champ</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Date</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Date de l'opération (format JJ/MM/AAAA)</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Type d'opération</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Encaissement / Paiement / Correction / Virement Trésor</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Ligne de service</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Service concerné (sélectionner dans la liste ou « Autre »)</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Description/Nature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Nature de l'opération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Réf. Document</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Numéro de reçu ou bon de caisse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Montant (FCFA)</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Montant exact de l'opération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Signataire</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Nom de la personne signataire</w:t>
            </w:r>
          </w:p>
        </w:tc>
      </w:tr>
    </w:tbl>
    <w:p/>
    <w:p>
      <w:pPr>
        <w:spacing w:after="80" w:before="60"/>
      </w:pPr>
      <w:r>
        <w:rPr>
          <w:rFonts w:ascii="Arial" w:cs="Arial" w:eastAsia="Arial" w:hAnsi="Arial"/>
          <w:sz w:val="22"/>
          <w:szCs w:val="22"/>
        </w:rPr>
        <w:t xml:space="preserve">Cliquer sur ➕ Enregistrer. Les écritures sont triées automatiquement par date.</w:t>
      </w:r>
    </w:p>
    <w:p/>
    <w:p>
      <w:pPr>
        <w:pStyle w:val="Heading2"/>
        <w:spacing w:after="80" w:before="240"/>
      </w:pPr>
      <w:r>
        <w:rPr>
          <w:rFonts w:ascii="Arial" w:cs="Arial" w:eastAsia="Arial" w:hAnsi="Arial"/>
          <w:b/>
          <w:bCs/>
          <w:color w:val="1A3A6B"/>
          <w:sz w:val="26"/>
          <w:szCs w:val="26"/>
        </w:rPr>
        <w:t xml:space="preserve">5.2 Moteur de Calcul Officiel — 6 Étapes</w:t>
      </w:r>
    </w:p>
    <w:p>
      <w:pPr>
        <w:spacing w:after="80" w:before="60"/>
      </w:pPr>
      <w:r>
        <w:rPr>
          <w:rFonts w:ascii="Arial" w:cs="Arial" w:eastAsia="Arial" w:hAnsi="Arial"/>
          <w:sz w:val="22"/>
          <w:szCs w:val="22"/>
        </w:rPr>
        <w:t xml:space="preserve">Le moteur de calcul se déclenche automatiquement dès qu'une écriture est enregistrée. Il est basé sur les encaissements saisis dans le journal (pas les registres). Les 6 étapes s'affichent simultanément en bas du journal :</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1  /  ÉTAPE 1 — </w:t>
            </w:r>
            <w:r>
              <w:rPr>
                <w:rFonts w:ascii="Arial" w:cs="Arial" w:eastAsia="Arial" w:hAnsi="Arial"/>
                <w:b/>
                <w:bCs/>
                <w:color w:val="1A1A1A"/>
                <w:sz w:val="21"/>
                <w:szCs w:val="21"/>
              </w:rPr>
              <w:t xml:space="preserve">Recouvrement des Coûts (CR — ring-fenced)</w:t>
            </w:r>
          </w:p>
          <w:p>
            <w:pPr>
              <w:spacing w:after="20" w:before="20"/>
            </w:pPr>
            <w:r>
              <w:rPr>
                <w:rFonts w:ascii="Arial" w:cs="Arial" w:eastAsia="Arial" w:hAnsi="Arial"/>
                <w:sz w:val="21"/>
                <w:szCs w:val="21"/>
              </w:rPr>
              <w:t xml:space="preserve">CR Lab = Recettes Laboratoire × 50%</w:t>
            </w:r>
          </w:p>
          <w:p>
            <w:pPr>
              <w:spacing w:after="20" w:before="20"/>
            </w:pPr>
            <w:r>
              <w:rPr>
                <w:rFonts w:ascii="Arial" w:cs="Arial" w:eastAsia="Arial" w:hAnsi="Arial"/>
                <w:sz w:val="21"/>
                <w:szCs w:val="21"/>
              </w:rPr>
              <w:t xml:space="preserve">CR Echo = Recettes Échographie × 50%</w:t>
            </w:r>
          </w:p>
          <w:p>
            <w:pPr>
              <w:spacing w:after="20" w:before="20"/>
            </w:pPr>
            <w:r>
              <w:rPr>
                <w:rFonts w:ascii="Arial" w:cs="Arial" w:eastAsia="Arial" w:hAnsi="Arial"/>
                <w:sz w:val="21"/>
                <w:szCs w:val="21"/>
              </w:rPr>
              <w:t xml:space="preserve">CR Ambulance = Recettes Ambulance × 50%</w:t>
            </w:r>
          </w:p>
          <w:p>
            <w:pPr>
              <w:spacing w:after="20" w:before="20"/>
            </w:pPr>
            <w:r>
              <w:rPr>
                <w:rFonts w:ascii="Arial" w:cs="Arial" w:eastAsia="Arial" w:hAnsi="Arial"/>
                <w:sz w:val="21"/>
                <w:szCs w:val="21"/>
              </w:rPr>
              <w:t xml:space="preserve">CR Pharmacie = Recettes Pharmacie × 50%  →  Compte bancaire Pharmacie (bypasse QP/RA)</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2  /  ÉTAPE 2 — </w:t>
            </w:r>
            <w:r>
              <w:rPr>
                <w:rFonts w:ascii="Arial" w:cs="Arial" w:eastAsia="Arial" w:hAnsi="Arial"/>
                <w:b/>
                <w:bCs/>
                <w:color w:val="1A1A1A"/>
                <w:sz w:val="21"/>
                <w:szCs w:val="21"/>
              </w:rPr>
              <w:t xml:space="preserve">Total des Recettes Brutes</w:t>
            </w:r>
          </w:p>
          <w:p>
            <w:pPr>
              <w:spacing w:after="20" w:before="20"/>
            </w:pPr>
            <w:r>
              <w:rPr>
                <w:rFonts w:ascii="Arial" w:cs="Arial" w:eastAsia="Arial" w:hAnsi="Arial"/>
                <w:sz w:val="21"/>
                <w:szCs w:val="21"/>
              </w:rPr>
              <w:t xml:space="preserve">Somme de toutes les 12 lignes de services enregistrées dans le journal</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3  /  ÉTAPE 3 — </w:t>
            </w:r>
            <w:r>
              <w:rPr>
                <w:rFonts w:ascii="Arial" w:cs="Arial" w:eastAsia="Arial" w:hAnsi="Arial"/>
                <w:b/>
                <w:bCs/>
                <w:color w:val="1A1A1A"/>
                <w:sz w:val="21"/>
                <w:szCs w:val="21"/>
              </w:rPr>
              <w:t xml:space="preserve">Base de Calcul QP/RA</w:t>
            </w:r>
          </w:p>
          <w:p>
            <w:pPr>
              <w:spacing w:after="20" w:before="20"/>
            </w:pPr>
            <w:r>
              <w:rPr>
                <w:rFonts w:ascii="Arial" w:cs="Arial" w:eastAsia="Arial" w:hAnsi="Arial"/>
                <w:sz w:val="21"/>
                <w:szCs w:val="21"/>
              </w:rPr>
              <w:t xml:space="preserve">Base = Total Brut − CR Lab − CR Echo − CR Ambulance − Pharmacie TOTALE</w:t>
            </w:r>
          </w:p>
          <w:p>
            <w:pPr>
              <w:spacing w:after="20" w:before="20"/>
            </w:pPr>
            <w:r>
              <w:rPr>
                <w:rFonts w:ascii="Arial" w:cs="Arial" w:eastAsia="Arial" w:hAnsi="Arial"/>
                <w:sz w:val="21"/>
                <w:szCs w:val="21"/>
              </w:rPr>
              <w:t xml:space="preserve">ATTENTION : La totalité des recettes Pharmacie (100%) est ring-fenced — elle sort du circuit QP/RA</w:t>
            </w:r>
          </w:p>
          <w:p>
            <w:pPr>
              <w:spacing w:after="20" w:before="20"/>
            </w:pPr>
            <w:r>
              <w:rPr>
                <w:rFonts w:ascii="Arial" w:cs="Arial" w:eastAsia="Arial" w:hAnsi="Arial"/>
                <w:sz w:val="21"/>
                <w:szCs w:val="21"/>
              </w:rPr>
              <w:t xml:space="preserve">CR Pharmacie (50%) va au compte bancaire, les 50% restants restent dans la FOSA pour gestion interne</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4  /  ÉTAPE 4 — </w:t>
            </w:r>
            <w:r>
              <w:rPr>
                <w:rFonts w:ascii="Arial" w:cs="Arial" w:eastAsia="Arial" w:hAnsi="Arial"/>
                <w:b/>
                <w:bCs/>
                <w:color w:val="1A1A1A"/>
                <w:sz w:val="21"/>
                <w:szCs w:val="21"/>
              </w:rPr>
              <w:t xml:space="preserve">Répartition Brute QP / RA  (Décret 2016/6447/PM)</w:t>
            </w:r>
          </w:p>
          <w:p>
            <w:pPr>
              <w:spacing w:after="20" w:before="20"/>
            </w:pPr>
            <w:r>
              <w:rPr>
                <w:rFonts w:ascii="Arial" w:cs="Arial" w:eastAsia="Arial" w:hAnsi="Arial"/>
                <w:sz w:val="21"/>
                <w:szCs w:val="21"/>
              </w:rPr>
              <w:t xml:space="preserve">QP Brutes = Base × 30%  →  Répartition au personnel</w:t>
            </w:r>
          </w:p>
          <w:p>
            <w:pPr>
              <w:spacing w:after="20" w:before="20"/>
            </w:pPr>
            <w:r>
              <w:rPr>
                <w:rFonts w:ascii="Arial" w:cs="Arial" w:eastAsia="Arial" w:hAnsi="Arial"/>
                <w:sz w:val="21"/>
                <w:szCs w:val="21"/>
              </w:rPr>
              <w:t xml:space="preserve">RA Brutes = Base × 70%  →  Versement au Trésor Public</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5  /  ÉTAPE 5 — </w:t>
            </w:r>
            <w:r>
              <w:rPr>
                <w:rFonts w:ascii="Arial" w:cs="Arial" w:eastAsia="Arial" w:hAnsi="Arial"/>
                <w:b/>
                <w:bCs/>
                <w:color w:val="1A1A1A"/>
                <w:sz w:val="21"/>
                <w:szCs w:val="21"/>
              </w:rPr>
              <w:t xml:space="preserve">Fonds de Solidarité BISEC</w:t>
            </w:r>
          </w:p>
          <w:p>
            <w:pPr>
              <w:spacing w:after="20" w:before="20"/>
            </w:pPr>
            <w:r>
              <w:rPr>
                <w:rFonts w:ascii="Arial" w:cs="Arial" w:eastAsia="Arial" w:hAnsi="Arial"/>
                <w:sz w:val="21"/>
                <w:szCs w:val="21"/>
              </w:rPr>
              <w:t xml:space="preserve">10% des QP Brutes → Solidarité</w:t>
            </w:r>
          </w:p>
          <w:p>
            <w:pPr>
              <w:spacing w:after="20" w:before="20"/>
            </w:pPr>
            <w:r>
              <w:rPr>
                <w:rFonts w:ascii="Arial" w:cs="Arial" w:eastAsia="Arial" w:hAnsi="Arial"/>
                <w:sz w:val="21"/>
                <w:szCs w:val="21"/>
              </w:rPr>
              <w:t xml:space="preserve">10% des RA Brutes → Solidarité</w:t>
            </w:r>
          </w:p>
          <w:p>
            <w:pPr>
              <w:spacing w:after="20" w:before="20"/>
            </w:pPr>
            <w:r>
              <w:rPr>
                <w:rFonts w:ascii="Arial" w:cs="Arial" w:eastAsia="Arial" w:hAnsi="Arial"/>
                <w:sz w:val="21"/>
                <w:szCs w:val="21"/>
              </w:rPr>
              <w:t xml:space="preserve">Total Solidarité = 10% QP + 10% RA  →  Déposer à la Banque BISEC</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1A3A6B" w:sz="20"/>
              <w:bottom w:val="single" w:color="D4CFC4" w:sz="6"/>
              <w:right w:val="single" w:color="D4CFC4" w:sz="6"/>
            </w:tcBorders>
            <w:shd w:fill="EEF2FF" w:val="clear"/>
            <w:tcMar>
              <w:top w:type="dxa" w:w="100"/>
              <w:left w:type="dxa" w:w="160"/>
              <w:bottom w:type="dxa" w:w="100"/>
              <w:right w:type="dxa" w:w="160"/>
            </w:tcMar>
          </w:tcPr>
          <w:p>
            <w:pPr>
              <w:spacing w:after="60" w:before="0"/>
            </w:pPr>
            <w:r>
              <w:rPr>
                <w:rFonts w:ascii="Arial" w:cs="Arial" w:eastAsia="Arial" w:hAnsi="Arial"/>
                <w:b/>
                <w:bCs/>
                <w:color w:val="1A3A6B"/>
                <w:sz w:val="21"/>
                <w:szCs w:val="21"/>
              </w:rPr>
              <w:t xml:space="preserve">STEP 6  /  ÉTAPE 6 — </w:t>
            </w:r>
            <w:r>
              <w:rPr>
                <w:rFonts w:ascii="Arial" w:cs="Arial" w:eastAsia="Arial" w:hAnsi="Arial"/>
                <w:b/>
                <w:bCs/>
                <w:color w:val="1A1A1A"/>
                <w:sz w:val="21"/>
                <w:szCs w:val="21"/>
              </w:rPr>
              <w:t xml:space="preserve">Comptes Nets Finaux — RGCP Art. 68</w:t>
            </w:r>
          </w:p>
          <w:p>
            <w:pPr>
              <w:spacing w:after="20" w:before="20"/>
            </w:pPr>
            <w:r>
              <w:rPr>
                <w:rFonts w:ascii="Arial" w:cs="Arial" w:eastAsia="Arial" w:hAnsi="Arial"/>
                <w:sz w:val="21"/>
                <w:szCs w:val="21"/>
              </w:rPr>
              <w:t xml:space="preserve">QP Nette = QP Brutes − 10% QP  →  Distribué au personnel avec fiche de décharge signée</w:t>
            </w:r>
          </w:p>
          <w:p>
            <w:pPr>
              <w:spacing w:after="20" w:before="20"/>
            </w:pPr>
            <w:r>
              <w:rPr>
                <w:rFonts w:ascii="Arial" w:cs="Arial" w:eastAsia="Arial" w:hAnsi="Arial"/>
                <w:sz w:val="21"/>
                <w:szCs w:val="21"/>
              </w:rPr>
              <w:t xml:space="preserve">RA Nette = RA Brutes − 10% RA  →  Versé au Trésor contre quittance décadaire</w:t>
            </w:r>
          </w:p>
          <w:p>
            <w:pPr>
              <w:spacing w:after="20" w:before="20"/>
            </w:pPr>
            <w:r>
              <w:rPr>
                <w:rFonts w:ascii="Arial" w:cs="Arial" w:eastAsia="Arial" w:hAnsi="Arial"/>
                <w:sz w:val="21"/>
                <w:szCs w:val="21"/>
              </w:rPr>
              <w:t xml:space="preserve">CR Pharmacie = 50% Pharmacie  →  Déposé au compte bancaire Pharmacie</w:t>
            </w:r>
          </w:p>
        </w:tc>
      </w:tr>
    </w:tbl>
    <w:p/>
    <w:p>
      <w:pPr>
        <w:pStyle w:val="Heading1"/>
        <w:spacing w:after="120" w:before="360"/>
      </w:pPr>
      <w:r>
        <w:rPr>
          <w:rFonts w:ascii="Arial" w:cs="Arial" w:eastAsia="Arial" w:hAnsi="Arial"/>
          <w:b/>
          <w:bCs/>
          <w:color w:val="006633"/>
          <w:sz w:val="32"/>
          <w:szCs w:val="32"/>
        </w:rPr>
        <w:t xml:space="preserve">6. Versements Décadaires au Trésor</w:t>
      </w:r>
    </w:p>
    <w:p>
      <w:pPr>
        <w:spacing w:after="80" w:before="60"/>
      </w:pPr>
      <w:r>
        <w:rPr>
          <w:rFonts w:ascii="Arial" w:cs="Arial" w:eastAsia="Arial" w:hAnsi="Arial"/>
          <w:sz w:val="22"/>
          <w:szCs w:val="22"/>
        </w:rPr>
        <w:t xml:space="preserve">Conformément au RGCP Art. 68, la RA Nette doit être versée au Trésor Public en 3 fois par mois, à la fin de chaque décade. L'outil calcule automatiquement la RA Nette attendue pour chaque décade à partir des données des registres.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Décade</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Période &amp; Obligation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Décade 1 (D1)</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Jours 1 à 10 du mois — verser avant le 10</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Décade 2 (D2)</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Jours 11 à 20 du mois — verser avant le 20</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Décade 3 (D3)</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Jours 21 à fin du mois — verser avant la fin</w:t>
            </w:r>
          </w:p>
        </w:tc>
      </w:tr>
    </w:tbl>
    <w:p/>
    <w:p>
      <w:pPr>
        <w:spacing w:after="80" w:before="60"/>
      </w:pPr>
      <w:r>
        <w:rPr>
          <w:rFonts w:ascii="Arial" w:cs="Arial" w:eastAsia="Arial" w:hAnsi="Arial"/>
          <w:sz w:val="22"/>
          <w:szCs w:val="22"/>
        </w:rPr>
        <w:t xml:space="preserve">Pour chaque décade, remplir : le montant effectivement versé, le numéro de quittance du Trésor, la date du versement, le nom de la personne versant et le nom de l'agent du Trésor. Le statut (✅ Versé / ⚠️ Partiel / ❌ Non versé) se met à jour automatiquement.</w:t>
      </w:r>
    </w:p>
    <w:p/>
    <w:p>
      <w:pPr>
        <w:pStyle w:val="Heading1"/>
        <w:spacing w:after="120" w:before="360"/>
      </w:pPr>
      <w:r>
        <w:rPr>
          <w:rFonts w:ascii="Arial" w:cs="Arial" w:eastAsia="Arial" w:hAnsi="Arial"/>
          <w:b/>
          <w:bCs/>
          <w:color w:val="006633"/>
          <w:sz w:val="32"/>
          <w:szCs w:val="32"/>
        </w:rPr>
        <w:t xml:space="preserve">7. Fonds de Solidarité BISEC</w:t>
      </w:r>
    </w:p>
    <w:p>
      <w:pPr>
        <w:spacing w:after="80" w:before="60"/>
      </w:pPr>
      <w:r>
        <w:rPr>
          <w:rFonts w:ascii="Arial" w:cs="Arial" w:eastAsia="Arial" w:hAnsi="Arial"/>
          <w:sz w:val="22"/>
          <w:szCs w:val="22"/>
        </w:rPr>
        <w:t xml:space="preserve">Le Fonds de Solidarité est également géré par décade. Pour chaque décade du mois sélectionné, saisir le montant déposé, le numéro de reçu BISEC, la date et le nom du déposant. Le tableau récapitulatif annuel montre toutes les décades de l'exercice.</w:t>
      </w:r>
    </w:p>
    <w:p/>
    <w:p>
      <w:pPr>
        <w:pStyle w:val="Heading1"/>
        <w:spacing w:after="120" w:before="360"/>
      </w:pPr>
      <w:r>
        <w:rPr>
          <w:rFonts w:ascii="Arial" w:cs="Arial" w:eastAsia="Arial" w:hAnsi="Arial"/>
          <w:b/>
          <w:bCs/>
          <w:color w:val="006633"/>
          <w:sz w:val="32"/>
          <w:szCs w:val="32"/>
        </w:rPr>
        <w:t xml:space="preserve">8. Dépenses sur CR</w:t>
      </w:r>
    </w:p>
    <w:p>
      <w:pPr>
        <w:spacing w:after="80" w:before="60"/>
      </w:pPr>
      <w:r>
        <w:rPr>
          <w:rFonts w:ascii="Arial" w:cs="Arial" w:eastAsia="Arial" w:hAnsi="Arial"/>
          <w:sz w:val="22"/>
          <w:szCs w:val="22"/>
        </w:rPr>
        <w:t xml:space="preserve">Les dépenses autorisées sont financées par le CR (Lab + Echo + Ambulance — pas la Pharmacie). Pour chaque dépense :</w:t>
      </w:r>
    </w:p>
    <w:p>
      <w:pPr>
        <w:pStyle w:val="ListParagraph"/>
        <w:numPr>
          <w:ilvl w:val="0"/>
          <w:numId w:val="3"/>
        </w:numPr>
        <w:spacing w:after="40" w:before="40"/>
        <w:ind w:left="720" w:hanging="360"/>
      </w:pPr>
      <w:r>
        <w:rPr>
          <w:rFonts w:ascii="Arial" w:cs="Arial" w:eastAsia="Arial" w:hAnsi="Arial"/>
          <w:sz w:val="22"/>
          <w:szCs w:val="22"/>
        </w:rPr>
        <w:t xml:space="preserve">Cliquer sur ➕ Ajouter Dépense</w:t>
      </w:r>
    </w:p>
    <w:p>
      <w:pPr>
        <w:pStyle w:val="ListParagraph"/>
        <w:numPr>
          <w:ilvl w:val="0"/>
          <w:numId w:val="3"/>
        </w:numPr>
        <w:spacing w:after="40" w:before="40"/>
        <w:ind w:left="720" w:hanging="360"/>
      </w:pPr>
      <w:r>
        <w:rPr>
          <w:rFonts w:ascii="Arial" w:cs="Arial" w:eastAsia="Arial" w:hAnsi="Arial"/>
          <w:sz w:val="22"/>
          <w:szCs w:val="22"/>
        </w:rPr>
        <w:t xml:space="preserve">Remplir : date, catégorie, fournisseur, montant, numéro de facture, officier authorisant</w:t>
      </w:r>
    </w:p>
    <w:p>
      <w:pPr>
        <w:pStyle w:val="ListParagraph"/>
        <w:numPr>
          <w:ilvl w:val="0"/>
          <w:numId w:val="3"/>
        </w:numPr>
        <w:spacing w:after="40" w:before="40"/>
        <w:ind w:left="720" w:hanging="360"/>
      </w:pPr>
      <w:r>
        <w:rPr>
          <w:rFonts w:ascii="Arial" w:cs="Arial" w:eastAsia="Arial" w:hAnsi="Arial"/>
          <w:sz w:val="22"/>
          <w:szCs w:val="22"/>
        </w:rPr>
        <w:t xml:space="preserve">La passation (Direct / 3 Devis / Appel d'offres) est déterminée automatiquement selon le montant</w:t>
      </w:r>
    </w:p>
    <w:p>
      <w:pPr>
        <w:pStyle w:val="ListParagraph"/>
        <w:numPr>
          <w:ilvl w:val="0"/>
          <w:numId w:val="3"/>
        </w:numPr>
        <w:spacing w:after="40" w:before="40"/>
        <w:ind w:left="720" w:hanging="360"/>
      </w:pPr>
      <w:r>
        <w:rPr>
          <w:rFonts w:ascii="Arial" w:cs="Arial" w:eastAsia="Arial" w:hAnsi="Arial"/>
          <w:sz w:val="22"/>
          <w:szCs w:val="22"/>
        </w:rPr>
        <w:t xml:space="preserve">Cliquer sur 💾 Sauvegarder après les saisies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A5C00" w:sz="8"/>
              <w:left w:val="single" w:color="7A5C00" w:sz="20"/>
              <w:bottom w:val="single" w:color="7A5C00" w:sz="8"/>
              <w:right w:val="single" w:color="7A5C00" w:sz="8"/>
            </w:tcBorders>
            <w:shd w:fill="F5F0E8" w:val="clear"/>
            <w:tcMar>
              <w:top w:type="dxa" w:w="100"/>
              <w:left w:type="dxa" w:w="160"/>
              <w:bottom w:type="dxa" w:w="100"/>
              <w:right w:type="dxa" w:w="160"/>
            </w:tcMar>
          </w:tcPr>
          <w:p>
            <w:pPr>
              <w:spacing w:after="80" w:before="0"/>
            </w:pPr>
            <w:r>
              <w:rPr>
                <w:rFonts w:ascii="Arial" w:cs="Arial" w:eastAsia="Arial" w:hAnsi="Arial"/>
                <w:b/>
                <w:bCs/>
                <w:color w:val="7A5C00"/>
                <w:sz w:val="22"/>
                <w:szCs w:val="22"/>
              </w:rPr>
              <w:t xml:space="preserve">Seuils de passation (Décret 2018/366)</w:t>
            </w:r>
          </w:p>
          <w:p>
            <w:pPr>
              <w:spacing w:after="30" w:before="30"/>
            </w:pPr>
            <w:r>
              <w:rPr>
                <w:rFonts w:ascii="Arial" w:cs="Arial" w:eastAsia="Arial" w:hAnsi="Arial"/>
                <w:sz w:val="21"/>
                <w:szCs w:val="21"/>
              </w:rPr>
              <w:t xml:space="preserve">&lt; 500 000 FCFA  →  Direct (achat direct sans mise en concurrence)</w:t>
            </w:r>
          </w:p>
          <w:p>
            <w:pPr>
              <w:spacing w:after="30" w:before="30"/>
            </w:pPr>
            <w:r>
              <w:rPr>
                <w:rFonts w:ascii="Arial" w:cs="Arial" w:eastAsia="Arial" w:hAnsi="Arial"/>
                <w:sz w:val="21"/>
                <w:szCs w:val="21"/>
              </w:rPr>
              <w:t xml:space="preserve">500 000 – 5 000 000 FCFA  →  3 devis (consultation restreinte obligatoire)</w:t>
            </w:r>
          </w:p>
          <w:p>
            <w:pPr>
              <w:spacing w:after="30" w:before="30"/>
            </w:pPr>
            <w:r>
              <w:rPr>
                <w:rFonts w:ascii="Arial" w:cs="Arial" w:eastAsia="Arial" w:hAnsi="Arial"/>
                <w:sz w:val="21"/>
                <w:szCs w:val="21"/>
              </w:rPr>
              <w:t xml:space="preserve">&gt; 5 000 000 FCFA  →  Appel d'offres (procédure formelle)</w:t>
            </w:r>
          </w:p>
          <w:p>
            <w:pPr>
              <w:spacing w:after="30" w:before="30"/>
            </w:pPr>
            <w:r>
              <w:rPr>
                <w:rFonts w:ascii="Arial" w:cs="Arial" w:eastAsia="Arial" w:hAnsi="Arial"/>
                <w:sz w:val="21"/>
                <w:szCs w:val="21"/>
              </w:rPr>
              <w:t xml:space="preserve">RGCP Art. 71 : Pièces justificatives obligatoires pour toutes dépenses</w:t>
            </w:r>
          </w:p>
        </w:tc>
      </w:tr>
    </w:tbl>
    <w:p/>
    <w:p>
      <w:pPr>
        <w:pStyle w:val="Heading1"/>
        <w:spacing w:after="120" w:before="360"/>
      </w:pPr>
      <w:r>
        <w:rPr>
          <w:rFonts w:ascii="Arial" w:cs="Arial" w:eastAsia="Arial" w:hAnsi="Arial"/>
          <w:b/>
          <w:bCs/>
          <w:color w:val="006633"/>
          <w:sz w:val="32"/>
          <w:szCs w:val="32"/>
        </w:rPr>
        <w:t xml:space="preserve">9. Triangulation — Vérification Croisée</w:t>
      </w:r>
    </w:p>
    <w:p>
      <w:pPr>
        <w:spacing w:after="80" w:before="60"/>
      </w:pPr>
      <w:r>
        <w:rPr>
          <w:rFonts w:ascii="Arial" w:cs="Arial" w:eastAsia="Arial" w:hAnsi="Arial"/>
          <w:sz w:val="22"/>
          <w:szCs w:val="22"/>
        </w:rPr>
        <w:t xml:space="preserve">La triangulation effectue 6 vérifications croisées automatiques pour détecter toute discordance avant soumission officielle. Elle peut être lancée sur une période choisie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Type de Période</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Mensuel</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Vérification d'un mois unique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Plage de mois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Vérification d'une plage (ex. Janv.–Mars)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Annuel complet</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Vérification de l'exercice entier (12 mois)</w:t>
            </w:r>
          </w:p>
        </w:tc>
      </w:tr>
    </w:tbl>
    <w:p/>
    <w:p>
      <w:pPr>
        <w:spacing w:after="80" w:before="60"/>
      </w:pPr>
      <w:r>
        <w:rPr>
          <w:rFonts w:ascii="Arial" w:cs="Arial" w:eastAsia="Arial" w:hAnsi="Arial"/>
          <w:sz w:val="22"/>
          <w:szCs w:val="22"/>
        </w:rPr>
        <w:t xml:space="preserve">Les 6 vérifications effectuées :</w:t>
      </w:r>
    </w:p>
    <w:p>
      <w:pPr>
        <w:pStyle w:val="ListParagraph"/>
        <w:numPr>
          <w:ilvl w:val="0"/>
          <w:numId w:val="3"/>
        </w:numPr>
        <w:spacing w:after="40" w:before="40"/>
        <w:ind w:left="720" w:hanging="360"/>
      </w:pPr>
      <w:r>
        <w:rPr>
          <w:rFonts w:ascii="Arial" w:cs="Arial" w:eastAsia="Arial" w:hAnsi="Arial"/>
          <w:sz w:val="22"/>
          <w:szCs w:val="22"/>
        </w:rPr>
        <w:t xml:space="preserve">Recettes Registres Services  vs  Journal de Caisse</w:t>
      </w:r>
    </w:p>
    <w:p>
      <w:pPr>
        <w:pStyle w:val="ListParagraph"/>
        <w:numPr>
          <w:ilvl w:val="0"/>
          <w:numId w:val="3"/>
        </w:numPr>
        <w:spacing w:after="40" w:before="40"/>
        <w:ind w:left="720" w:hanging="360"/>
      </w:pPr>
      <w:r>
        <w:rPr>
          <w:rFonts w:ascii="Arial" w:cs="Arial" w:eastAsia="Arial" w:hAnsi="Arial"/>
          <w:sz w:val="22"/>
          <w:szCs w:val="22"/>
        </w:rPr>
        <w:t xml:space="preserve">RA Nette calculée (décades réelles)  vs  Versements Trésor</w:t>
      </w:r>
    </w:p>
    <w:p>
      <w:pPr>
        <w:pStyle w:val="ListParagraph"/>
        <w:numPr>
          <w:ilvl w:val="0"/>
          <w:numId w:val="3"/>
        </w:numPr>
        <w:spacing w:after="40" w:before="40"/>
        <w:ind w:left="720" w:hanging="360"/>
      </w:pPr>
      <w:r>
        <w:rPr>
          <w:rFonts w:ascii="Arial" w:cs="Arial" w:eastAsia="Arial" w:hAnsi="Arial"/>
          <w:sz w:val="22"/>
          <w:szCs w:val="22"/>
        </w:rPr>
        <w:t xml:space="preserve">QP Nettes calculées  vs  Montant distribué au personnel</w:t>
      </w:r>
    </w:p>
    <w:p>
      <w:pPr>
        <w:pStyle w:val="ListParagraph"/>
        <w:numPr>
          <w:ilvl w:val="0"/>
          <w:numId w:val="3"/>
        </w:numPr>
        <w:spacing w:after="40" w:before="40"/>
        <w:ind w:left="720" w:hanging="360"/>
      </w:pPr>
      <w:r>
        <w:rPr>
          <w:rFonts w:ascii="Arial" w:cs="Arial" w:eastAsia="Arial" w:hAnsi="Arial"/>
          <w:sz w:val="22"/>
          <w:szCs w:val="22"/>
        </w:rPr>
        <w:t xml:space="preserve">Fonds Solidarité calculé  vs  Dépôts BISEC (par décade)</w:t>
      </w:r>
    </w:p>
    <w:p>
      <w:pPr>
        <w:pStyle w:val="ListParagraph"/>
        <w:numPr>
          <w:ilvl w:val="0"/>
          <w:numId w:val="3"/>
        </w:numPr>
        <w:spacing w:after="40" w:before="40"/>
        <w:ind w:left="720" w:hanging="360"/>
      </w:pPr>
      <w:r>
        <w:rPr>
          <w:rFonts w:ascii="Arial" w:cs="Arial" w:eastAsia="Arial" w:hAnsi="Arial"/>
          <w:sz w:val="22"/>
          <w:szCs w:val="22"/>
        </w:rPr>
        <w:t xml:space="preserve">CR Pharmacie calculé  vs  Dépôt compte Pharmacie</w:t>
      </w:r>
    </w:p>
    <w:p>
      <w:pPr>
        <w:pStyle w:val="ListParagraph"/>
        <w:numPr>
          <w:ilvl w:val="0"/>
          <w:numId w:val="3"/>
        </w:numPr>
        <w:spacing w:after="40" w:before="40"/>
        <w:ind w:left="720" w:hanging="360"/>
      </w:pPr>
      <w:r>
        <w:rPr>
          <w:rFonts w:ascii="Arial" w:cs="Arial" w:eastAsia="Arial" w:hAnsi="Arial"/>
          <w:sz w:val="22"/>
          <w:szCs w:val="22"/>
        </w:rPr>
        <w:t xml:space="preserve">CR Disponible (Lab+Echo+Amb)  vs  Dépenses effectuées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06633" w:sz="8"/>
              <w:left w:val="single" w:color="006633" w:sz="20"/>
              <w:bottom w:val="single" w:color="006633" w:sz="8"/>
              <w:right w:val="single" w:color="006633" w:sz="8"/>
            </w:tcBorders>
            <w:shd w:fill="E8F5EE" w:val="clear"/>
            <w:tcMar>
              <w:top w:type="dxa" w:w="100"/>
              <w:left w:type="dxa" w:w="160"/>
              <w:bottom w:type="dxa" w:w="100"/>
              <w:right w:type="dxa" w:w="160"/>
            </w:tcMar>
          </w:tcPr>
          <w:p>
            <w:pPr>
              <w:spacing w:after="80" w:before="0"/>
            </w:pPr>
            <w:r>
              <w:rPr>
                <w:rFonts w:ascii="Arial" w:cs="Arial" w:eastAsia="Arial" w:hAnsi="Arial"/>
                <w:b/>
                <w:bCs/>
                <w:color w:val="006633"/>
                <w:sz w:val="22"/>
                <w:szCs w:val="22"/>
              </w:rPr>
              <w:t xml:space="preserve">Signification des statuts</w:t>
            </w:r>
          </w:p>
          <w:p>
            <w:pPr>
              <w:spacing w:after="30" w:before="30"/>
            </w:pPr>
            <w:r>
              <w:rPr>
                <w:rFonts w:ascii="Arial" w:cs="Arial" w:eastAsia="Arial" w:hAnsi="Arial"/>
                <w:sz w:val="21"/>
                <w:szCs w:val="21"/>
              </w:rPr>
              <w:t xml:space="preserve">✅ Conforme  →  Aucun écart détecté (&lt; 1 FCFA de différence)</w:t>
            </w:r>
          </w:p>
          <w:p>
            <w:pPr>
              <w:spacing w:after="30" w:before="30"/>
            </w:pPr>
            <w:r>
              <w:rPr>
                <w:rFonts w:ascii="Arial" w:cs="Arial" w:eastAsia="Arial" w:hAnsi="Arial"/>
                <w:sz w:val="21"/>
                <w:szCs w:val="21"/>
              </w:rPr>
              <w:t xml:space="preserve">⚠️ Écart  →  Discordance détectée — corriger avant soumission à l'IGF</w:t>
            </w:r>
          </w:p>
          <w:p>
            <w:pPr>
              <w:spacing w:after="30" w:before="30"/>
            </w:pPr>
            <w:r>
              <w:rPr>
                <w:rFonts w:ascii="Arial" w:cs="Arial" w:eastAsia="Arial" w:hAnsi="Arial"/>
                <w:sz w:val="21"/>
                <w:szCs w:val="21"/>
              </w:rPr>
              <w:t xml:space="preserve">CR = 0 &amp; Dépenses &gt; 0  →  Alerte spéciale : vérifier la saisie des recettes Lab/Echo/Amb</w:t>
            </w:r>
          </w:p>
        </w:tc>
      </w:tr>
    </w:tbl>
    <w:p/>
    <w:p>
      <w:pPr>
        <w:pStyle w:val="Heading1"/>
        <w:spacing w:after="120" w:before="360"/>
      </w:pPr>
      <w:r>
        <w:rPr>
          <w:rFonts w:ascii="Arial" w:cs="Arial" w:eastAsia="Arial" w:hAnsi="Arial"/>
          <w:b/>
          <w:bCs/>
          <w:color w:val="006633"/>
          <w:sz w:val="32"/>
          <w:szCs w:val="32"/>
        </w:rPr>
        <w:t xml:space="preserve">10. Rapport Officiel</w:t>
      </w:r>
    </w:p>
    <w:p>
      <w:pPr>
        <w:spacing w:after="80" w:before="60"/>
      </w:pPr>
      <w:r>
        <w:rPr>
          <w:rFonts w:ascii="Arial" w:cs="Arial" w:eastAsia="Arial" w:hAnsi="Arial"/>
          <w:sz w:val="22"/>
          <w:szCs w:val="22"/>
        </w:rPr>
        <w:t xml:space="preserve">Le rapport officiel consolide tous les modules. Sélectionner la période (mensuel, plage ou annuel) et cliquer sur 📄 Générer. Le rapport comprend :</w:t>
      </w:r>
    </w:p>
    <w:p>
      <w:pPr>
        <w:pStyle w:val="ListParagraph"/>
        <w:numPr>
          <w:ilvl w:val="0"/>
          <w:numId w:val="2"/>
        </w:numPr>
        <w:spacing w:after="40" w:before="40"/>
        <w:ind w:left="720" w:hanging="360"/>
      </w:pPr>
      <w:r>
        <w:rPr>
          <w:rFonts w:ascii="Arial" w:cs="Arial" w:eastAsia="Arial" w:hAnsi="Arial"/>
          <w:sz w:val="22"/>
          <w:szCs w:val="22"/>
        </w:rPr>
        <w:t xml:space="preserve">Informations complètes sur la FOSA et la période</w:t>
      </w:r>
    </w:p>
    <w:p>
      <w:pPr>
        <w:pStyle w:val="ListParagraph"/>
        <w:numPr>
          <w:ilvl w:val="0"/>
          <w:numId w:val="2"/>
        </w:numPr>
        <w:spacing w:after="40" w:before="40"/>
        <w:ind w:left="720" w:hanging="360"/>
      </w:pPr>
      <w:r>
        <w:rPr>
          <w:rFonts w:ascii="Arial" w:cs="Arial" w:eastAsia="Arial" w:hAnsi="Arial"/>
          <w:sz w:val="22"/>
          <w:szCs w:val="22"/>
        </w:rPr>
        <w:t xml:space="preserve">Recettes par ligne de service avec pourcentages</w:t>
      </w:r>
    </w:p>
    <w:p>
      <w:pPr>
        <w:pStyle w:val="ListParagraph"/>
        <w:numPr>
          <w:ilvl w:val="0"/>
          <w:numId w:val="2"/>
        </w:numPr>
        <w:spacing w:after="40" w:before="40"/>
        <w:ind w:left="720" w:hanging="360"/>
      </w:pPr>
      <w:r>
        <w:rPr>
          <w:rFonts w:ascii="Arial" w:cs="Arial" w:eastAsia="Arial" w:hAnsi="Arial"/>
          <w:sz w:val="22"/>
          <w:szCs w:val="22"/>
        </w:rPr>
        <w:t xml:space="preserve">Ventilation complète selon les 6 étapes de calcul</w:t>
      </w:r>
    </w:p>
    <w:p>
      <w:pPr>
        <w:pStyle w:val="ListParagraph"/>
        <w:numPr>
          <w:ilvl w:val="0"/>
          <w:numId w:val="2"/>
        </w:numPr>
        <w:spacing w:after="40" w:before="40"/>
        <w:ind w:left="720" w:hanging="360"/>
      </w:pPr>
      <w:r>
        <w:rPr>
          <w:rFonts w:ascii="Arial" w:cs="Arial" w:eastAsia="Arial" w:hAnsi="Arial"/>
          <w:sz w:val="22"/>
          <w:szCs w:val="22"/>
        </w:rPr>
        <w:t xml:space="preserve">Détail des versements décadaires au Trésor</w:t>
      </w:r>
    </w:p>
    <w:p>
      <w:pPr>
        <w:pStyle w:val="ListParagraph"/>
        <w:numPr>
          <w:ilvl w:val="0"/>
          <w:numId w:val="2"/>
        </w:numPr>
        <w:spacing w:after="40" w:before="40"/>
        <w:ind w:left="720" w:hanging="360"/>
      </w:pPr>
      <w:r>
        <w:rPr>
          <w:rFonts w:ascii="Arial" w:cs="Arial" w:eastAsia="Arial" w:hAnsi="Arial"/>
          <w:sz w:val="22"/>
          <w:szCs w:val="22"/>
        </w:rPr>
        <w:t xml:space="preserve">Paiements des Quotes-Parts</w:t>
      </w:r>
    </w:p>
    <w:p>
      <w:pPr>
        <w:pStyle w:val="ListParagraph"/>
        <w:numPr>
          <w:ilvl w:val="0"/>
          <w:numId w:val="2"/>
        </w:numPr>
        <w:spacing w:after="40" w:before="40"/>
        <w:ind w:left="720" w:hanging="360"/>
      </w:pPr>
      <w:r>
        <w:rPr>
          <w:rFonts w:ascii="Arial" w:cs="Arial" w:eastAsia="Arial" w:hAnsi="Arial"/>
          <w:sz w:val="22"/>
          <w:szCs w:val="22"/>
        </w:rPr>
        <w:t xml:space="preserve">Dépôts Solidarité BISEC par décade</w:t>
      </w:r>
    </w:p>
    <w:p>
      <w:pPr>
        <w:pStyle w:val="ListParagraph"/>
        <w:numPr>
          <w:ilvl w:val="0"/>
          <w:numId w:val="2"/>
        </w:numPr>
        <w:spacing w:after="40" w:before="40"/>
        <w:ind w:left="720" w:hanging="360"/>
      </w:pPr>
      <w:r>
        <w:rPr>
          <w:rFonts w:ascii="Arial" w:cs="Arial" w:eastAsia="Arial" w:hAnsi="Arial"/>
          <w:sz w:val="22"/>
          <w:szCs w:val="22"/>
        </w:rPr>
        <w:t xml:space="preserve">Dépôts Compte Pharmacie</w:t>
      </w:r>
    </w:p>
    <w:p>
      <w:pPr>
        <w:pStyle w:val="ListParagraph"/>
        <w:numPr>
          <w:ilvl w:val="0"/>
          <w:numId w:val="2"/>
        </w:numPr>
        <w:spacing w:after="40" w:before="40"/>
        <w:ind w:left="720" w:hanging="360"/>
      </w:pPr>
      <w:r>
        <w:rPr>
          <w:rFonts w:ascii="Arial" w:cs="Arial" w:eastAsia="Arial" w:hAnsi="Arial"/>
          <w:sz w:val="22"/>
          <w:szCs w:val="22"/>
        </w:rPr>
        <w:t xml:space="preserve">Registre des dépenses avec passation</w:t>
      </w:r>
    </w:p>
    <w:p>
      <w:pPr>
        <w:pStyle w:val="ListParagraph"/>
        <w:numPr>
          <w:ilvl w:val="0"/>
          <w:numId w:val="2"/>
        </w:numPr>
        <w:spacing w:after="40" w:before="40"/>
        <w:ind w:left="720" w:hanging="360"/>
      </w:pPr>
      <w:r>
        <w:rPr>
          <w:rFonts w:ascii="Arial" w:cs="Arial" w:eastAsia="Arial" w:hAnsi="Arial"/>
          <w:sz w:val="22"/>
          <w:szCs w:val="22"/>
        </w:rPr>
        <w:t xml:space="preserve">Résultats de triangulation consolidés</w:t>
      </w:r>
    </w:p>
    <w:p>
      <w:pPr>
        <w:pStyle w:val="ListParagraph"/>
        <w:numPr>
          <w:ilvl w:val="0"/>
          <w:numId w:val="2"/>
        </w:numPr>
        <w:spacing w:after="40" w:before="40"/>
        <w:ind w:left="720" w:hanging="360"/>
      </w:pPr>
      <w:r>
        <w:rPr>
          <w:rFonts w:ascii="Arial" w:cs="Arial" w:eastAsia="Arial" w:hAnsi="Arial"/>
          <w:sz w:val="22"/>
          <w:szCs w:val="22"/>
        </w:rPr>
        <w:t xml:space="preserve">Bloc de signatures (Régisseur, Directeur, Auditeur)</w:t>
      </w:r>
    </w:p>
    <w:p>
      <w:pPr>
        <w:pStyle w:val="ListParagraph"/>
        <w:numPr>
          <w:ilvl w:val="0"/>
          <w:numId w:val="2"/>
        </w:numPr>
        <w:spacing w:after="40" w:before="40"/>
        <w:ind w:left="720" w:hanging="360"/>
      </w:pPr>
      <w:r>
        <w:rPr>
          <w:rFonts w:ascii="Arial" w:cs="Arial" w:eastAsia="Arial" w:hAnsi="Arial"/>
          <w:sz w:val="22"/>
          <w:szCs w:val="22"/>
        </w:rPr>
        <w:t xml:space="preserve">Références légales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A3A6B" w:sz="8"/>
              <w:left w:val="single" w:color="1A3A6B" w:sz="20"/>
              <w:bottom w:val="single" w:color="1A3A6B" w:sz="8"/>
              <w:right w:val="single" w:color="1A3A6B" w:sz="8"/>
            </w:tcBorders>
            <w:shd w:fill="EEF2FF" w:val="clear"/>
            <w:tcMar>
              <w:top w:type="dxa" w:w="100"/>
              <w:left w:type="dxa" w:w="160"/>
              <w:bottom w:type="dxa" w:w="100"/>
              <w:right w:type="dxa" w:w="160"/>
            </w:tcMar>
          </w:tcPr>
          <w:p>
            <w:pPr>
              <w:spacing w:after="80" w:before="0"/>
            </w:pPr>
            <w:r>
              <w:rPr>
                <w:rFonts w:ascii="Arial" w:cs="Arial" w:eastAsia="Arial" w:hAnsi="Arial"/>
                <w:b/>
                <w:bCs/>
                <w:color w:val="1A3A6B"/>
                <w:sz w:val="22"/>
                <w:szCs w:val="22"/>
              </w:rPr>
              <w:t xml:space="preserve">Impression</w:t>
            </w:r>
          </w:p>
          <w:p>
            <w:pPr>
              <w:spacing w:after="30" w:before="30"/>
            </w:pPr>
            <w:r>
              <w:rPr>
                <w:rFonts w:ascii="Arial" w:cs="Arial" w:eastAsia="Arial" w:hAnsi="Arial"/>
                <w:sz w:val="21"/>
                <w:szCs w:val="21"/>
              </w:rPr>
              <w:t xml:space="preserve">Cliquer sur 🖨️ Imprimer dans la barre d'action.</w:t>
            </w:r>
          </w:p>
          <w:p>
            <w:pPr>
              <w:spacing w:after="30" w:before="30"/>
            </w:pPr>
            <w:r>
              <w:rPr>
                <w:rFonts w:ascii="Arial" w:cs="Arial" w:eastAsia="Arial" w:hAnsi="Arial"/>
                <w:sz w:val="21"/>
                <w:szCs w:val="21"/>
              </w:rPr>
              <w:t xml:space="preserve">UNIQUEMENT le rapport généré est imprimé — l'interface de saisie n'est pas imprimée.</w:t>
            </w:r>
          </w:p>
          <w:p>
            <w:pPr>
              <w:spacing w:after="30" w:before="30"/>
            </w:pPr>
            <w:r>
              <w:rPr>
                <w:rFonts w:ascii="Arial" w:cs="Arial" w:eastAsia="Arial" w:hAnsi="Arial"/>
                <w:sz w:val="21"/>
                <w:szCs w:val="21"/>
              </w:rPr>
              <w:t xml:space="preserve">Format recommandé : A4, marges 12mm, portrait.</w:t>
            </w:r>
          </w:p>
          <w:p>
            <w:pPr>
              <w:spacing w:after="30" w:before="30"/>
            </w:pPr>
            <w:r>
              <w:rPr>
                <w:rFonts w:ascii="Arial" w:cs="Arial" w:eastAsia="Arial" w:hAnsi="Arial"/>
                <w:sz w:val="21"/>
                <w:szCs w:val="21"/>
              </w:rPr>
              <w:t xml:space="preserve">Le rapport est également disponible en PDF via « Enregistrer comme PDF » dans la boîte de dialogue impression.</w:t>
            </w:r>
          </w:p>
        </w:tc>
      </w:tr>
    </w:tbl>
    <w:p/>
    <w:p>
      <w:pPr>
        <w:pStyle w:val="Heading1"/>
        <w:spacing w:after="120" w:before="360"/>
      </w:pPr>
      <w:r>
        <w:rPr>
          <w:rFonts w:ascii="Arial" w:cs="Arial" w:eastAsia="Arial" w:hAnsi="Arial"/>
          <w:b/>
          <w:bCs/>
          <w:color w:val="006633"/>
          <w:sz w:val="32"/>
          <w:szCs w:val="32"/>
        </w:rPr>
        <w:t xml:space="preserve">11. Export des Données</w:t>
      </w:r>
    </w:p>
    <w:p>
      <w:pPr>
        <w:spacing w:after="80" w:before="60"/>
      </w:pPr>
      <w:r>
        <w:rPr>
          <w:rFonts w:ascii="Arial" w:cs="Arial" w:eastAsia="Arial" w:hAnsi="Arial"/>
          <w:sz w:val="22"/>
          <w:szCs w:val="22"/>
        </w:rPr>
        <w:t xml:space="preserve">Chaque module dispose de boutons d'export CSV et Excel (xlsx). Le bouton 📤 Exporter Tout (Excel) dans la barre d'action génère un classeur Excel multi-feuilles couvrant l'exercice entier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Feuille Excel</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Contenu</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Registres Annuels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Totaux mensuels par service pour les 12 mois</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Trésor</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Tous les versements décadaires avec quittances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Solidarité</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Tous les dépôts BISEC par décade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Pharmacie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Tous les dépôts CR Pharmacie</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Quotes-Parts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Tous les paiements QP avec références</w:t>
            </w:r>
          </w:p>
        </w:tc>
      </w:tr>
    </w:tbl>
    <w:p/>
    <w:p>
      <w:pPr>
        <w:pStyle w:val="Heading1"/>
        <w:spacing w:after="120" w:before="360"/>
      </w:pPr>
      <w:r>
        <w:rPr>
          <w:rFonts w:ascii="Arial" w:cs="Arial" w:eastAsia="Arial" w:hAnsi="Arial"/>
          <w:b/>
          <w:bCs/>
          <w:color w:val="006633"/>
          <w:sz w:val="32"/>
          <w:szCs w:val="32"/>
        </w:rPr>
        <w:t xml:space="preserve">12. Résolution des Problèmes Courants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Problème</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Les données ont disparu</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Vérifier que l'autosauvegarde est active (barre du haut). Charger un JSON de sauvegarde si disponible. NB : vider le cache efface les données.</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Calculs semblent incorrects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Vérifier la catégorie de la FOSA (Modifier FOSA). Les taux sont appliqués selon la catégorie. Vérifier que toutes les recettes sont saisies dans le Journal de Caisse.</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Triangulation montre des écarts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Comparer les totaux Registres vs Journal de Caisse service par service. Vérifier les dépôts manquants dans Trésor/Solidarité/Pharmacie.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L'export Excel ne fonctionne pas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Utiliser Chrome ou Edge. Firefox peut bloquer les téléchargements. Vérifier les paramètres de téléchargement du navigateur.</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Le rapport imprime tout l'outil</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Cliquer sur 📄 Générer d'abord pour générer le rapport, puis sur 🖨️ Imprimer. Ne jamais imprimer depuis un autre onglet actif.</w:t>
            </w:r>
          </w:p>
        </w:tc>
      </w:tr>
    </w:tbl>
    <w:p/>
    <w:p>
      <w:r>
        <w:br w:type="pag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1A3A6B" w:sz="4"/>
              <w:left w:val="single" w:color="1A3A6B" w:sz="4"/>
              <w:bottom w:val="single" w:color="1A3A6B" w:sz="4"/>
              <w:right w:val="single" w:color="1A3A6B" w:sz="4"/>
            </w:tcBorders>
            <w:shd w:fill="1A3A6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USER GUIDE — ENGLISH</w:t>
            </w:r>
          </w:p>
          <w:p>
            <w:pPr>
              <w:jc w:val="center"/>
            </w:pPr>
            <w:r>
              <w:rPr>
                <w:rFonts w:ascii="Arial" w:cs="Arial" w:eastAsia="Arial" w:hAnsi="Arial"/>
                <w:color w:val="FFFFFF"/>
                <w:sz w:val="22"/>
                <w:szCs w:val="22"/>
              </w:rPr>
              <w:t xml:space="preserve">Financial Management Tool v3 — Internally Generated Funds</w:t>
            </w:r>
          </w:p>
        </w:tc>
      </w:tr>
    </w:tbl>
    <w:p/>
    <w:p>
      <w:pPr>
        <w:pStyle w:val="Heading1"/>
        <w:spacing w:after="120" w:before="360"/>
      </w:pPr>
      <w:r>
        <w:rPr>
          <w:rFonts w:ascii="Arial" w:cs="Arial" w:eastAsia="Arial" w:hAnsi="Arial"/>
          <w:b/>
          <w:bCs/>
          <w:color w:val="1A3A6B"/>
          <w:sz w:val="32"/>
          <w:szCs w:val="32"/>
        </w:rPr>
        <w:t xml:space="preserve">1. Introduction</w:t>
      </w:r>
    </w:p>
    <w:p>
      <w:pPr>
        <w:spacing w:after="80" w:before="60"/>
      </w:pPr>
      <w:r>
        <w:rPr>
          <w:rFonts w:ascii="Arial" w:cs="Arial" w:eastAsia="Arial" w:hAnsi="Arial"/>
          <w:sz w:val="22"/>
          <w:szCs w:val="22"/>
        </w:rPr>
        <w:t xml:space="preserve">The Financial Management Tool v3 for Internally Generated Funds is a standalone web application (single HTML file) designed for health facilities (FOSA) of categories 3, 4 and 5 in Cameroon. It automates internal fund accounting, regulatory calculations, decade-based treasury deposits, and official report generation in compliance with MINSANTE regulations.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A3A6B" w:sz="8"/>
              <w:left w:val="single" w:color="1A3A6B" w:sz="20"/>
              <w:bottom w:val="single" w:color="1A3A6B" w:sz="8"/>
              <w:right w:val="single" w:color="1A3A6B" w:sz="8"/>
            </w:tcBorders>
            <w:shd w:fill="EEF2FF" w:val="clear"/>
            <w:tcMar>
              <w:top w:type="dxa" w:w="100"/>
              <w:left w:type="dxa" w:w="160"/>
              <w:bottom w:type="dxa" w:w="100"/>
              <w:right w:type="dxa" w:w="160"/>
            </w:tcMar>
          </w:tcPr>
          <w:p>
            <w:pPr>
              <w:spacing w:after="80" w:before="0"/>
            </w:pPr>
            <w:r>
              <w:rPr>
                <w:rFonts w:ascii="Arial" w:cs="Arial" w:eastAsia="Arial" w:hAnsi="Arial"/>
                <w:b/>
                <w:bCs/>
                <w:color w:val="1A3A6B"/>
                <w:sz w:val="22"/>
                <w:szCs w:val="22"/>
              </w:rPr>
              <w:t xml:space="preserve">No installation required</w:t>
            </w:r>
          </w:p>
          <w:p>
            <w:pPr>
              <w:spacing w:after="30" w:before="30"/>
            </w:pPr>
            <w:r>
              <w:rPr>
                <w:rFonts w:ascii="Arial" w:cs="Arial" w:eastAsia="Arial" w:hAnsi="Arial"/>
                <w:sz w:val="21"/>
                <w:szCs w:val="21"/>
              </w:rPr>
              <w:t xml:space="preserve">Download the file MINSANTE_v3_GestionFinanciere.html</w:t>
            </w:r>
          </w:p>
          <w:p>
            <w:pPr>
              <w:spacing w:after="30" w:before="30"/>
            </w:pPr>
            <w:r>
              <w:rPr>
                <w:rFonts w:ascii="Arial" w:cs="Arial" w:eastAsia="Arial" w:hAnsi="Arial"/>
                <w:sz w:val="21"/>
                <w:szCs w:val="21"/>
              </w:rPr>
              <w:t xml:space="preserve">Open in Chrome, Edge or Firefox — internet connection not required</w:t>
            </w:r>
          </w:p>
          <w:p>
            <w:pPr>
              <w:spacing w:after="30" w:before="30"/>
            </w:pPr>
            <w:r>
              <w:rPr>
                <w:rFonts w:ascii="Arial" w:cs="Arial" w:eastAsia="Arial" w:hAnsi="Arial"/>
                <w:sz w:val="21"/>
                <w:szCs w:val="21"/>
              </w:rPr>
              <w:t xml:space="preserve">All data is automatically saved in the browser (localStorage)</w:t>
            </w:r>
          </w:p>
          <w:p>
            <w:pPr>
              <w:spacing w:after="30" w:before="30"/>
            </w:pPr>
            <w:r>
              <w:rPr>
                <w:rFonts w:ascii="Arial" w:cs="Arial" w:eastAsia="Arial" w:hAnsi="Arial"/>
                <w:sz w:val="21"/>
                <w:szCs w:val="21"/>
              </w:rPr>
              <w:t xml:space="preserve">Published by FieldHealth Africa : www.fieldhealthafrica.org</w:t>
            </w:r>
          </w:p>
        </w:tc>
      </w:tr>
    </w:tbl>
    <w:p/>
    <w:p>
      <w:pPr>
        <w:pStyle w:val="Heading1"/>
        <w:spacing w:after="120" w:before="360"/>
      </w:pPr>
      <w:r>
        <w:rPr>
          <w:rFonts w:ascii="Arial" w:cs="Arial" w:eastAsia="Arial" w:hAnsi="Arial"/>
          <w:b/>
          <w:bCs/>
          <w:color w:val="1A3A6B"/>
          <w:sz w:val="32"/>
          <w:szCs w:val="32"/>
        </w:rPr>
        <w:t xml:space="preserve">2. Getting Started — Setup</w:t>
      </w:r>
    </w:p>
    <w:p>
      <w:pPr>
        <w:pStyle w:val="Heading2"/>
        <w:spacing w:after="80" w:before="240"/>
      </w:pPr>
      <w:r>
        <w:rPr>
          <w:rFonts w:ascii="Arial" w:cs="Arial" w:eastAsia="Arial" w:hAnsi="Arial"/>
          <w:b/>
          <w:bCs/>
          <w:color w:val="1A3A6B"/>
          <w:sz w:val="26"/>
          <w:szCs w:val="26"/>
        </w:rPr>
        <w:t xml:space="preserve">2.1 Launching the tool</w:t>
      </w:r>
    </w:p>
    <w:p>
      <w:pPr>
        <w:spacing w:after="80" w:before="60"/>
      </w:pPr>
      <w:r>
        <w:rPr>
          <w:rFonts w:ascii="Arial" w:cs="Arial" w:eastAsia="Arial" w:hAnsi="Arial"/>
          <w:sz w:val="22"/>
          <w:szCs w:val="22"/>
        </w:rPr>
        <w:t xml:space="preserve">On first launch, a setup window appears. Fill in all mandatory fields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Health Facility Name *</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Full name of the health facility</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Category *</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Category 3, 4 or 5</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Health District *</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District the facility belongs to</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Region *</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Administrative region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Financial Year *</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Current year (e.g. 2025)</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Revenue Registrar</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Full name of the revenue registrar</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Director</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Full name of the facility director</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FOSA Code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Official MINSANTE code (e.g. SW-MMF-HD-001)</w:t>
            </w:r>
          </w:p>
        </w:tc>
      </w:tr>
    </w:tbl>
    <w:p/>
    <w:p>
      <w:pPr>
        <w:spacing w:after="80" w:before="60"/>
      </w:pPr>
      <w:r>
        <w:rPr>
          <w:rFonts w:ascii="Arial" w:cs="Arial" w:eastAsia="Arial" w:hAnsi="Arial"/>
          <w:sz w:val="22"/>
          <w:szCs w:val="22"/>
        </w:rPr>
        <w:t xml:space="preserve">Click ✅ Confirm &amp; Start. The configuration is saved automatically.</w:t>
      </w:r>
    </w:p>
    <w:p/>
    <w:p>
      <w:pPr>
        <w:pStyle w:val="Heading2"/>
        <w:spacing w:after="80" w:before="240"/>
      </w:pPr>
      <w:r>
        <w:rPr>
          <w:rFonts w:ascii="Arial" w:cs="Arial" w:eastAsia="Arial" w:hAnsi="Arial"/>
          <w:b/>
          <w:bCs/>
          <w:color w:val="1A3A6B"/>
          <w:sz w:val="26"/>
          <w:szCs w:val="26"/>
        </w:rPr>
        <w:t xml:space="preserve">2.2 Autosave</w:t>
      </w:r>
    </w:p>
    <w:p>
      <w:pPr>
        <w:spacing w:after="80" w:before="60"/>
      </w:pPr>
      <w:r>
        <w:rPr>
          <w:rFonts w:ascii="Arial" w:cs="Arial" w:eastAsia="Arial" w:hAnsi="Arial"/>
          <w:sz w:val="22"/>
          <w:szCs w:val="22"/>
        </w:rPr>
        <w:t xml:space="preserve">The tool automatically saves all data on every change in the browser. At the top of the screen, the status "✓ Auto-saved HH:MM:SS" confirms saving. On the next opening of the file, all data is automatically restored.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A5C00" w:sz="8"/>
              <w:left w:val="single" w:color="7A5C00" w:sz="20"/>
              <w:bottom w:val="single" w:color="7A5C00" w:sz="8"/>
              <w:right w:val="single" w:color="7A5C00" w:sz="8"/>
            </w:tcBorders>
            <w:shd w:fill="F5F0E8" w:val="clear"/>
            <w:tcMar>
              <w:top w:type="dxa" w:w="100"/>
              <w:left w:type="dxa" w:w="160"/>
              <w:bottom w:type="dxa" w:w="100"/>
              <w:right w:type="dxa" w:w="160"/>
            </w:tcMar>
          </w:tcPr>
          <w:p>
            <w:pPr>
              <w:spacing w:after="80" w:before="0"/>
            </w:pPr>
            <w:r>
              <w:rPr>
                <w:rFonts w:ascii="Arial" w:cs="Arial" w:eastAsia="Arial" w:hAnsi="Arial"/>
                <w:b/>
                <w:bCs/>
                <w:color w:val="7A5C00"/>
                <w:sz w:val="22"/>
                <w:szCs w:val="22"/>
              </w:rPr>
              <w:t xml:space="preserve">Important — JSON backup recommended</w:t>
            </w:r>
          </w:p>
          <w:p>
            <w:pPr>
              <w:spacing w:after="30" w:before="30"/>
            </w:pPr>
            <w:r>
              <w:rPr>
                <w:rFonts w:ascii="Arial" w:cs="Arial" w:eastAsia="Arial" w:hAnsi="Arial"/>
                <w:sz w:val="21"/>
                <w:szCs w:val="21"/>
              </w:rPr>
              <w:t xml:space="preserve">Click 💾 Save JSON in the action bar to create an external backup file.</w:t>
            </w:r>
          </w:p>
          <w:p>
            <w:pPr>
              <w:spacing w:after="30" w:before="30"/>
            </w:pPr>
            <w:r>
              <w:rPr>
                <w:rFonts w:ascii="Arial" w:cs="Arial" w:eastAsia="Arial" w:hAnsi="Arial"/>
                <w:sz w:val="21"/>
                <w:szCs w:val="21"/>
              </w:rPr>
              <w:t xml:space="preserve">Name the file explicitly (e.g. HD_Mamfe_2025_Q1.json) and store it in a secure folder.</w:t>
            </w:r>
          </w:p>
          <w:p>
            <w:pPr>
              <w:spacing w:after="30" w:before="30"/>
            </w:pPr>
            <w:r>
              <w:rPr>
                <w:rFonts w:ascii="Arial" w:cs="Arial" w:eastAsia="Arial" w:hAnsi="Arial"/>
                <w:sz w:val="21"/>
                <w:szCs w:val="21"/>
              </w:rPr>
              <w:t xml:space="preserve">To restore: click 📂 Load JSON and select the file.</w:t>
            </w:r>
          </w:p>
          <w:p>
            <w:pPr>
              <w:spacing w:after="30" w:before="30"/>
            </w:pPr>
            <w:r>
              <w:rPr>
                <w:rFonts w:ascii="Arial" w:cs="Arial" w:eastAsia="Arial" w:hAnsi="Arial"/>
                <w:sz w:val="21"/>
                <w:szCs w:val="21"/>
              </w:rPr>
              <w:t xml:space="preserve">Note: Clearing the browser cache deletes the autosave — always keep a JSON backup.</w:t>
            </w:r>
          </w:p>
        </w:tc>
      </w:tr>
    </w:tbl>
    <w:p/>
    <w:p>
      <w:pPr>
        <w:pStyle w:val="Heading1"/>
        <w:spacing w:after="120" w:before="360"/>
      </w:pPr>
      <w:r>
        <w:rPr>
          <w:rFonts w:ascii="Arial" w:cs="Arial" w:eastAsia="Arial" w:hAnsi="Arial"/>
          <w:b/>
          <w:bCs/>
          <w:color w:val="1A3A6B"/>
          <w:sz w:val="32"/>
          <w:szCs w:val="32"/>
        </w:rPr>
        <w:t xml:space="preserve">3. Navigation — The 10 Modules</w:t>
      </w:r>
    </w:p>
    <w:p>
      <w:pPr>
        <w:spacing w:after="80" w:before="60"/>
      </w:pPr>
      <w:r>
        <w:rPr>
          <w:rFonts w:ascii="Arial" w:cs="Arial" w:eastAsia="Arial" w:hAnsi="Arial"/>
          <w:sz w:val="22"/>
          <w:szCs w:val="22"/>
        </w:rPr>
        <w:t xml:space="preserve">The tool has 10 tabs accessible from the blue navigation bar:</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Tab</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Function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Dashboard</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Summary view — monthly and annual overview</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Registers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Daily revenue entry by service (12 services)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Cash Journal</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Accounting entries + official 6-step calculation engine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Treasury Deposits</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Tracking of decade-based deposits to the Treasury</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Solidarity</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BISEC Solidarity Fund management (per decade)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Pharmacy</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CR Pharmacy deposit tracking</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CR Expenditures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Cost Recovery expenditure register</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Staff Motivation</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Quotes-Parts staff payment tracking</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 Triangulation</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Cross-verification over selected period</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 Report</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Official printable report generation</w:t>
            </w:r>
          </w:p>
        </w:tc>
      </w:tr>
    </w:tbl>
    <w:p/>
    <w:p>
      <w:pPr>
        <w:pStyle w:val="Heading1"/>
        <w:spacing w:after="120" w:before="360"/>
      </w:pPr>
      <w:r>
        <w:rPr>
          <w:rFonts w:ascii="Arial" w:cs="Arial" w:eastAsia="Arial" w:hAnsi="Arial"/>
          <w:b/>
          <w:bCs/>
          <w:color w:val="1A3A6B"/>
          <w:sz w:val="32"/>
          <w:szCs w:val="32"/>
        </w:rPr>
        <w:t xml:space="preserve">4. Registers — Revenue Entry</w:t>
      </w:r>
    </w:p>
    <w:p>
      <w:pPr>
        <w:pStyle w:val="Heading2"/>
        <w:spacing w:after="80" w:before="240"/>
      </w:pPr>
      <w:r>
        <w:rPr>
          <w:rFonts w:ascii="Arial" w:cs="Arial" w:eastAsia="Arial" w:hAnsi="Arial"/>
          <w:b/>
          <w:bCs/>
          <w:color w:val="1A3A6B"/>
          <w:sz w:val="26"/>
          <w:szCs w:val="26"/>
        </w:rPr>
        <w:t xml:space="preserve">4.1 Two entry modes</w:t>
      </w:r>
    </w:p>
    <w:p>
      <w:pPr>
        <w:spacing w:after="80" w:before="60"/>
      </w:pPr>
      <w:r>
        <w:rPr>
          <w:rFonts w:ascii="Arial" w:cs="Arial" w:eastAsia="Arial" w:hAnsi="Arial"/>
          <w:sz w:val="22"/>
          <w:szCs w:val="22"/>
        </w:rPr>
        <w:t xml:space="preserve">The Registers module offers two synchronised data entry modes — data entered in one is automatically reflected in the other:</w:t>
      </w:r>
    </w:p>
    <w:p/>
    <w:p>
      <w:pPr>
        <w:pStyle w:val="ListParagraph"/>
        <w:numPr>
          <w:ilvl w:val="0"/>
          <w:numId w:val="2"/>
        </w:numPr>
        <w:spacing w:after="40" w:before="40"/>
        <w:ind w:left="360" w:hanging="360"/>
      </w:pPr>
      <w:r>
        <w:rPr>
          <w:rFonts w:ascii="Arial" w:cs="Arial" w:eastAsia="Arial" w:hAnsi="Arial"/>
          <w:b/>
          <w:bCs/>
          <w:sz w:val="22"/>
          <w:szCs w:val="22"/>
        </w:rPr>
        <w:t xml:space="preserve">Tab Mode (Service-by-Service) </w:t>
      </w:r>
      <w:r>
        <w:rPr>
          <w:rFonts w:ascii="Arial" w:cs="Arial" w:eastAsia="Arial" w:hAnsi="Arial"/>
          <w:sz w:val="22"/>
          <w:szCs w:val="22"/>
        </w:rPr>
        <w:t xml:space="preserve"/>
      </w:r>
    </w:p>
    <w:p>
      <w:pPr>
        <w:spacing w:after="80" w:before="60"/>
      </w:pPr>
      <w:r>
        <w:rPr>
          <w:rFonts w:ascii="Arial" w:cs="Arial" w:eastAsia="Arial" w:hAnsi="Arial"/>
          <w:sz w:val="22"/>
          <w:szCs w:val="22"/>
        </w:rPr>
        <w:t xml:space="preserve">Click "📋 Per Service (Tabs)". Select year, month and day, then click Load Day. Each service (Consultations, Lab, Pharmacy, etc.) has its own tab with 4 fields: total amount (FCFA), number of patients/acts, receipt number start, receipt number end. Click 💾 Save Day after each day.</w:t>
      </w:r>
    </w:p>
    <w:p>
      <w:pPr>
        <w:pStyle w:val="ListParagraph"/>
        <w:numPr>
          <w:ilvl w:val="0"/>
          <w:numId w:val="2"/>
        </w:numPr>
        <w:spacing w:after="40" w:before="40"/>
        <w:ind w:left="360" w:hanging="360"/>
      </w:pPr>
      <w:r>
        <w:rPr>
          <w:rFonts w:ascii="Arial" w:cs="Arial" w:eastAsia="Arial" w:hAnsi="Arial"/>
          <w:b/>
          <w:bCs/>
          <w:sz w:val="22"/>
          <w:szCs w:val="22"/>
        </w:rPr>
        <w:t xml:space="preserve">Monthly Grid Mode </w:t>
      </w:r>
      <w:r>
        <w:rPr>
          <w:rFonts w:ascii="Arial" w:cs="Arial" w:eastAsia="Arial" w:hAnsi="Arial"/>
          <w:sz w:val="22"/>
          <w:szCs w:val="22"/>
        </w:rPr>
        <w:t xml:space="preserve"/>
      </w:r>
    </w:p>
    <w:p>
      <w:pPr>
        <w:spacing w:after="80" w:before="60"/>
      </w:pPr>
      <w:r>
        <w:rPr>
          <w:rFonts w:ascii="Arial" w:cs="Arial" w:eastAsia="Arial" w:hAnsi="Arial"/>
          <w:sz w:val="22"/>
          <w:szCs w:val="22"/>
        </w:rPr>
        <w:t xml:space="preserve">Click "📅 Monthly View (Table)". A grid with 31 rows (days) × 12 columns (services) is displayed. Type directly into cells — saving is automatic on each change. The current day row is highlighted in blue. The TOTAL row at the bottom recalculates in real time.</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A3A6B" w:sz="8"/>
              <w:left w:val="single" w:color="1A3A6B" w:sz="20"/>
              <w:bottom w:val="single" w:color="1A3A6B" w:sz="8"/>
              <w:right w:val="single" w:color="1A3A6B" w:sz="8"/>
            </w:tcBorders>
            <w:shd w:fill="EEF2FF" w:val="clear"/>
            <w:tcMar>
              <w:top w:type="dxa" w:w="100"/>
              <w:left w:type="dxa" w:w="160"/>
              <w:bottom w:type="dxa" w:w="100"/>
              <w:right w:type="dxa" w:w="160"/>
            </w:tcMar>
          </w:tcPr>
          <w:p>
            <w:pPr>
              <w:spacing w:after="80" w:before="0"/>
            </w:pPr>
            <w:r>
              <w:rPr>
                <w:rFonts w:ascii="Arial" w:cs="Arial" w:eastAsia="Arial" w:hAnsi="Arial"/>
                <w:b/>
                <w:bCs/>
                <w:color w:val="1A3A6B"/>
                <w:sz w:val="22"/>
                <w:szCs w:val="22"/>
              </w:rPr>
              <w:t xml:space="preserve">Keyboard shortcut</w:t>
            </w:r>
          </w:p>
          <w:p>
            <w:pPr>
              <w:spacing w:after="30" w:before="30"/>
            </w:pPr>
            <w:r>
              <w:rPr>
                <w:rFonts w:ascii="Arial" w:cs="Arial" w:eastAsia="Arial" w:hAnsi="Arial"/>
                <w:sz w:val="21"/>
                <w:szCs w:val="21"/>
              </w:rPr>
              <w:t xml:space="preserve">Ctrl + S  →  Saves the current day (tab mode) or exports data (grid mode)</w:t>
            </w:r>
          </w:p>
        </w:tc>
      </w:tr>
    </w:tbl>
    <w:p/>
    <w:p>
      <w:pPr>
        <w:pStyle w:val="Heading2"/>
        <w:spacing w:after="80" w:before="240"/>
      </w:pPr>
      <w:r>
        <w:rPr>
          <w:rFonts w:ascii="Arial" w:cs="Arial" w:eastAsia="Arial" w:hAnsi="Arial"/>
          <w:b/>
          <w:bCs/>
          <w:color w:val="1A3A6B"/>
          <w:sz w:val="26"/>
          <w:szCs w:val="26"/>
        </w:rPr>
        <w:t xml:space="preserve">4.2 Monthly &amp; decadal summary</w:t>
      </w:r>
    </w:p>
    <w:p>
      <w:pPr>
        <w:spacing w:after="80" w:before="60"/>
      </w:pPr>
      <w:r>
        <w:rPr>
          <w:rFonts w:ascii="Arial" w:cs="Arial" w:eastAsia="Arial" w:hAnsi="Arial"/>
          <w:sz w:val="22"/>
          <w:szCs w:val="22"/>
        </w:rPr>
        <w:t xml:space="preserve">Below the entry module, the summary table automatically displays totals per service for the 3 decades of the month (D1: 1–10, D2: 11–20, D3: 21–end) and the monthly total. The 6-step calculation panel updates in real time.</w:t>
      </w:r>
    </w:p>
    <w:p/>
    <w:p>
      <w:pPr>
        <w:pStyle w:val="Heading1"/>
        <w:spacing w:after="120" w:before="360"/>
      </w:pPr>
      <w:r>
        <w:rPr>
          <w:rFonts w:ascii="Arial" w:cs="Arial" w:eastAsia="Arial" w:hAnsi="Arial"/>
          <w:b/>
          <w:bCs/>
          <w:color w:val="1A3A6B"/>
          <w:sz w:val="32"/>
          <w:szCs w:val="32"/>
        </w:rPr>
        <w:t xml:space="preserve">5. Cash Journal</w:t>
      </w:r>
    </w:p>
    <w:p>
      <w:pPr>
        <w:pStyle w:val="Heading2"/>
        <w:spacing w:after="80" w:before="240"/>
      </w:pPr>
      <w:r>
        <w:rPr>
          <w:rFonts w:ascii="Arial" w:cs="Arial" w:eastAsia="Arial" w:hAnsi="Arial"/>
          <w:b/>
          <w:bCs/>
          <w:color w:val="1A3A6B"/>
          <w:sz w:val="26"/>
          <w:szCs w:val="26"/>
        </w:rPr>
        <w:t xml:space="preserve">5.1 Recording an entry</w:t>
      </w:r>
    </w:p>
    <w:p>
      <w:pPr>
        <w:spacing w:after="80" w:before="60"/>
      </w:pPr>
      <w:r>
        <w:rPr>
          <w:rFonts w:ascii="Arial" w:cs="Arial" w:eastAsia="Arial" w:hAnsi="Arial"/>
          <w:sz w:val="22"/>
          <w:szCs w:val="22"/>
        </w:rPr>
        <w:t xml:space="preserve">For each receipt or payment, complete the form: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Field</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Date</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Date of the operation (DD/MM/YYYY)</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Operation Type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Receipt / Payment / Correction / Treasury Transfer</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Service Line</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Service concerned (select from list or "Other")</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Description/Nature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Nature of the operation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Document Ref.</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Receipt or voucher number</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Amount (FCFA)</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Exact amount of the operation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Signatory</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Name of the signing person</w:t>
            </w:r>
          </w:p>
        </w:tc>
      </w:tr>
    </w:tbl>
    <w:p/>
    <w:p>
      <w:pPr>
        <w:spacing w:after="80" w:before="60"/>
      </w:pPr>
      <w:r>
        <w:rPr>
          <w:rFonts w:ascii="Arial" w:cs="Arial" w:eastAsia="Arial" w:hAnsi="Arial"/>
          <w:sz w:val="22"/>
          <w:szCs w:val="22"/>
        </w:rPr>
        <w:t xml:space="preserve">Click ➕ Record. Entries are automatically sorted by date.</w:t>
      </w:r>
    </w:p>
    <w:p/>
    <w:p>
      <w:pPr>
        <w:pStyle w:val="Heading2"/>
        <w:spacing w:after="80" w:before="240"/>
      </w:pPr>
      <w:r>
        <w:rPr>
          <w:rFonts w:ascii="Arial" w:cs="Arial" w:eastAsia="Arial" w:hAnsi="Arial"/>
          <w:b/>
          <w:bCs/>
          <w:color w:val="1A3A6B"/>
          <w:sz w:val="26"/>
          <w:szCs w:val="26"/>
        </w:rPr>
        <w:t xml:space="preserve">5.2 Official Calculation Engine — 6 Steps</w:t>
      </w:r>
    </w:p>
    <w:p>
      <w:pPr>
        <w:spacing w:after="80" w:before="60"/>
      </w:pPr>
      <w:r>
        <w:rPr>
          <w:rFonts w:ascii="Arial" w:cs="Arial" w:eastAsia="Arial" w:hAnsi="Arial"/>
          <w:sz w:val="22"/>
          <w:szCs w:val="22"/>
        </w:rPr>
        <w:t xml:space="preserve">The calculation engine fires automatically as soon as an entry is recorded. It is based on the receipts entered in the Cash Journal (not the registers). All 6 steps are displayed simultaneously at the bottom of the journal:</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1  /  ÉTAPE 1 — </w:t>
            </w:r>
            <w:r>
              <w:rPr>
                <w:rFonts w:ascii="Arial" w:cs="Arial" w:eastAsia="Arial" w:hAnsi="Arial"/>
                <w:b/>
                <w:bCs/>
                <w:color w:val="1A1A1A"/>
                <w:sz w:val="21"/>
                <w:szCs w:val="21"/>
              </w:rPr>
              <w:t xml:space="preserve">Cost Recovery (CR — ring-fenced)</w:t>
            </w:r>
          </w:p>
          <w:p>
            <w:pPr>
              <w:spacing w:after="20" w:before="20"/>
            </w:pPr>
            <w:r>
              <w:rPr>
                <w:rFonts w:ascii="Arial" w:cs="Arial" w:eastAsia="Arial" w:hAnsi="Arial"/>
                <w:sz w:val="21"/>
                <w:szCs w:val="21"/>
              </w:rPr>
              <w:t xml:space="preserve">CR Lab = Laboratory Revenue × 50%</w:t>
            </w:r>
          </w:p>
          <w:p>
            <w:pPr>
              <w:spacing w:after="20" w:before="20"/>
            </w:pPr>
            <w:r>
              <w:rPr>
                <w:rFonts w:ascii="Arial" w:cs="Arial" w:eastAsia="Arial" w:hAnsi="Arial"/>
                <w:sz w:val="21"/>
                <w:szCs w:val="21"/>
              </w:rPr>
              <w:t xml:space="preserve">CR Echo = Ultrasound Revenue × 50%</w:t>
            </w:r>
          </w:p>
          <w:p>
            <w:pPr>
              <w:spacing w:after="20" w:before="20"/>
            </w:pPr>
            <w:r>
              <w:rPr>
                <w:rFonts w:ascii="Arial" w:cs="Arial" w:eastAsia="Arial" w:hAnsi="Arial"/>
                <w:sz w:val="21"/>
                <w:szCs w:val="21"/>
              </w:rPr>
              <w:t xml:space="preserve">CR Ambulance = Ambulance Revenue × 50%</w:t>
            </w:r>
          </w:p>
          <w:p>
            <w:pPr>
              <w:spacing w:after="20" w:before="20"/>
            </w:pPr>
            <w:r>
              <w:rPr>
                <w:rFonts w:ascii="Arial" w:cs="Arial" w:eastAsia="Arial" w:hAnsi="Arial"/>
                <w:sz w:val="21"/>
                <w:szCs w:val="21"/>
              </w:rPr>
              <w:t xml:space="preserve">CR Pharmacy = Pharmacy Revenue × 50%  →  Pharmacy bank account (bypasses QP/RA split entirely)</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2  /  ÉTAPE 2 — </w:t>
            </w:r>
            <w:r>
              <w:rPr>
                <w:rFonts w:ascii="Arial" w:cs="Arial" w:eastAsia="Arial" w:hAnsi="Arial"/>
                <w:b/>
                <w:bCs/>
                <w:color w:val="1A1A1A"/>
                <w:sz w:val="21"/>
                <w:szCs w:val="21"/>
              </w:rPr>
              <w:t xml:space="preserve">Total Gross Revenue</w:t>
            </w:r>
          </w:p>
          <w:p>
            <w:pPr>
              <w:spacing w:after="20" w:before="20"/>
            </w:pPr>
            <w:r>
              <w:rPr>
                <w:rFonts w:ascii="Arial" w:cs="Arial" w:eastAsia="Arial" w:hAnsi="Arial"/>
                <w:sz w:val="21"/>
                <w:szCs w:val="21"/>
              </w:rPr>
              <w:t xml:space="preserve">Sum of all 12 service lines recorded in the Cash Journal</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3  /  ÉTAPE 3 — </w:t>
            </w:r>
            <w:r>
              <w:rPr>
                <w:rFonts w:ascii="Arial" w:cs="Arial" w:eastAsia="Arial" w:hAnsi="Arial"/>
                <w:b/>
                <w:bCs/>
                <w:color w:val="1A1A1A"/>
                <w:sz w:val="21"/>
                <w:szCs w:val="21"/>
              </w:rPr>
              <w:t xml:space="preserve">QP/RA Calculation Base</w:t>
            </w:r>
          </w:p>
          <w:p>
            <w:pPr>
              <w:spacing w:after="20" w:before="20"/>
            </w:pPr>
            <w:r>
              <w:rPr>
                <w:rFonts w:ascii="Arial" w:cs="Arial" w:eastAsia="Arial" w:hAnsi="Arial"/>
                <w:sz w:val="21"/>
                <w:szCs w:val="21"/>
              </w:rPr>
              <w:t xml:space="preserve">Base = Total Gross Revenue − CR Lab − CR Echo − CR Ambulance − FULL Pharmacy revenue</w:t>
            </w:r>
          </w:p>
          <w:p>
            <w:pPr>
              <w:spacing w:after="20" w:before="20"/>
            </w:pPr>
            <w:r>
              <w:rPr>
                <w:rFonts w:ascii="Arial" w:cs="Arial" w:eastAsia="Arial" w:hAnsi="Arial"/>
                <w:sz w:val="21"/>
                <w:szCs w:val="21"/>
              </w:rPr>
              <w:t xml:space="preserve">IMPORTANT: The FULL pharmacy revenue (100%) is ring-fenced — it exits the QP/RA circuit entirely</w:t>
            </w:r>
          </w:p>
          <w:p>
            <w:pPr>
              <w:spacing w:after="20" w:before="20"/>
            </w:pPr>
            <w:r>
              <w:rPr>
                <w:rFonts w:ascii="Arial" w:cs="Arial" w:eastAsia="Arial" w:hAnsi="Arial"/>
                <w:sz w:val="21"/>
                <w:szCs w:val="21"/>
              </w:rPr>
              <w:t xml:space="preserve">CR Pharmacy (50%) goes to the pharmacy bank account; the remaining 50% stays within the facility</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4  /  ÉTAPE 4 — </w:t>
            </w:r>
            <w:r>
              <w:rPr>
                <w:rFonts w:ascii="Arial" w:cs="Arial" w:eastAsia="Arial" w:hAnsi="Arial"/>
                <w:b/>
                <w:bCs/>
                <w:color w:val="1A1A1A"/>
                <w:sz w:val="21"/>
                <w:szCs w:val="21"/>
              </w:rPr>
              <w:t xml:space="preserve">Gross Splits  (Decree 2016/6447/PM)</w:t>
            </w:r>
          </w:p>
          <w:p>
            <w:pPr>
              <w:spacing w:after="20" w:before="20"/>
            </w:pPr>
            <w:r>
              <w:rPr>
                <w:rFonts w:ascii="Arial" w:cs="Arial" w:eastAsia="Arial" w:hAnsi="Arial"/>
                <w:sz w:val="21"/>
                <w:szCs w:val="21"/>
              </w:rPr>
              <w:t xml:space="preserve">Gross QP = Base × 30%  →  Staff motivation allocation</w:t>
            </w:r>
          </w:p>
          <w:p>
            <w:pPr>
              <w:spacing w:after="20" w:before="20"/>
            </w:pPr>
            <w:r>
              <w:rPr>
                <w:rFonts w:ascii="Arial" w:cs="Arial" w:eastAsia="Arial" w:hAnsi="Arial"/>
                <w:sz w:val="21"/>
                <w:szCs w:val="21"/>
              </w:rPr>
              <w:t xml:space="preserve">Gross RA = Base × 70%  →  Treasury deposit</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006633" w:sz="20"/>
              <w:bottom w:val="single" w:color="D4CFC4" w:sz="6"/>
              <w:right w:val="single" w:color="D4CFC4" w:sz="6"/>
            </w:tcBorders>
            <w:shd w:fill="E8F5EE" w:val="clear"/>
            <w:tcMar>
              <w:top w:type="dxa" w:w="100"/>
              <w:left w:type="dxa" w:w="160"/>
              <w:bottom w:type="dxa" w:w="100"/>
              <w:right w:type="dxa" w:w="160"/>
            </w:tcMar>
          </w:tcPr>
          <w:p>
            <w:pPr>
              <w:spacing w:after="60" w:before="0"/>
            </w:pPr>
            <w:r>
              <w:rPr>
                <w:rFonts w:ascii="Arial" w:cs="Arial" w:eastAsia="Arial" w:hAnsi="Arial"/>
                <w:b/>
                <w:bCs/>
                <w:color w:val="006633"/>
                <w:sz w:val="21"/>
                <w:szCs w:val="21"/>
              </w:rPr>
              <w:t xml:space="preserve">STEP 5  /  ÉTAPE 5 — </w:t>
            </w:r>
            <w:r>
              <w:rPr>
                <w:rFonts w:ascii="Arial" w:cs="Arial" w:eastAsia="Arial" w:hAnsi="Arial"/>
                <w:b/>
                <w:bCs/>
                <w:color w:val="1A1A1A"/>
                <w:sz w:val="21"/>
                <w:szCs w:val="21"/>
              </w:rPr>
              <w:t xml:space="preserve">BISEC Solidarity Fund</w:t>
            </w:r>
          </w:p>
          <w:p>
            <w:pPr>
              <w:spacing w:after="20" w:before="20"/>
            </w:pPr>
            <w:r>
              <w:rPr>
                <w:rFonts w:ascii="Arial" w:cs="Arial" w:eastAsia="Arial" w:hAnsi="Arial"/>
                <w:sz w:val="21"/>
                <w:szCs w:val="21"/>
              </w:rPr>
              <w:t xml:space="preserve">10% of Gross QP → Solidarity</w:t>
            </w:r>
          </w:p>
          <w:p>
            <w:pPr>
              <w:spacing w:after="20" w:before="20"/>
            </w:pPr>
            <w:r>
              <w:rPr>
                <w:rFonts w:ascii="Arial" w:cs="Arial" w:eastAsia="Arial" w:hAnsi="Arial"/>
                <w:sz w:val="21"/>
                <w:szCs w:val="21"/>
              </w:rPr>
              <w:t xml:space="preserve">10% of Gross RA → Solidarity</w:t>
            </w:r>
          </w:p>
          <w:p>
            <w:pPr>
              <w:spacing w:after="20" w:before="20"/>
            </w:pPr>
            <w:r>
              <w:rPr>
                <w:rFonts w:ascii="Arial" w:cs="Arial" w:eastAsia="Arial" w:hAnsi="Arial"/>
                <w:sz w:val="21"/>
                <w:szCs w:val="21"/>
              </w:rPr>
              <w:t xml:space="preserve">Total Solidarity Fund = 10% QP + 10% RA  →  Deposit to BISEC Bank</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D4CFC4" w:sz="6"/>
              <w:left w:val="single" w:color="1A3A6B" w:sz="20"/>
              <w:bottom w:val="single" w:color="D4CFC4" w:sz="6"/>
              <w:right w:val="single" w:color="D4CFC4" w:sz="6"/>
            </w:tcBorders>
            <w:shd w:fill="EEF2FF" w:val="clear"/>
            <w:tcMar>
              <w:top w:type="dxa" w:w="100"/>
              <w:left w:type="dxa" w:w="160"/>
              <w:bottom w:type="dxa" w:w="100"/>
              <w:right w:type="dxa" w:w="160"/>
            </w:tcMar>
          </w:tcPr>
          <w:p>
            <w:pPr>
              <w:spacing w:after="60" w:before="0"/>
            </w:pPr>
            <w:r>
              <w:rPr>
                <w:rFonts w:ascii="Arial" w:cs="Arial" w:eastAsia="Arial" w:hAnsi="Arial"/>
                <w:b/>
                <w:bCs/>
                <w:color w:val="1A3A6B"/>
                <w:sz w:val="21"/>
                <w:szCs w:val="21"/>
              </w:rPr>
              <w:t xml:space="preserve">STEP 6  /  ÉTAPE 6 — </w:t>
            </w:r>
            <w:r>
              <w:rPr>
                <w:rFonts w:ascii="Arial" w:cs="Arial" w:eastAsia="Arial" w:hAnsi="Arial"/>
                <w:b/>
                <w:bCs/>
                <w:color w:val="1A1A1A"/>
                <w:sz w:val="21"/>
                <w:szCs w:val="21"/>
              </w:rPr>
              <w:t xml:space="preserve">Net Final Accounts  — RGCP Art. 68</w:t>
            </w:r>
          </w:p>
          <w:p>
            <w:pPr>
              <w:spacing w:after="20" w:before="20"/>
            </w:pPr>
            <w:r>
              <w:rPr>
                <w:rFonts w:ascii="Arial" w:cs="Arial" w:eastAsia="Arial" w:hAnsi="Arial"/>
                <w:sz w:val="21"/>
                <w:szCs w:val="21"/>
              </w:rPr>
              <w:t xml:space="preserve">Net QP = Gross QP − 10% QP  →  Distributed to staff with signed discharge sheet</w:t>
            </w:r>
          </w:p>
          <w:p>
            <w:pPr>
              <w:spacing w:after="20" w:before="20"/>
            </w:pPr>
            <w:r>
              <w:rPr>
                <w:rFonts w:ascii="Arial" w:cs="Arial" w:eastAsia="Arial" w:hAnsi="Arial"/>
                <w:sz w:val="21"/>
                <w:szCs w:val="21"/>
              </w:rPr>
              <w:t xml:space="preserve">Net RA = Gross RA − 10% RA  →  Deposited at Treasury against decade receipt (quittance)</w:t>
            </w:r>
          </w:p>
          <w:p>
            <w:pPr>
              <w:spacing w:after="20" w:before="20"/>
            </w:pPr>
            <w:r>
              <w:rPr>
                <w:rFonts w:ascii="Arial" w:cs="Arial" w:eastAsia="Arial" w:hAnsi="Arial"/>
                <w:sz w:val="21"/>
                <w:szCs w:val="21"/>
              </w:rPr>
              <w:t xml:space="preserve">CR Pharmacy = 50% Pharmacy  →  Deposited to Pharmacy bank account</w:t>
            </w:r>
          </w:p>
        </w:tc>
      </w:tr>
    </w:tbl>
    <w:p/>
    <w:p>
      <w:pPr>
        <w:pStyle w:val="Heading1"/>
        <w:spacing w:after="120" w:before="360"/>
      </w:pPr>
      <w:r>
        <w:rPr>
          <w:rFonts w:ascii="Arial" w:cs="Arial" w:eastAsia="Arial" w:hAnsi="Arial"/>
          <w:b/>
          <w:bCs/>
          <w:color w:val="1A3A6B"/>
          <w:sz w:val="32"/>
          <w:szCs w:val="32"/>
        </w:rPr>
        <w:t xml:space="preserve">6. Treasury Deposits</w:t>
      </w:r>
    </w:p>
    <w:p>
      <w:pPr>
        <w:spacing w:after="80" w:before="60"/>
      </w:pPr>
      <w:r>
        <w:rPr>
          <w:rFonts w:ascii="Arial" w:cs="Arial" w:eastAsia="Arial" w:hAnsi="Arial"/>
          <w:sz w:val="22"/>
          <w:szCs w:val="22"/>
        </w:rPr>
        <w:t xml:space="preserve">In accordance with RGCP Art. 68, the Net RA must be deposited at the Treasury 3 times per month, at the end of each decade. The tool automatically calculates the expected Net RA for each decade from register data.</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Decade</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Period &amp; Obligation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Decade 1 (D1)</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Days 1 to 10 — deposit before the 10th</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Decade 2 (D2)</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Days 11 to 20 — deposit before the 20th</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Decade 3 (D3)</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Days 21 to end — deposit before month end</w:t>
            </w:r>
          </w:p>
        </w:tc>
      </w:tr>
    </w:tbl>
    <w:p/>
    <w:p>
      <w:pPr>
        <w:spacing w:after="80" w:before="60"/>
      </w:pPr>
      <w:r>
        <w:rPr>
          <w:rFonts w:ascii="Arial" w:cs="Arial" w:eastAsia="Arial" w:hAnsi="Arial"/>
          <w:sz w:val="22"/>
          <w:szCs w:val="22"/>
        </w:rPr>
        <w:t xml:space="preserve">For each decade, fill in: the amount actually deposited, the Treasury receipt number (quittance), the date of deposit, the name of the depositing person, and the Treasury agent's name. The status (✅ Deposited / ⚠️ Partial / ❌ Not deposited) updates automatically.</w:t>
      </w:r>
    </w:p>
    <w:p/>
    <w:p>
      <w:pPr>
        <w:pStyle w:val="Heading1"/>
        <w:spacing w:after="120" w:before="360"/>
      </w:pPr>
      <w:r>
        <w:rPr>
          <w:rFonts w:ascii="Arial" w:cs="Arial" w:eastAsia="Arial" w:hAnsi="Arial"/>
          <w:b/>
          <w:bCs/>
          <w:color w:val="1A3A6B"/>
          <w:sz w:val="32"/>
          <w:szCs w:val="32"/>
        </w:rPr>
        <w:t xml:space="preserve">7. BISEC Solidarity Fund</w:t>
      </w:r>
    </w:p>
    <w:p>
      <w:pPr>
        <w:spacing w:after="80" w:before="60"/>
      </w:pPr>
      <w:r>
        <w:rPr>
          <w:rFonts w:ascii="Arial" w:cs="Arial" w:eastAsia="Arial" w:hAnsi="Arial"/>
          <w:sz w:val="22"/>
          <w:szCs w:val="22"/>
        </w:rPr>
        <w:t xml:space="preserve">The Solidarity Fund is also managed per decade. For each decade of the selected month, enter the deposited amount, the BISEC receipt number, the date and the depositor's name. The annual summary table shows all decades of the financial year.</w:t>
      </w:r>
    </w:p>
    <w:p/>
    <w:p>
      <w:pPr>
        <w:pStyle w:val="Heading1"/>
        <w:spacing w:after="120" w:before="360"/>
      </w:pPr>
      <w:r>
        <w:rPr>
          <w:rFonts w:ascii="Arial" w:cs="Arial" w:eastAsia="Arial" w:hAnsi="Arial"/>
          <w:b/>
          <w:bCs/>
          <w:color w:val="1A3A6B"/>
          <w:sz w:val="32"/>
          <w:szCs w:val="32"/>
        </w:rPr>
        <w:t xml:space="preserve">8. CR Expenditures</w:t>
      </w:r>
    </w:p>
    <w:p>
      <w:pPr>
        <w:spacing w:after="80" w:before="60"/>
      </w:pPr>
      <w:r>
        <w:rPr>
          <w:rFonts w:ascii="Arial" w:cs="Arial" w:eastAsia="Arial" w:hAnsi="Arial"/>
          <w:sz w:val="22"/>
          <w:szCs w:val="22"/>
        </w:rPr>
        <w:t xml:space="preserve">Authorised expenditures are funded from CR (Lab + Echo + Ambulance — not Pharmacy). For each expenditure:</w:t>
      </w:r>
    </w:p>
    <w:p>
      <w:pPr>
        <w:pStyle w:val="ListParagraph"/>
        <w:numPr>
          <w:ilvl w:val="0"/>
          <w:numId w:val="3"/>
        </w:numPr>
        <w:spacing w:after="40" w:before="40"/>
        <w:ind w:left="720" w:hanging="360"/>
      </w:pPr>
      <w:r>
        <w:rPr>
          <w:rFonts w:ascii="Arial" w:cs="Arial" w:eastAsia="Arial" w:hAnsi="Arial"/>
          <w:sz w:val="22"/>
          <w:szCs w:val="22"/>
        </w:rPr>
        <w:t xml:space="preserve">Click ➕ Add Expenditure</w:t>
      </w:r>
    </w:p>
    <w:p>
      <w:pPr>
        <w:pStyle w:val="ListParagraph"/>
        <w:numPr>
          <w:ilvl w:val="0"/>
          <w:numId w:val="3"/>
        </w:numPr>
        <w:spacing w:after="40" w:before="40"/>
        <w:ind w:left="720" w:hanging="360"/>
      </w:pPr>
      <w:r>
        <w:rPr>
          <w:rFonts w:ascii="Arial" w:cs="Arial" w:eastAsia="Arial" w:hAnsi="Arial"/>
          <w:sz w:val="22"/>
          <w:szCs w:val="22"/>
        </w:rPr>
        <w:t xml:space="preserve">Fill in: date, category, supplier, amount, invoice number, authorising officer</w:t>
      </w:r>
    </w:p>
    <w:p>
      <w:pPr>
        <w:pStyle w:val="ListParagraph"/>
        <w:numPr>
          <w:ilvl w:val="0"/>
          <w:numId w:val="3"/>
        </w:numPr>
        <w:spacing w:after="40" w:before="40"/>
        <w:ind w:left="720" w:hanging="360"/>
      </w:pPr>
      <w:r>
        <w:rPr>
          <w:rFonts w:ascii="Arial" w:cs="Arial" w:eastAsia="Arial" w:hAnsi="Arial"/>
          <w:sz w:val="22"/>
          <w:szCs w:val="22"/>
        </w:rPr>
        <w:t xml:space="preserve">The procurement mode (Direct / 3 Quotes / Tender) is determined automatically by amount</w:t>
      </w:r>
    </w:p>
    <w:p>
      <w:pPr>
        <w:pStyle w:val="ListParagraph"/>
        <w:numPr>
          <w:ilvl w:val="0"/>
          <w:numId w:val="3"/>
        </w:numPr>
        <w:spacing w:after="40" w:before="40"/>
        <w:ind w:left="720" w:hanging="360"/>
      </w:pPr>
      <w:r>
        <w:rPr>
          <w:rFonts w:ascii="Arial" w:cs="Arial" w:eastAsia="Arial" w:hAnsi="Arial"/>
          <w:sz w:val="22"/>
          <w:szCs w:val="22"/>
        </w:rPr>
        <w:t xml:space="preserve">Click 💾 Save after entries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A5C00" w:sz="8"/>
              <w:left w:val="single" w:color="7A5C00" w:sz="20"/>
              <w:bottom w:val="single" w:color="7A5C00" w:sz="8"/>
              <w:right w:val="single" w:color="7A5C00" w:sz="8"/>
            </w:tcBorders>
            <w:shd w:fill="F5F0E8" w:val="clear"/>
            <w:tcMar>
              <w:top w:type="dxa" w:w="100"/>
              <w:left w:type="dxa" w:w="160"/>
              <w:bottom w:type="dxa" w:w="100"/>
              <w:right w:type="dxa" w:w="160"/>
            </w:tcMar>
          </w:tcPr>
          <w:p>
            <w:pPr>
              <w:spacing w:after="80" w:before="0"/>
            </w:pPr>
            <w:r>
              <w:rPr>
                <w:rFonts w:ascii="Arial" w:cs="Arial" w:eastAsia="Arial" w:hAnsi="Arial"/>
                <w:b/>
                <w:bCs/>
                <w:color w:val="7A5C00"/>
                <w:sz w:val="22"/>
                <w:szCs w:val="22"/>
              </w:rPr>
              <w:t xml:space="preserve">Procurement thresholds (Decree 2018/366)</w:t>
            </w:r>
          </w:p>
          <w:p>
            <w:pPr>
              <w:spacing w:after="30" w:before="30"/>
            </w:pPr>
            <w:r>
              <w:rPr>
                <w:rFonts w:ascii="Arial" w:cs="Arial" w:eastAsia="Arial" w:hAnsi="Arial"/>
                <w:sz w:val="21"/>
                <w:szCs w:val="21"/>
              </w:rPr>
              <w:t xml:space="preserve">&lt; 500,000 FCFA  →  Direct purchase (no competitive bidding required)</w:t>
            </w:r>
          </w:p>
          <w:p>
            <w:pPr>
              <w:spacing w:after="30" w:before="30"/>
            </w:pPr>
            <w:r>
              <w:rPr>
                <w:rFonts w:ascii="Arial" w:cs="Arial" w:eastAsia="Arial" w:hAnsi="Arial"/>
                <w:sz w:val="21"/>
                <w:szCs w:val="21"/>
              </w:rPr>
              <w:t xml:space="preserve">500,000 – 5,000,000 FCFA  →  3 quotes (restricted consultation required)</w:t>
            </w:r>
          </w:p>
          <w:p>
            <w:pPr>
              <w:spacing w:after="30" w:before="30"/>
            </w:pPr>
            <w:r>
              <w:rPr>
                <w:rFonts w:ascii="Arial" w:cs="Arial" w:eastAsia="Arial" w:hAnsi="Arial"/>
                <w:sz w:val="21"/>
                <w:szCs w:val="21"/>
              </w:rPr>
              <w:t xml:space="preserve">&gt; 5,000,000 FCFA  →  Open tender (formal procedure required)</w:t>
            </w:r>
          </w:p>
          <w:p>
            <w:pPr>
              <w:spacing w:after="30" w:before="30"/>
            </w:pPr>
            <w:r>
              <w:rPr>
                <w:rFonts w:ascii="Arial" w:cs="Arial" w:eastAsia="Arial" w:hAnsi="Arial"/>
                <w:sz w:val="21"/>
                <w:szCs w:val="21"/>
              </w:rPr>
              <w:t xml:space="preserve">RGCP Art. 71: Supporting documents mandatory for all expenditures</w:t>
            </w:r>
          </w:p>
        </w:tc>
      </w:tr>
    </w:tbl>
    <w:p/>
    <w:p>
      <w:pPr>
        <w:pStyle w:val="Heading1"/>
        <w:spacing w:after="120" w:before="360"/>
      </w:pPr>
      <w:r>
        <w:rPr>
          <w:rFonts w:ascii="Arial" w:cs="Arial" w:eastAsia="Arial" w:hAnsi="Arial"/>
          <w:b/>
          <w:bCs/>
          <w:color w:val="1A3A6B"/>
          <w:sz w:val="32"/>
          <w:szCs w:val="32"/>
        </w:rPr>
        <w:t xml:space="preserve">9. Triangulation — Cross-Verification</w:t>
      </w:r>
    </w:p>
    <w:p>
      <w:pPr>
        <w:spacing w:after="80" w:before="60"/>
      </w:pPr>
      <w:r>
        <w:rPr>
          <w:rFonts w:ascii="Arial" w:cs="Arial" w:eastAsia="Arial" w:hAnsi="Arial"/>
          <w:sz w:val="22"/>
          <w:szCs w:val="22"/>
        </w:rPr>
        <w:t xml:space="preserve">Triangulation performs 6 automatic cross-checks to detect any discrepancy before official submission. It can be run over a chosen period: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Period Type</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Monthly</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Single month verification</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Month range</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Verification over a range (e.g. Jan–Mar)</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Full year</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Full financial year verification (12 months)</w:t>
            </w:r>
          </w:p>
        </w:tc>
      </w:tr>
    </w:tbl>
    <w:p/>
    <w:p>
      <w:pPr>
        <w:spacing w:after="80" w:before="60"/>
      </w:pPr>
      <w:r>
        <w:rPr>
          <w:rFonts w:ascii="Arial" w:cs="Arial" w:eastAsia="Arial" w:hAnsi="Arial"/>
          <w:sz w:val="22"/>
          <w:szCs w:val="22"/>
        </w:rPr>
        <w:t xml:space="preserve">The 6 checks performed:</w:t>
      </w:r>
    </w:p>
    <w:p>
      <w:pPr>
        <w:pStyle w:val="ListParagraph"/>
        <w:numPr>
          <w:ilvl w:val="0"/>
          <w:numId w:val="3"/>
        </w:numPr>
        <w:spacing w:after="40" w:before="40"/>
        <w:ind w:left="720" w:hanging="360"/>
      </w:pPr>
      <w:r>
        <w:rPr>
          <w:rFonts w:ascii="Arial" w:cs="Arial" w:eastAsia="Arial" w:hAnsi="Arial"/>
          <w:sz w:val="22"/>
          <w:szCs w:val="22"/>
        </w:rPr>
        <w:t xml:space="preserve">Service Register totals  vs  Cash Journal totals</w:t>
      </w:r>
    </w:p>
    <w:p>
      <w:pPr>
        <w:pStyle w:val="ListParagraph"/>
        <w:numPr>
          <w:ilvl w:val="0"/>
          <w:numId w:val="3"/>
        </w:numPr>
        <w:spacing w:after="40" w:before="40"/>
        <w:ind w:left="720" w:hanging="360"/>
      </w:pPr>
      <w:r>
        <w:rPr>
          <w:rFonts w:ascii="Arial" w:cs="Arial" w:eastAsia="Arial" w:hAnsi="Arial"/>
          <w:sz w:val="22"/>
          <w:szCs w:val="22"/>
        </w:rPr>
        <w:t xml:space="preserve">Calculated Net RA (real decades)  vs  Treasury deposits</w:t>
      </w:r>
    </w:p>
    <w:p>
      <w:pPr>
        <w:pStyle w:val="ListParagraph"/>
        <w:numPr>
          <w:ilvl w:val="0"/>
          <w:numId w:val="3"/>
        </w:numPr>
        <w:spacing w:after="40" w:before="40"/>
        <w:ind w:left="720" w:hanging="360"/>
      </w:pPr>
      <w:r>
        <w:rPr>
          <w:rFonts w:ascii="Arial" w:cs="Arial" w:eastAsia="Arial" w:hAnsi="Arial"/>
          <w:sz w:val="22"/>
          <w:szCs w:val="22"/>
        </w:rPr>
        <w:t xml:space="preserve">Calculated Net QP  vs  Amount distributed to staff</w:t>
      </w:r>
    </w:p>
    <w:p>
      <w:pPr>
        <w:pStyle w:val="ListParagraph"/>
        <w:numPr>
          <w:ilvl w:val="0"/>
          <w:numId w:val="3"/>
        </w:numPr>
        <w:spacing w:after="40" w:before="40"/>
        <w:ind w:left="720" w:hanging="360"/>
      </w:pPr>
      <w:r>
        <w:rPr>
          <w:rFonts w:ascii="Arial" w:cs="Arial" w:eastAsia="Arial" w:hAnsi="Arial"/>
          <w:sz w:val="22"/>
          <w:szCs w:val="22"/>
        </w:rPr>
        <w:t xml:space="preserve">Calculated Solidarity Fund  vs  BISEC deposits (per decade)</w:t>
      </w:r>
    </w:p>
    <w:p>
      <w:pPr>
        <w:pStyle w:val="ListParagraph"/>
        <w:numPr>
          <w:ilvl w:val="0"/>
          <w:numId w:val="3"/>
        </w:numPr>
        <w:spacing w:after="40" w:before="40"/>
        <w:ind w:left="720" w:hanging="360"/>
      </w:pPr>
      <w:r>
        <w:rPr>
          <w:rFonts w:ascii="Arial" w:cs="Arial" w:eastAsia="Arial" w:hAnsi="Arial"/>
          <w:sz w:val="22"/>
          <w:szCs w:val="22"/>
        </w:rPr>
        <w:t xml:space="preserve">Calculated CR Pharmacy  vs  Pharmacy account deposit</w:t>
      </w:r>
    </w:p>
    <w:p>
      <w:pPr>
        <w:pStyle w:val="ListParagraph"/>
        <w:numPr>
          <w:ilvl w:val="0"/>
          <w:numId w:val="3"/>
        </w:numPr>
        <w:spacing w:after="40" w:before="40"/>
        <w:ind w:left="720" w:hanging="360"/>
      </w:pPr>
      <w:r>
        <w:rPr>
          <w:rFonts w:ascii="Arial" w:cs="Arial" w:eastAsia="Arial" w:hAnsi="Arial"/>
          <w:sz w:val="22"/>
          <w:szCs w:val="22"/>
        </w:rPr>
        <w:t xml:space="preserve">Available CR (Lab+Echo+Amb)  vs  Expenditures incurred</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006633" w:sz="8"/>
              <w:left w:val="single" w:color="006633" w:sz="20"/>
              <w:bottom w:val="single" w:color="006633" w:sz="8"/>
              <w:right w:val="single" w:color="006633" w:sz="8"/>
            </w:tcBorders>
            <w:shd w:fill="E8F5EE" w:val="clear"/>
            <w:tcMar>
              <w:top w:type="dxa" w:w="100"/>
              <w:left w:type="dxa" w:w="160"/>
              <w:bottom w:type="dxa" w:w="100"/>
              <w:right w:type="dxa" w:w="160"/>
            </w:tcMar>
          </w:tcPr>
          <w:p>
            <w:pPr>
              <w:spacing w:after="80" w:before="0"/>
            </w:pPr>
            <w:r>
              <w:rPr>
                <w:rFonts w:ascii="Arial" w:cs="Arial" w:eastAsia="Arial" w:hAnsi="Arial"/>
                <w:b/>
                <w:bCs/>
                <w:color w:val="006633"/>
                <w:sz w:val="22"/>
                <w:szCs w:val="22"/>
              </w:rPr>
              <w:t xml:space="preserve">Status meanings</w:t>
            </w:r>
          </w:p>
          <w:p>
            <w:pPr>
              <w:spacing w:after="30" w:before="30"/>
            </w:pPr>
            <w:r>
              <w:rPr>
                <w:rFonts w:ascii="Arial" w:cs="Arial" w:eastAsia="Arial" w:hAnsi="Arial"/>
                <w:sz w:val="21"/>
                <w:szCs w:val="21"/>
              </w:rPr>
              <w:t xml:space="preserve">✅ Compliant  →  No discrepancy detected (&lt; 1 FCFA difference)</w:t>
            </w:r>
          </w:p>
          <w:p>
            <w:pPr>
              <w:spacing w:after="30" w:before="30"/>
            </w:pPr>
            <w:r>
              <w:rPr>
                <w:rFonts w:ascii="Arial" w:cs="Arial" w:eastAsia="Arial" w:hAnsi="Arial"/>
                <w:sz w:val="21"/>
                <w:szCs w:val="21"/>
              </w:rPr>
              <w:t xml:space="preserve">⚠️ Discrepancy  →  Mismatch detected — correct before submission to IGF</w:t>
            </w:r>
          </w:p>
          <w:p>
            <w:pPr>
              <w:spacing w:after="30" w:before="30"/>
            </w:pPr>
            <w:r>
              <w:rPr>
                <w:rFonts w:ascii="Arial" w:cs="Arial" w:eastAsia="Arial" w:hAnsi="Arial"/>
                <w:sz w:val="21"/>
                <w:szCs w:val="21"/>
              </w:rPr>
              <w:t xml:space="preserve">CR = 0 &amp; Expenditures &gt; 0  →  Special alert: verify Lab/Echo/Ambulance revenue entry</w:t>
            </w:r>
          </w:p>
        </w:tc>
      </w:tr>
    </w:tbl>
    <w:p/>
    <w:p>
      <w:pPr>
        <w:pStyle w:val="Heading1"/>
        <w:spacing w:after="120" w:before="360"/>
      </w:pPr>
      <w:r>
        <w:rPr>
          <w:rFonts w:ascii="Arial" w:cs="Arial" w:eastAsia="Arial" w:hAnsi="Arial"/>
          <w:b/>
          <w:bCs/>
          <w:color w:val="1A3A6B"/>
          <w:sz w:val="32"/>
          <w:szCs w:val="32"/>
        </w:rPr>
        <w:t xml:space="preserve">10. Official Report</w:t>
      </w:r>
    </w:p>
    <w:p>
      <w:pPr>
        <w:spacing w:after="80" w:before="60"/>
      </w:pPr>
      <w:r>
        <w:rPr>
          <w:rFonts w:ascii="Arial" w:cs="Arial" w:eastAsia="Arial" w:hAnsi="Arial"/>
          <w:sz w:val="22"/>
          <w:szCs w:val="22"/>
        </w:rPr>
        <w:t xml:space="preserve">The official report consolidates all modules. Select the period (monthly, range or annual) and click 📄 Generate. The report includes:</w:t>
      </w:r>
    </w:p>
    <w:p>
      <w:pPr>
        <w:pStyle w:val="ListParagraph"/>
        <w:numPr>
          <w:ilvl w:val="0"/>
          <w:numId w:val="2"/>
        </w:numPr>
        <w:spacing w:after="40" w:before="40"/>
        <w:ind w:left="720" w:hanging="360"/>
      </w:pPr>
      <w:r>
        <w:rPr>
          <w:rFonts w:ascii="Arial" w:cs="Arial" w:eastAsia="Arial" w:hAnsi="Arial"/>
          <w:sz w:val="22"/>
          <w:szCs w:val="22"/>
        </w:rPr>
        <w:t xml:space="preserve">Complete health facility information and period covered</w:t>
      </w:r>
    </w:p>
    <w:p>
      <w:pPr>
        <w:pStyle w:val="ListParagraph"/>
        <w:numPr>
          <w:ilvl w:val="0"/>
          <w:numId w:val="2"/>
        </w:numPr>
        <w:spacing w:after="40" w:before="40"/>
        <w:ind w:left="720" w:hanging="360"/>
      </w:pPr>
      <w:r>
        <w:rPr>
          <w:rFonts w:ascii="Arial" w:cs="Arial" w:eastAsia="Arial" w:hAnsi="Arial"/>
          <w:sz w:val="22"/>
          <w:szCs w:val="22"/>
        </w:rPr>
        <w:t xml:space="preserve">Revenue by service line with percentages</w:t>
      </w:r>
    </w:p>
    <w:p>
      <w:pPr>
        <w:pStyle w:val="ListParagraph"/>
        <w:numPr>
          <w:ilvl w:val="0"/>
          <w:numId w:val="2"/>
        </w:numPr>
        <w:spacing w:after="40" w:before="40"/>
        <w:ind w:left="720" w:hanging="360"/>
      </w:pPr>
      <w:r>
        <w:rPr>
          <w:rFonts w:ascii="Arial" w:cs="Arial" w:eastAsia="Arial" w:hAnsi="Arial"/>
          <w:sz w:val="22"/>
          <w:szCs w:val="22"/>
        </w:rPr>
        <w:t xml:space="preserve">Full breakdown per the 6 calculation steps</w:t>
      </w:r>
    </w:p>
    <w:p>
      <w:pPr>
        <w:pStyle w:val="ListParagraph"/>
        <w:numPr>
          <w:ilvl w:val="0"/>
          <w:numId w:val="2"/>
        </w:numPr>
        <w:spacing w:after="40" w:before="40"/>
        <w:ind w:left="720" w:hanging="360"/>
      </w:pPr>
      <w:r>
        <w:rPr>
          <w:rFonts w:ascii="Arial" w:cs="Arial" w:eastAsia="Arial" w:hAnsi="Arial"/>
          <w:sz w:val="22"/>
          <w:szCs w:val="22"/>
        </w:rPr>
        <w:t xml:space="preserve">Decade-by-decade Treasury deposit details</w:t>
      </w:r>
    </w:p>
    <w:p>
      <w:pPr>
        <w:pStyle w:val="ListParagraph"/>
        <w:numPr>
          <w:ilvl w:val="0"/>
          <w:numId w:val="2"/>
        </w:numPr>
        <w:spacing w:after="40" w:before="40"/>
        <w:ind w:left="720" w:hanging="360"/>
      </w:pPr>
      <w:r>
        <w:rPr>
          <w:rFonts w:ascii="Arial" w:cs="Arial" w:eastAsia="Arial" w:hAnsi="Arial"/>
          <w:sz w:val="22"/>
          <w:szCs w:val="22"/>
        </w:rPr>
        <w:t xml:space="preserve">Quotes-Parts staff payments</w:t>
      </w:r>
    </w:p>
    <w:p>
      <w:pPr>
        <w:pStyle w:val="ListParagraph"/>
        <w:numPr>
          <w:ilvl w:val="0"/>
          <w:numId w:val="2"/>
        </w:numPr>
        <w:spacing w:after="40" w:before="40"/>
        <w:ind w:left="720" w:hanging="360"/>
      </w:pPr>
      <w:r>
        <w:rPr>
          <w:rFonts w:ascii="Arial" w:cs="Arial" w:eastAsia="Arial" w:hAnsi="Arial"/>
          <w:sz w:val="22"/>
          <w:szCs w:val="22"/>
        </w:rPr>
        <w:t xml:space="preserve">BISEC Solidarity Fund deposits per decade</w:t>
      </w:r>
    </w:p>
    <w:p>
      <w:pPr>
        <w:pStyle w:val="ListParagraph"/>
        <w:numPr>
          <w:ilvl w:val="0"/>
          <w:numId w:val="2"/>
        </w:numPr>
        <w:spacing w:after="40" w:before="40"/>
        <w:ind w:left="720" w:hanging="360"/>
      </w:pPr>
      <w:r>
        <w:rPr>
          <w:rFonts w:ascii="Arial" w:cs="Arial" w:eastAsia="Arial" w:hAnsi="Arial"/>
          <w:sz w:val="22"/>
          <w:szCs w:val="22"/>
        </w:rPr>
        <w:t xml:space="preserve">Pharmacy account deposits</w:t>
      </w:r>
    </w:p>
    <w:p>
      <w:pPr>
        <w:pStyle w:val="ListParagraph"/>
        <w:numPr>
          <w:ilvl w:val="0"/>
          <w:numId w:val="2"/>
        </w:numPr>
        <w:spacing w:after="40" w:before="40"/>
        <w:ind w:left="720" w:hanging="360"/>
      </w:pPr>
      <w:r>
        <w:rPr>
          <w:rFonts w:ascii="Arial" w:cs="Arial" w:eastAsia="Arial" w:hAnsi="Arial"/>
          <w:sz w:val="22"/>
          <w:szCs w:val="22"/>
        </w:rPr>
        <w:t xml:space="preserve">Expenditure register with procurement modes</w:t>
      </w:r>
    </w:p>
    <w:p>
      <w:pPr>
        <w:pStyle w:val="ListParagraph"/>
        <w:numPr>
          <w:ilvl w:val="0"/>
          <w:numId w:val="2"/>
        </w:numPr>
        <w:spacing w:after="40" w:before="40"/>
        <w:ind w:left="720" w:hanging="360"/>
      </w:pPr>
      <w:r>
        <w:rPr>
          <w:rFonts w:ascii="Arial" w:cs="Arial" w:eastAsia="Arial" w:hAnsi="Arial"/>
          <w:sz w:val="22"/>
          <w:szCs w:val="22"/>
        </w:rPr>
        <w:t xml:space="preserve">Consolidated triangulation results</w:t>
      </w:r>
    </w:p>
    <w:p>
      <w:pPr>
        <w:pStyle w:val="ListParagraph"/>
        <w:numPr>
          <w:ilvl w:val="0"/>
          <w:numId w:val="2"/>
        </w:numPr>
        <w:spacing w:after="40" w:before="40"/>
        <w:ind w:left="720" w:hanging="360"/>
      </w:pPr>
      <w:r>
        <w:rPr>
          <w:rFonts w:ascii="Arial" w:cs="Arial" w:eastAsia="Arial" w:hAnsi="Arial"/>
          <w:sz w:val="22"/>
          <w:szCs w:val="22"/>
        </w:rPr>
        <w:t xml:space="preserve">Signature block (Registrar, Director, Auditor)</w:t>
      </w:r>
    </w:p>
    <w:p>
      <w:pPr>
        <w:pStyle w:val="ListParagraph"/>
        <w:numPr>
          <w:ilvl w:val="0"/>
          <w:numId w:val="2"/>
        </w:numPr>
        <w:spacing w:after="40" w:before="40"/>
        <w:ind w:left="720" w:hanging="360"/>
      </w:pPr>
      <w:r>
        <w:rPr>
          <w:rFonts w:ascii="Arial" w:cs="Arial" w:eastAsia="Arial" w:hAnsi="Arial"/>
          <w:sz w:val="22"/>
          <w:szCs w:val="22"/>
        </w:rPr>
        <w:t xml:space="preserve">Legal references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A3A6B" w:sz="8"/>
              <w:left w:val="single" w:color="1A3A6B" w:sz="20"/>
              <w:bottom w:val="single" w:color="1A3A6B" w:sz="8"/>
              <w:right w:val="single" w:color="1A3A6B" w:sz="8"/>
            </w:tcBorders>
            <w:shd w:fill="EEF2FF" w:val="clear"/>
            <w:tcMar>
              <w:top w:type="dxa" w:w="100"/>
              <w:left w:type="dxa" w:w="160"/>
              <w:bottom w:type="dxa" w:w="100"/>
              <w:right w:type="dxa" w:w="160"/>
            </w:tcMar>
          </w:tcPr>
          <w:p>
            <w:pPr>
              <w:spacing w:after="80" w:before="0"/>
            </w:pPr>
            <w:r>
              <w:rPr>
                <w:rFonts w:ascii="Arial" w:cs="Arial" w:eastAsia="Arial" w:hAnsi="Arial"/>
                <w:b/>
                <w:bCs/>
                <w:color w:val="1A3A6B"/>
                <w:sz w:val="22"/>
                <w:szCs w:val="22"/>
              </w:rPr>
              <w:t xml:space="preserve">Printing</w:t>
            </w:r>
          </w:p>
          <w:p>
            <w:pPr>
              <w:spacing w:after="30" w:before="30"/>
            </w:pPr>
            <w:r>
              <w:rPr>
                <w:rFonts w:ascii="Arial" w:cs="Arial" w:eastAsia="Arial" w:hAnsi="Arial"/>
                <w:sz w:val="21"/>
                <w:szCs w:val="21"/>
              </w:rPr>
              <w:t xml:space="preserve">Click 🖨️ Print in the action bar.</w:t>
            </w:r>
          </w:p>
          <w:p>
            <w:pPr>
              <w:spacing w:after="30" w:before="30"/>
            </w:pPr>
            <w:r>
              <w:rPr>
                <w:rFonts w:ascii="Arial" w:cs="Arial" w:eastAsia="Arial" w:hAnsi="Arial"/>
                <w:sz w:val="21"/>
                <w:szCs w:val="21"/>
              </w:rPr>
              <w:t xml:space="preserve">ONLY the generated report is printed — the data entry interface is not printed.</w:t>
            </w:r>
          </w:p>
          <w:p>
            <w:pPr>
              <w:spacing w:after="30" w:before="30"/>
            </w:pPr>
            <w:r>
              <w:rPr>
                <w:rFonts w:ascii="Arial" w:cs="Arial" w:eastAsia="Arial" w:hAnsi="Arial"/>
                <w:sz w:val="21"/>
                <w:szCs w:val="21"/>
              </w:rPr>
              <w:t xml:space="preserve">Recommended format: A4, 12mm margins, portrait.</w:t>
            </w:r>
          </w:p>
          <w:p>
            <w:pPr>
              <w:spacing w:after="30" w:before="30"/>
            </w:pPr>
            <w:r>
              <w:rPr>
                <w:rFonts w:ascii="Arial" w:cs="Arial" w:eastAsia="Arial" w:hAnsi="Arial"/>
                <w:sz w:val="21"/>
                <w:szCs w:val="21"/>
              </w:rPr>
              <w:t xml:space="preserve">The report is also available as PDF via "Save as PDF" in the print dialog.</w:t>
            </w:r>
          </w:p>
        </w:tc>
      </w:tr>
    </w:tbl>
    <w:p/>
    <w:p>
      <w:pPr>
        <w:pStyle w:val="Heading1"/>
        <w:spacing w:after="120" w:before="360"/>
      </w:pPr>
      <w:r>
        <w:rPr>
          <w:rFonts w:ascii="Arial" w:cs="Arial" w:eastAsia="Arial" w:hAnsi="Arial"/>
          <w:b/>
          <w:bCs/>
          <w:color w:val="1A3A6B"/>
          <w:sz w:val="32"/>
          <w:szCs w:val="32"/>
        </w:rPr>
        <w:t xml:space="preserve">11. Data Export</w:t>
      </w:r>
    </w:p>
    <w:p>
      <w:pPr>
        <w:spacing w:after="80" w:before="60"/>
      </w:pPr>
      <w:r>
        <w:rPr>
          <w:rFonts w:ascii="Arial" w:cs="Arial" w:eastAsia="Arial" w:hAnsi="Arial"/>
          <w:sz w:val="22"/>
          <w:szCs w:val="22"/>
        </w:rPr>
        <w:t xml:space="preserve">Each module has CSV and Excel (xlsx) export buttons. The 📤 Export All (Excel) button in the action bar generates a multi-sheet Excel workbook covering the entire financial year: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Excel Sheet</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Content</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Annual Registers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Monthly totals by service for all 12 months</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Treasury</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All decade deposits with receipt numbers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Solidarity</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All BISEC deposits per decade</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Pharmacy</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All CR Pharmacy deposits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Quotes-Parts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All QP payments with references</w:t>
            </w:r>
          </w:p>
        </w:tc>
      </w:tr>
    </w:tbl>
    <w:p/>
    <w:p>
      <w:pPr>
        <w:pStyle w:val="Heading1"/>
        <w:spacing w:after="120" w:before="360"/>
      </w:pPr>
      <w:r>
        <w:rPr>
          <w:rFonts w:ascii="Arial" w:cs="Arial" w:eastAsia="Arial" w:hAnsi="Arial"/>
          <w:b/>
          <w:bCs/>
          <w:color w:val="1A3A6B"/>
          <w:sz w:val="32"/>
          <w:szCs w:val="32"/>
        </w:rPr>
        <w:t xml:space="preserve">12.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4600"/>
            <w:tcBorders>
              <w:top w:val="single" w:color="D4CFC4" w:sz="4"/>
              <w:left w:val="single" w:color="D4CFC4" w:sz="4"/>
              <w:bottom w:val="single" w:color="D4CFC4" w:sz="4"/>
              <w:right w:val="single" w:color="D4CFC4" w:sz="4"/>
            </w:tcBorders>
            <w:shd w:fill="1A3A6B" w:val="clear"/>
            <w:tcMar>
              <w:top w:type="dxa" w:w="80"/>
              <w:left w:type="dxa" w:w="120"/>
              <w:bottom w:type="dxa" w:w="80"/>
              <w:right w:type="dxa" w:w="120"/>
            </w:tcMar>
          </w:tcPr>
          <w:p>
            <w:r>
              <w:rPr>
                <w:rFonts w:ascii="Arial" w:cs="Arial" w:eastAsia="Arial" w:hAnsi="Arial"/>
                <w:b/>
                <w:bCs/>
                <w:color w:val="FFFFFF"/>
                <w:sz w:val="22"/>
                <w:szCs w:val="22"/>
              </w:rPr>
              <w:t xml:space="preserve">Solution</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Data has disappeared</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Check autosave status (top bar). Load a JSON backup if available. Note: clearing browser cache deletes autosave data.</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Calculations seem incorrect</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Check the facility category (Modify FOSA button). Rates apply per category. Verify all revenues are entered in the Cash Journal.</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Triangulation shows gaps</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Compare Register vs Cash Journal totals service by service. Check for missing deposits in Treasury/Solidarity/Pharmacy.</w:t>
            </w:r>
          </w:p>
        </w:tc>
      </w:tr>
      <w:tr>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b/>
                <w:bCs/>
                <w:sz w:val="21"/>
                <w:szCs w:val="21"/>
              </w:rPr>
              <w:t xml:space="preserve">Excel export not working</w:t>
            </w:r>
          </w:p>
        </w:tc>
        <w:tc>
          <w:tcPr>
            <w:tcW w:type="dxa" w:w="4600"/>
            <w:tcBorders>
              <w:top w:val="single" w:color="D4CFC4" w:sz="4"/>
              <w:left w:val="single" w:color="D4CFC4" w:sz="4"/>
              <w:bottom w:val="single" w:color="D4CFC4" w:sz="4"/>
              <w:right w:val="single" w:color="D4CFC4" w:sz="4"/>
            </w:tcBorders>
            <w:shd w:fill="F8F6F2" w:val="clear"/>
            <w:tcMar>
              <w:top w:type="dxa" w:w="60"/>
              <w:left w:type="dxa" w:w="120"/>
              <w:bottom w:type="dxa" w:w="60"/>
              <w:right w:type="dxa" w:w="120"/>
            </w:tcMar>
          </w:tcPr>
          <w:p>
            <w:r>
              <w:rPr>
                <w:rFonts w:ascii="Arial" w:cs="Arial" w:eastAsia="Arial" w:hAnsi="Arial"/>
                <w:sz w:val="21"/>
                <w:szCs w:val="21"/>
              </w:rPr>
              <w:t xml:space="preserve">Use Chrome or Edge. Firefox may block downloads. Check browser download settings.</w:t>
            </w:r>
          </w:p>
        </w:tc>
      </w:tr>
      <w:tr>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b/>
                <w:bCs/>
                <w:sz w:val="21"/>
                <w:szCs w:val="21"/>
              </w:rPr>
              <w:t xml:space="preserve">Report prints the whole tool</w:t>
            </w:r>
          </w:p>
        </w:tc>
        <w:tc>
          <w:tcPr>
            <w:tcW w:type="dxa" w:w="4600"/>
            <w:tcBorders>
              <w:top w:val="single" w:color="D4CFC4" w:sz="4"/>
              <w:left w:val="single" w:color="D4CFC4" w:sz="4"/>
              <w:bottom w:val="single" w:color="D4CFC4" w:sz="4"/>
              <w:right w:val="single" w:color="D4CFC4" w:sz="4"/>
            </w:tcBorders>
            <w:shd w:fill="FFFFFF" w:val="clear"/>
            <w:tcMar>
              <w:top w:type="dxa" w:w="60"/>
              <w:left w:type="dxa" w:w="120"/>
              <w:bottom w:type="dxa" w:w="60"/>
              <w:right w:type="dxa" w:w="120"/>
            </w:tcMar>
          </w:tcPr>
          <w:p>
            <w:r>
              <w:rPr>
                <w:rFonts w:ascii="Arial" w:cs="Arial" w:eastAsia="Arial" w:hAnsi="Arial"/>
                <w:sz w:val="21"/>
                <w:szCs w:val="21"/>
              </w:rPr>
              <w:t xml:space="preserve">Click 📄 Generate first to generate the report, then click 🖨️ Print. Never print from another active tab.</w:t>
            </w:r>
          </w:p>
        </w:tc>
      </w:tr>
    </w:tbl>
    <w:p/>
    <w:p>
      <w:pPr>
        <w:pStyle w:val="Heading1"/>
        <w:spacing w:after="120" w:before="360"/>
      </w:pPr>
      <w:r>
        <w:rPr>
          <w:rFonts w:ascii="Arial" w:cs="Arial" w:eastAsia="Arial" w:hAnsi="Arial"/>
          <w:b/>
          <w:bCs/>
          <w:color w:val="1A3A6B"/>
          <w:sz w:val="32"/>
          <w:szCs w:val="32"/>
        </w:rPr>
        <w:t xml:space="preserve">13. Support &amp; Resources</w:t>
      </w:r>
    </w:p>
    <w:p>
      <w:pPr>
        <w:spacing w:after="80" w:before="60"/>
      </w:pPr>
      <w:r>
        <w:rPr>
          <w:rFonts w:ascii="Arial" w:cs="Arial" w:eastAsia="Arial" w:hAnsi="Arial"/>
          <w:sz w:val="22"/>
          <w:szCs w:val="22"/>
        </w:rPr>
        <w:t xml:space="preserve">This tool is published by FieldHealth Africa as part of the weekly Asset Library — practical tools, templates, and SOPs for field health professionals.</w:t>
      </w:r>
    </w:p>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1A3A6B" w:sz="8"/>
              <w:left w:val="single" w:color="1A3A6B" w:sz="20"/>
              <w:bottom w:val="single" w:color="1A3A6B" w:sz="8"/>
              <w:right w:val="single" w:color="1A3A6B" w:sz="8"/>
            </w:tcBorders>
            <w:shd w:fill="EEF2FF" w:val="clear"/>
            <w:tcMar>
              <w:top w:type="dxa" w:w="100"/>
              <w:left w:type="dxa" w:w="160"/>
              <w:bottom w:type="dxa" w:w="100"/>
              <w:right w:type="dxa" w:w="160"/>
            </w:tcMar>
          </w:tcPr>
          <w:p>
            <w:pPr>
              <w:spacing w:after="80" w:before="0"/>
            </w:pPr>
            <w:r>
              <w:rPr>
                <w:rFonts w:ascii="Arial" w:cs="Arial" w:eastAsia="Arial" w:hAnsi="Arial"/>
                <w:b/>
                <w:bCs/>
                <w:color w:val="1A3A6B"/>
                <w:sz w:val="22"/>
                <w:szCs w:val="22"/>
              </w:rPr>
              <w:t xml:space="preserve">FieldHealth Africa</w:t>
            </w:r>
          </w:p>
          <w:p>
            <w:pPr>
              <w:spacing w:after="30" w:before="30"/>
            </w:pPr>
            <w:r>
              <w:rPr>
                <w:rFonts w:ascii="Arial" w:cs="Arial" w:eastAsia="Arial" w:hAnsi="Arial"/>
                <w:sz w:val="21"/>
                <w:szCs w:val="21"/>
              </w:rPr>
              <w:t xml:space="preserve">Website: www.fieldhealthafrica.org</w:t>
            </w:r>
          </w:p>
          <w:p>
            <w:pPr>
              <w:spacing w:after="30" w:before="30"/>
            </w:pPr>
            <w:r>
              <w:rPr>
                <w:rFonts w:ascii="Arial" w:cs="Arial" w:eastAsia="Arial" w:hAnsi="Arial"/>
                <w:sz w:val="21"/>
                <w:szCs w:val="21"/>
              </w:rPr>
              <w:t xml:space="preserve">Tagline: "From data to decisions, in the field"</w:t>
            </w:r>
          </w:p>
          <w:p>
            <w:pPr>
              <w:spacing w:after="30" w:before="30"/>
            </w:pPr>
            <w:r>
              <w:rPr>
                <w:rFonts w:ascii="Arial" w:cs="Arial" w:eastAsia="Arial" w:hAnsi="Arial"/>
                <w:sz w:val="21"/>
                <w:szCs w:val="21"/>
              </w:rPr>
              <w:t xml:space="preserve">Resources: Weekly Asset Library — tools, templates, SOPs for district health management</w:t>
            </w:r>
          </w:p>
          <w:p>
            <w:pPr>
              <w:spacing w:after="30" w:before="30"/>
            </w:pPr>
            <w:r>
              <w:rPr>
                <w:rFonts w:ascii="Arial" w:cs="Arial" w:eastAsia="Arial" w:hAnsi="Arial"/>
                <w:sz w:val="21"/>
                <w:szCs w:val="21"/>
              </w:rPr>
              <w:t xml:space="preserve">Author: Dr Henry Fomukong — Medical Doctor, Field Epidemiologist, District Medical Officer</w:t>
            </w:r>
          </w:p>
        </w:tc>
      </w:tr>
    </w:tbl>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gridSpan w:val="1"/>
            <w:tcBorders>
              <w:top w:val="single" w:color="7A5C00" w:sz="8"/>
              <w:left w:val="single" w:color="7A5C00" w:sz="20"/>
              <w:bottom w:val="single" w:color="7A5C00" w:sz="8"/>
              <w:right w:val="single" w:color="7A5C00" w:sz="8"/>
            </w:tcBorders>
            <w:shd w:fill="F5F0E8" w:val="clear"/>
            <w:tcMar>
              <w:top w:type="dxa" w:w="100"/>
              <w:left w:type="dxa" w:w="160"/>
              <w:bottom w:type="dxa" w:w="100"/>
              <w:right w:type="dxa" w:w="160"/>
            </w:tcMar>
          </w:tcPr>
          <w:p>
            <w:pPr>
              <w:spacing w:after="80" w:before="0"/>
            </w:pPr>
            <w:r>
              <w:rPr>
                <w:rFonts w:ascii="Arial" w:cs="Arial" w:eastAsia="Arial" w:hAnsi="Arial"/>
                <w:b/>
                <w:bCs/>
                <w:color w:val="7A5C00"/>
                <w:sz w:val="22"/>
                <w:szCs w:val="22"/>
              </w:rPr>
              <w:t xml:space="preserve">Disclaimer</w:t>
            </w:r>
          </w:p>
          <w:p>
            <w:pPr>
              <w:spacing w:after="30" w:before="30"/>
            </w:pPr>
            <w:r>
              <w:rPr>
                <w:rFonts w:ascii="Arial" w:cs="Arial" w:eastAsia="Arial" w:hAnsi="Arial"/>
                <w:sz w:val="21"/>
                <w:szCs w:val="21"/>
              </w:rPr>
              <w:t xml:space="preserve">This tool is designed to support — not replace — official financial management processes.</w:t>
            </w:r>
          </w:p>
          <w:p>
            <w:pPr>
              <w:spacing w:after="30" w:before="30"/>
            </w:pPr>
            <w:r>
              <w:rPr>
                <w:rFonts w:ascii="Arial" w:cs="Arial" w:eastAsia="Arial" w:hAnsi="Arial"/>
                <w:sz w:val="21"/>
                <w:szCs w:val="21"/>
              </w:rPr>
              <w:t xml:space="preserve">All figures must be verified against original source documents before official submission.</w:t>
            </w:r>
          </w:p>
          <w:p>
            <w:pPr>
              <w:spacing w:after="30" w:before="30"/>
            </w:pPr>
            <w:r>
              <w:rPr>
                <w:rFonts w:ascii="Arial" w:cs="Arial" w:eastAsia="Arial" w:hAnsi="Arial"/>
                <w:sz w:val="21"/>
                <w:szCs w:val="21"/>
              </w:rPr>
              <w:t xml:space="preserve">The tool applies national regulations as understood at time of publication.</w:t>
            </w:r>
          </w:p>
          <w:p>
            <w:pPr>
              <w:spacing w:after="30" w:before="30"/>
            </w:pPr>
            <w:r>
              <w:rPr>
                <w:rFonts w:ascii="Arial" w:cs="Arial" w:eastAsia="Arial" w:hAnsi="Arial"/>
                <w:sz w:val="21"/>
                <w:szCs w:val="21"/>
              </w:rPr>
              <w:t xml:space="preserve">Users are responsible for ensuring compliance with current MINSANTE directives.</w:t>
            </w:r>
          </w:p>
        </w:tc>
      </w:tr>
    </w:tbl>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FC4" w:sz="4" w:space="1"/>
      </w:pBdr>
      <w:tabs>
        <w:tab w:val="right" w:pos="9200"/>
      </w:tabs>
      <w:spacing w:after="0" w:before="80"/>
    </w:pPr>
    <w:r>
      <w:rPr>
        <w:rFonts w:ascii="Arial" w:cs="Arial" w:eastAsia="Arial" w:hAnsi="Arial"/>
        <w:i/>
        <w:iCs/>
        <w:color w:val="888888"/>
        <w:sz w:val="18"/>
        <w:szCs w:val="18"/>
      </w:rPr>
      <w:t xml:space="preserve">From data to decisions, in the field</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FC4" w:sz="4" w:space="1"/>
      </w:pBdr>
      <w:tabs>
        <w:tab w:val="right" w:pos="9200"/>
      </w:tabs>
      <w:spacing w:after="80" w:before="0"/>
    </w:pPr>
    <w:r>
      <w:rPr>
        <w:rFonts w:ascii="Arial" w:cs="Arial" w:eastAsia="Arial" w:hAnsi="Arial"/>
        <w:color w:val="888888"/>
        <w:sz w:val="18"/>
        <w:szCs w:val="18"/>
      </w:rPr>
      <w:t xml:space="preserve">FieldHealth Africa  |  MINSANTE Outil de Gestion Financière v3</w:t>
    </w:r>
    <w:r>
      <w:rPr>
        <w:rFonts w:ascii="Arial" w:cs="Arial" w:eastAsia="Arial" w:hAnsi="Arial"/>
        <w:sz w:val="18"/>
        <w:szCs w:val="18"/>
      </w:rPr>
      <w:t xml:space="preserve">	</w:t>
    </w:r>
    <w:r>
      <w:rPr>
        <w:rFonts w:ascii="Arial" w:cs="Arial" w:eastAsia="Arial" w:hAnsi="Arial"/>
        <w:color w:val="006633"/>
        <w:sz w:val="18"/>
        <w:szCs w:val="18"/>
      </w:rPr>
      <w:t xml:space="preserve">www.fieldhealthafrica.org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6633"/>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A3A6B"/>
      <w:sz w:val="26"/>
      <w:szCs w:val="26"/>
    </w:rPr>
  </w:style>
  <w:style w:type="paragraph" w:styleId="Heading3">
    <w:name w:val="Heading 3"/>
    <w:basedOn w:val="Normal"/>
    <w:next w:val="Normal"/>
    <w:qFormat/>
    <w:pPr>
      <w:spacing w:after="60" w:before="180"/>
      <w:outlineLvl w:val="2"/>
    </w:pPr>
    <w:rPr>
      <w:rFonts w:ascii="Arial" w:cs="Arial" w:eastAsia="Arial" w:hAnsi="Arial"/>
      <w:b/>
      <w:bCs/>
      <w:color w:val="0066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2026-05-25T18:56:54.321Z</dcterms:created>
  <dcterms:modified xsi:type="dcterms:W3CDTF">2026-05-25T18:56:54.321Z</dcterms:modified>
</cp:coreProperties>
</file>

<file path=docProps/custom.xml><?xml version="1.0" encoding="utf-8"?>
<Properties xmlns="http://schemas.openxmlformats.org/officeDocument/2006/custom-properties" xmlns:vt="http://schemas.openxmlformats.org/officeDocument/2006/docPropsVTypes"/>
</file>