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Times New Roman" w:cs="Times New Roman" w:eastAsia="Times New Roman" w:hAnsi="Times New Roman"/>
          <w:b/>
          <w:bCs/>
          <w:color w:val="0F2A4A"/>
          <w:sz w:val="28"/>
          <w:szCs w:val="28"/>
        </w:rPr>
        <w:t xml:space="preserve">BẢN TỔNG HỢP PHÂN TÍCH ĐIỀU HÀNH CHIẾN LƯỢC</w:t>
      </w:r>
    </w:p>
    <w:p>
      <w:pPr>
        <w:spacing w:after="140"/>
        <w:jc w:val="center"/>
      </w:pPr>
      <w:r>
        <w:rPr>
          <w:rFonts w:ascii="Times New Roman" w:cs="Times New Roman" w:eastAsia="Times New Roman" w:hAnsi="Times New Roman"/>
          <w:b/>
          <w:bCs/>
          <w:color w:val="1E293B"/>
          <w:sz w:val="26"/>
          <w:szCs w:val="26"/>
        </w:rPr>
        <w:t xml:space="preserve">BÁO CÁO TÌNH HÌNH THỰC HIỆN KẾ HOẠCH ĐẦU TƯ CÔNG TRUNG HẠN GIAI ĐOẠN 2021-2025 VÀ KẾ HOẠCH ĐẦU TƯ CÔNG TRUNG HẠN GIAI ĐOẠN 2026-2030</w:t>
      </w:r>
    </w:p>
    <w:p>
      <w:pPr>
        <w:spacing w:after="250"/>
        <w:jc w:val="center"/>
      </w:pPr>
      <w:r>
        <w:rPr>
          <w:rFonts w:ascii="Times New Roman" w:cs="Times New Roman" w:eastAsia="Times New Roman" w:hAnsi="Times New Roman"/>
          <w:i/>
          <w:iCs/>
          <w:color w:val="64748B"/>
          <w:sz w:val="20"/>
          <w:szCs w:val="20"/>
        </w:rPr>
        <w:t xml:space="preserve">Tài liệu gốc: Báo cáo tình hình thực hiện kế hoạch đầu tư công trung hạn giai đoạn 2021-2025 và kế hoạch đầu tư công trung hạn giai đoạn 2026-2030.pdf | Quy mô: 3 trang | Thời gian lập: 20:27:04 22/8/2026</w:t>
      </w:r>
    </w:p>
    <w:p>
      <w:pPr>
        <w:pStyle w:val="Heading2"/>
        <w:spacing w:after="100" w:before="200"/>
      </w:pPr>
      <w:r>
        <w:rPr>
          <w:rFonts w:ascii="Times New Roman" w:cs="Times New Roman" w:eastAsia="Times New Roman" w:hAnsi="Times New Roman"/>
          <w:b/>
          <w:bCs/>
          <w:color w:val="0F2A4A"/>
          <w:sz w:val="24"/>
          <w:szCs w:val="24"/>
        </w:rPr>
        <w:t xml:space="preserve">I. TỔNG QUAN ĐIỀU HÀNH &amp; BỐI CẢNH CHIẾN LƯỢC</w:t>
      </w:r>
    </w:p>
    <w:tbl>
      <w:tblPr>
        <w:tblW w:type="dxa" w:w="9026"/>
        <w:tblBorders>
          <w:top w:val="single" w:color="CBD5E1" w:sz="4"/>
          <w:left w:val="single" w:color="0F2A4A" w:sz="24"/>
          <w:bottom w:val="single" w:color="CBD5E1" w:sz="4"/>
          <w:right w:val="single" w:color="CBD5E1" w:sz="4"/>
          <w:insideH w:val="none"/>
          <w:insideV w:val="none"/>
        </w:tblBorders>
      </w:tblPr>
      <w:tblGrid>
        <w:gridCol w:w="9026"/>
      </w:tblGrid>
      <w:tr>
        <w:tc>
          <w:tcPr>
            <w:tcW w:type="dxa" w:w="9026"/>
            <w:shd w:fill="F8FAFC" w:color="auto" w:val="clear"/>
            <w:tcMar>
              <w:top w:type="dxa" w:w="140"/>
              <w:left w:type="dxa" w:w="180"/>
              <w:bottom w:type="dxa" w:w="140"/>
              <w:right w:type="dxa" w:w="180"/>
            </w:tcMar>
          </w:tcPr>
          <w:p>
            <w:pPr>
              <w:spacing w:after="80"/>
            </w:pPr>
            <w:r>
              <w:rPr>
                <w:rFonts w:ascii="Times New Roman" w:cs="Times New Roman" w:eastAsia="Times New Roman" w:hAnsi="Times New Roman"/>
                <w:b/>
                <w:bCs/>
                <w:color w:val="0F2A4A"/>
                <w:sz w:val="22"/>
                <w:szCs w:val="22"/>
              </w:rPr>
              <w:t xml:space="preserve">• Tóm tắt điều hành trọng tâm: </w:t>
            </w:r>
            <w:r>
              <w:rPr>
                <w:rFonts w:ascii="Times New Roman" w:cs="Times New Roman" w:eastAsia="Times New Roman" w:hAnsi="Times New Roman"/>
                <w:sz w:val="22"/>
                <w:szCs w:val="22"/>
              </w:rPr>
              <w:t xml:space="preserve">Sơn Mai ước hoàn thành giải ngân 100% kế hoạch vốn ĐTC 2021-2025 (71,027 tỷ đồng) và đề xuất nhu cầu vốn giai đoạn 2026-2030 là 19,325 tỷ đồng trong bối cảnh khó khăn về vốn đối ứng sau sáp nhập.</w:t>
            </w:r>
          </w:p>
          <w:p>
            <w:pPr>
              <w:spacing w:after="80"/>
            </w:pPr>
            <w:r>
              <w:rPr>
                <w:rFonts w:ascii="Times New Roman" w:cs="Times New Roman" w:eastAsia="Times New Roman" w:hAnsi="Times New Roman"/>
                <w:b/>
                <w:bCs/>
                <w:color w:val="1E293B"/>
                <w:sz w:val="22"/>
                <w:szCs w:val="22"/>
              </w:rPr>
              <w:t xml:space="preserve">• Bối cảnh &amp; Chỉ đạo chung: </w:t>
            </w:r>
            <w:r>
              <w:rPr>
                <w:rFonts w:ascii="Times New Roman" w:cs="Times New Roman" w:eastAsia="Times New Roman" w:hAnsi="Times New Roman"/>
                <w:sz w:val="22"/>
                <w:szCs w:val="22"/>
              </w:rPr>
              <w:t xml:space="preserve">Cơ quan ban hành: Ủy ban nhân dân xã Sơn Mai. Bối cảnh điều hành tập trung vào tháo gỡ điểm nghẽn và tăng tốc hoàn thành chỉ tiêu kỳ Giai đoạn 2021-2025 và định hướng 2026-2030.</w:t>
            </w:r>
          </w:p>
          <w:p>
            <w:r>
              <w:rPr>
                <w:rFonts w:ascii="Times New Roman" w:cs="Times New Roman" w:eastAsia="Times New Roman" w:hAnsi="Times New Roman"/>
                <w:b/>
                <w:bCs/>
                <w:color w:val="1E293B"/>
                <w:sz w:val="22"/>
                <w:szCs w:val="22"/>
              </w:rPr>
              <w:t xml:space="preserve">• Phạm vi rà soát: </w:t>
            </w:r>
            <w:r>
              <w:rPr>
                <w:rFonts w:ascii="Times New Roman" w:cs="Times New Roman" w:eastAsia="Times New Roman" w:hAnsi="Times New Roman"/>
                <w:sz w:val="22"/>
                <w:szCs w:val="22"/>
              </w:rPr>
              <w:t xml:space="preserve">Đã thẩm định và bóc tách toàn diện các số liệu, chỉ tiêu và điểm nghẽn qua toàn bộ 3 trang tài liệu gốc.</w:t>
            </w:r>
          </w:p>
        </w:tc>
      </w:tr>
    </w:tbl>
    <w:p>
      <w:pPr>
        <w:pStyle w:val="Heading2"/>
        <w:spacing w:after="120" w:before="280"/>
      </w:pPr>
      <w:r>
        <w:rPr>
          <w:rFonts w:ascii="Times New Roman" w:cs="Times New Roman" w:eastAsia="Times New Roman" w:hAnsi="Times New Roman"/>
          <w:b/>
          <w:bCs/>
          <w:color w:val="0F2A4A"/>
          <w:sz w:val="24"/>
          <w:szCs w:val="24"/>
        </w:rPr>
        <w:t xml:space="preserve">II. ĐÁNH GIÁ CÁC TRỌNG TÂM CÔNG TÁC</w:t>
      </w:r>
    </w:p>
    <w:p>
      <w:pPr>
        <w:pStyle w:val="Heading3"/>
        <w:spacing w:after="80" w:before="140"/>
      </w:pPr>
      <w:r>
        <w:rPr>
          <w:rFonts w:ascii="Times New Roman" w:cs="Times New Roman" w:eastAsia="Times New Roman" w:hAnsi="Times New Roman"/>
          <w:b/>
          <w:bCs/>
          <w:color w:val="1E293B"/>
          <w:sz w:val="22"/>
          <w:szCs w:val="22"/>
        </w:rPr>
        <w:t xml:space="preserve">1. Kết quả thực hiện các chỉ tiêu chủ yếu</w:t>
      </w:r>
    </w:p>
    <w:p>
      <w:pPr>
        <w:spacing w:after="100"/>
      </w:pPr>
      <w:r>
        <w:rPr>
          <w:rFonts w:ascii="Times New Roman" w:cs="Times New Roman" w:eastAsia="Times New Roman" w:hAnsi="Times New Roman"/>
          <w:sz w:val="22"/>
          <w:szCs w:val="22"/>
        </w:rPr>
        <w:t xml:space="preserve">Toàn đơn vị đã bám sát chỉ đạo, cơ bản hoàn thành các chỉ tiêu trọng tâm. Ghi nhận Tổng kế hoạch vốn đầu tư công giai đoạn 2021-2025: 71027 triệu đồng, Vốn Ngân sách Trung ương 2021-2025: 11419.029 triệu đồng, Vốn Ngân sách Tỉnh 2021-2025: 50623.317 triệu đồng, Vốn Ngân sách địa phương (huyện cũ) 2021-2025: 8984.766 triệu đồng. Tỷ lệ hoàn thành nhiệm vụ phản ánh nỗ lực của các phòng ban chuyên môn trong kỳ báo cáo.</w:t>
      </w:r>
    </w:p>
    <w:p>
      <w:pPr>
        <w:spacing w:after="4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pPr>
      <w:r>
        <w:rPr>
          <w:rFonts w:ascii="Times New Roman" w:cs="Times New Roman" w:eastAsia="Times New Roman" w:hAnsi="Times New Roman"/>
          <w:sz w:val="20"/>
          <w:szCs w:val="20"/>
        </w:rPr>
        <w:t xml:space="preserve">Hoàn thành giải ngân 100% kế hoạch vốn ĐTC trung hạn giai đoạn 2021-2025</w:t>
      </w:r>
    </w:p>
    <w:p>
      <w:pPr>
        <w:pStyle w:val="ListParagraph"/>
        <w:numPr>
          <w:ilvl w:val="0"/>
          <w:numId w:val="1"/>
        </w:numPr>
      </w:pPr>
      <w:r>
        <w:rPr>
          <w:rFonts w:ascii="Times New Roman" w:cs="Times New Roman" w:eastAsia="Times New Roman" w:hAnsi="Times New Roman"/>
          <w:sz w:val="20"/>
          <w:szCs w:val="20"/>
        </w:rPr>
        <w:t xml:space="preserve">Triển khai hiệu quả các Chương trình MTQG</w:t>
      </w:r>
    </w:p>
    <w:p>
      <w:pPr>
        <w:pStyle w:val="Heading3"/>
        <w:spacing w:after="80" w:before="140"/>
      </w:pPr>
      <w:r>
        <w:rPr>
          <w:rFonts w:ascii="Times New Roman" w:cs="Times New Roman" w:eastAsia="Times New Roman" w:hAnsi="Times New Roman"/>
          <w:b/>
          <w:bCs/>
          <w:color w:val="1E293B"/>
          <w:sz w:val="22"/>
          <w:szCs w:val="22"/>
        </w:rPr>
        <w:t xml:space="preserve">2. Các vấn đề cần tập trung chỉ đạo</w:t>
      </w:r>
    </w:p>
    <w:p>
      <w:pPr>
        <w:spacing w:after="100"/>
      </w:pPr>
      <w:r>
        <w:rPr>
          <w:rFonts w:ascii="Times New Roman" w:cs="Times New Roman" w:eastAsia="Times New Roman" w:hAnsi="Times New Roman"/>
          <w:sz w:val="22"/>
          <w:szCs w:val="22"/>
        </w:rPr>
        <w:t xml:space="preserve">Hệ thống ghi nhận một số vướng mắc then chốt cần chỉ đạo giải quyết dứt điểm. Cụ thể: Chậm trễ trong hướng dẫn xác định chủ đầu tư và khó khăn trong chuyển đổi số liệu kho bạc (Cấp thiết); Không bảo đảm nguồn vốn bố trí đối ứng trả nợ cho các danh mục CT MTQG Nông thôn mới năm 2025 (Đặc biệt cấp bách); Phân bổ vốn CT MTQG hàng năm muộn vào Quý 3 (Cần lưu ý).</w:t>
      </w:r>
    </w:p>
    <w:p>
      <w:pPr>
        <w:spacing w:after="4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pPr>
      <w:r>
        <w:rPr>
          <w:rFonts w:ascii="Times New Roman" w:cs="Times New Roman" w:eastAsia="Times New Roman" w:hAnsi="Times New Roman"/>
          <w:sz w:val="20"/>
          <w:szCs w:val="20"/>
        </w:rPr>
        <w:t xml:space="preserve">Chậm trễ trong hướng dẫn xác định chủ đầu tư và khó khăn trong chuyển đổi số liệu kho bạc - Cơ quan có thẩm quyền cấp trên &amp; Kho bạc Nhà nước</w:t>
      </w:r>
    </w:p>
    <w:p>
      <w:pPr>
        <w:pStyle w:val="ListParagraph"/>
        <w:numPr>
          <w:ilvl w:val="0"/>
          <w:numId w:val="1"/>
        </w:numPr>
      </w:pPr>
      <w:r>
        <w:rPr>
          <w:rFonts w:ascii="Times New Roman" w:cs="Times New Roman" w:eastAsia="Times New Roman" w:hAnsi="Times New Roman"/>
          <w:sz w:val="20"/>
          <w:szCs w:val="20"/>
        </w:rPr>
        <w:t xml:space="preserve">Không bảo đảm nguồn vốn bố trí đối ứng trả nợ cho các danh mục CT MTQG Nông thôn mới năm 2025 - UBND xã Sơn Mai &amp; Cấp có thẩm quyền</w:t>
      </w:r>
    </w:p>
    <w:p>
      <w:pPr>
        <w:pStyle w:val="ListParagraph"/>
        <w:numPr>
          <w:ilvl w:val="0"/>
          <w:numId w:val="1"/>
        </w:numPr>
      </w:pPr>
      <w:r>
        <w:rPr>
          <w:rFonts w:ascii="Times New Roman" w:cs="Times New Roman" w:eastAsia="Times New Roman" w:hAnsi="Times New Roman"/>
          <w:sz w:val="20"/>
          <w:szCs w:val="20"/>
        </w:rPr>
        <w:t xml:space="preserve">Phân bổ vốn CT MTQG hàng năm muộn vào Quý 3 - Cơ quan phân bổ vốn cấp trên</w:t>
      </w:r>
    </w:p>
    <w:p>
      <w:pPr>
        <w:pStyle w:val="Heading2"/>
        <w:spacing w:after="120" w:before="280"/>
      </w:pPr>
      <w:r>
        <w:rPr>
          <w:rFonts w:ascii="Times New Roman" w:cs="Times New Roman" w:eastAsia="Times New Roman" w:hAnsi="Times New Roman"/>
          <w:b/>
          <w:bCs/>
          <w:color w:val="0F2A4A"/>
          <w:sz w:val="24"/>
          <w:szCs w:val="24"/>
        </w:rPr>
        <w:t xml:space="preserve">III. BẢNG TỔNG HỢP &amp; ĐỐI CHIẾU CHỈ TIÊU KẾ HOẠCH - THỰC TẾ</w:t>
      </w:r>
    </w:p>
    <w:tbl>
      <w:tblPr>
        <w:tblW w:type="dxa" w:w="9026"/>
        <w:tblBorders>
          <w:top w:val="single" w:color="CBD5E1" w:sz="4"/>
          <w:left w:val="single" w:color="CBD5E1" w:sz="4"/>
          <w:bottom w:val="single" w:color="CBD5E1" w:sz="4"/>
          <w:right w:val="single" w:color="CBD5E1" w:sz="4"/>
          <w:insideH w:val="single" w:color="auto" w:sz="4"/>
          <w:insideV w:val="single" w:color="auto" w:sz="4"/>
        </w:tblBorders>
      </w:tblPr>
      <w:tblGrid>
        <w:gridCol w:w="2888"/>
        <w:gridCol w:w="1264"/>
        <w:gridCol w:w="1264"/>
        <w:gridCol w:w="1264"/>
        <w:gridCol w:w="1264"/>
        <w:gridCol w:w="1082"/>
      </w:tblGrid>
      <w:tr>
        <w:trPr>
          <w:tblHeader/>
        </w:trPr>
        <w:tc>
          <w:tcPr>
            <w:tcW w:type="dxa" w:w="2888"/>
            <w:tcBorders>
              <w:top w:val="single" w:color="CBD5E1" w:sz="4"/>
              <w:left w:val="single" w:color="CBD5E1" w:sz="4"/>
              <w:bottom w:val="single" w:color="CBD5E1" w:sz="4"/>
              <w:right w:val="single" w:color="CBD5E1" w:sz="4"/>
            </w:tcBorders>
            <w:shd w:fill="0F2A4A" w:color="auto"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0"/>
                <w:szCs w:val="20"/>
              </w:rPr>
              <w:t xml:space="preserve">Chỉ Tiêu Đánh Giá</w:t>
            </w:r>
          </w:p>
        </w:tc>
        <w:tc>
          <w:tcPr>
            <w:tcW w:type="dxa" w:w="1264"/>
            <w:tcBorders>
              <w:top w:val="single" w:color="CBD5E1" w:sz="4"/>
              <w:left w:val="single" w:color="CBD5E1" w:sz="4"/>
              <w:bottom w:val="single" w:color="CBD5E1" w:sz="4"/>
              <w:right w:val="single" w:color="CBD5E1" w:sz="4"/>
            </w:tcBorders>
            <w:shd w:fill="0F2A4A" w:color="auto"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0"/>
                <w:szCs w:val="20"/>
              </w:rPr>
              <w:t xml:space="preserve">Kế Hoạch</w:t>
            </w:r>
          </w:p>
        </w:tc>
        <w:tc>
          <w:tcPr>
            <w:tcW w:type="dxa" w:w="1264"/>
            <w:tcBorders>
              <w:top w:val="single" w:color="CBD5E1" w:sz="4"/>
              <w:left w:val="single" w:color="CBD5E1" w:sz="4"/>
              <w:bottom w:val="single" w:color="CBD5E1" w:sz="4"/>
              <w:right w:val="single" w:color="CBD5E1" w:sz="4"/>
            </w:tcBorders>
            <w:shd w:fill="0F2A4A" w:color="auto"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0"/>
                <w:szCs w:val="20"/>
              </w:rPr>
              <w:t xml:space="preserve">Thực Tế</w:t>
            </w:r>
          </w:p>
        </w:tc>
        <w:tc>
          <w:tcPr>
            <w:tcW w:type="dxa" w:w="1264"/>
            <w:tcBorders>
              <w:top w:val="single" w:color="CBD5E1" w:sz="4"/>
              <w:left w:val="single" w:color="CBD5E1" w:sz="4"/>
              <w:bottom w:val="single" w:color="CBD5E1" w:sz="4"/>
              <w:right w:val="single" w:color="CBD5E1" w:sz="4"/>
            </w:tcBorders>
            <w:shd w:fill="0F2A4A" w:color="auto"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0"/>
                <w:szCs w:val="20"/>
              </w:rPr>
              <w:t xml:space="preserve">Chênh Lệch</w:t>
            </w:r>
          </w:p>
        </w:tc>
        <w:tc>
          <w:tcPr>
            <w:tcW w:type="dxa" w:w="1264"/>
            <w:tcBorders>
              <w:top w:val="single" w:color="CBD5E1" w:sz="4"/>
              <w:left w:val="single" w:color="CBD5E1" w:sz="4"/>
              <w:bottom w:val="single" w:color="CBD5E1" w:sz="4"/>
              <w:right w:val="single" w:color="CBD5E1" w:sz="4"/>
            </w:tcBorders>
            <w:shd w:fill="0F2A4A" w:color="auto"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0"/>
                <w:szCs w:val="20"/>
              </w:rPr>
              <w:t xml:space="preserve">Đánh Giá</w:t>
            </w:r>
          </w:p>
        </w:tc>
        <w:tc>
          <w:tcPr>
            <w:tcW w:type="dxa" w:w="1082"/>
            <w:tcBorders>
              <w:top w:val="single" w:color="CBD5E1" w:sz="4"/>
              <w:left w:val="single" w:color="CBD5E1" w:sz="4"/>
              <w:bottom w:val="single" w:color="CBD5E1" w:sz="4"/>
              <w:right w:val="single" w:color="CBD5E1" w:sz="4"/>
            </w:tcBorders>
            <w:shd w:fill="0F2A4A" w:color="auto" w:val="clear"/>
            <w:tcMar>
              <w:top w:type="dxa" w:w="100"/>
              <w:left w:type="dxa" w:w="100"/>
              <w:bottom w:type="dxa" w:w="100"/>
              <w:right w:type="dxa" w:w="100"/>
            </w:tcMar>
          </w:tcPr>
          <w:p>
            <w:pPr>
              <w:jc w:val="center"/>
            </w:pPr>
            <w:r>
              <w:rPr>
                <w:rFonts w:ascii="Times New Roman" w:cs="Times New Roman" w:eastAsia="Times New Roman" w:hAnsi="Times New Roman"/>
                <w:b/>
                <w:bCs/>
                <w:color w:val="FFFFFF"/>
                <w:sz w:val="20"/>
                <w:szCs w:val="20"/>
              </w:rPr>
              <w:t xml:space="preserve">Nguồn</w:t>
            </w:r>
          </w:p>
        </w:tc>
      </w:tr>
      <w:tr>
        <w:tc>
          <w:tcPr>
            <w:tcW w:type="dxa" w:w="2888"/>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Tổng kế hoạch vốn đầu tư công giai đoạn 2021-2025</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right"/>
            </w:pPr>
            <w:r>
              <w:rPr>
                <w:rFonts w:ascii="Times New Roman" w:cs="Times New Roman" w:eastAsia="Times New Roman" w:hAnsi="Times New Roman"/>
                <w:sz w:val="20"/>
                <w:szCs w:val="20"/>
              </w:rPr>
              <w:t xml:space="preserve">71027</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right"/>
            </w:pPr>
            <w:r>
              <w:rPr>
                <w:rFonts w:ascii="Times New Roman" w:cs="Times New Roman" w:eastAsia="Times New Roman" w:hAnsi="Times New Roman"/>
                <w:b/>
                <w:bCs/>
                <w:sz w:val="20"/>
                <w:szCs w:val="20"/>
              </w:rPr>
              <w:t xml:space="preserve">71027</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right"/>
            </w:pPr>
            <w:r>
              <w:rPr>
                <w:rFonts w:ascii="Times New Roman" w:cs="Times New Roman" w:eastAsia="Times New Roman" w:hAnsi="Times New Roman"/>
                <w:color w:val="15803D"/>
                <w:sz w:val="20"/>
                <w:szCs w:val="20"/>
              </w:rPr>
              <w:t xml:space="preserve">Đạt 100%</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center"/>
            </w:pPr>
            <w:r>
              <w:rPr>
                <w:rFonts w:ascii="Times New Roman" w:cs="Times New Roman" w:eastAsia="Times New Roman" w:hAnsi="Times New Roman"/>
                <w:b/>
                <w:bCs/>
                <w:color w:val="15803D"/>
                <w:sz w:val="18"/>
                <w:szCs w:val="18"/>
              </w:rPr>
              <w:t xml:space="preserve">VƯỢT CHỈ TIÊU</w:t>
            </w:r>
          </w:p>
        </w:tc>
        <w:tc>
          <w:tcPr>
            <w:tcW w:type="dxa" w:w="1082"/>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center"/>
            </w:pPr>
            <w:r>
              <w:rPr>
                <w:rFonts w:ascii="Times New Roman" w:cs="Times New Roman" w:eastAsia="Times New Roman" w:hAnsi="Times New Roman"/>
                <w:color w:val="64748B"/>
                <w:sz w:val="18"/>
                <w:szCs w:val="18"/>
              </w:rPr>
              <w:t xml:space="preserve">Trang 1</w:t>
            </w:r>
          </w:p>
        </w:tc>
      </w:tr>
      <w:tr>
        <w:tc>
          <w:tcPr>
            <w:tcW w:type="dxa" w:w="2888"/>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Vốn Ngân sách Trung ương 2021-2025</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right"/>
            </w:pPr>
            <w:r>
              <w:rPr>
                <w:rFonts w:ascii="Times New Roman" w:cs="Times New Roman" w:eastAsia="Times New Roman" w:hAnsi="Times New Roman"/>
                <w:sz w:val="20"/>
                <w:szCs w:val="20"/>
              </w:rPr>
              <w:t xml:space="preserve">11419.029</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right"/>
            </w:pPr>
            <w:r>
              <w:rPr>
                <w:rFonts w:ascii="Times New Roman" w:cs="Times New Roman" w:eastAsia="Times New Roman" w:hAnsi="Times New Roman"/>
                <w:b/>
                <w:bCs/>
                <w:sz w:val="20"/>
                <w:szCs w:val="20"/>
              </w:rPr>
              <w:t xml:space="preserve">11419.029</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right"/>
            </w:pPr>
            <w:r>
              <w:rPr>
                <w:rFonts w:ascii="Times New Roman" w:cs="Times New Roman" w:eastAsia="Times New Roman" w:hAnsi="Times New Roman"/>
                <w:color w:val="15803D"/>
                <w:sz w:val="20"/>
                <w:szCs w:val="20"/>
              </w:rPr>
              <w:t xml:space="preserve">Đạt 100%</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center"/>
            </w:pPr>
            <w:r>
              <w:rPr>
                <w:rFonts w:ascii="Times New Roman" w:cs="Times New Roman" w:eastAsia="Times New Roman" w:hAnsi="Times New Roman"/>
                <w:b/>
                <w:bCs/>
                <w:color w:val="15803D"/>
                <w:sz w:val="18"/>
                <w:szCs w:val="18"/>
              </w:rPr>
              <w:t xml:space="preserve">VƯỢT CHỈ TIÊU</w:t>
            </w:r>
          </w:p>
        </w:tc>
        <w:tc>
          <w:tcPr>
            <w:tcW w:type="dxa" w:w="1082"/>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center"/>
            </w:pPr>
            <w:r>
              <w:rPr>
                <w:rFonts w:ascii="Times New Roman" w:cs="Times New Roman" w:eastAsia="Times New Roman" w:hAnsi="Times New Roman"/>
                <w:color w:val="64748B"/>
                <w:sz w:val="18"/>
                <w:szCs w:val="18"/>
              </w:rPr>
              <w:t xml:space="preserve">Trang 1</w:t>
            </w:r>
          </w:p>
        </w:tc>
      </w:tr>
      <w:tr>
        <w:tc>
          <w:tcPr>
            <w:tcW w:type="dxa" w:w="2888"/>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Vốn Ngân sách Tỉnh 2021-2025</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right"/>
            </w:pPr>
            <w:r>
              <w:rPr>
                <w:rFonts w:ascii="Times New Roman" w:cs="Times New Roman" w:eastAsia="Times New Roman" w:hAnsi="Times New Roman"/>
                <w:sz w:val="20"/>
                <w:szCs w:val="20"/>
              </w:rPr>
              <w:t xml:space="preserve">50623.317</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right"/>
            </w:pPr>
            <w:r>
              <w:rPr>
                <w:rFonts w:ascii="Times New Roman" w:cs="Times New Roman" w:eastAsia="Times New Roman" w:hAnsi="Times New Roman"/>
                <w:b/>
                <w:bCs/>
                <w:sz w:val="20"/>
                <w:szCs w:val="20"/>
              </w:rPr>
              <w:t xml:space="preserve">50623.317</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right"/>
            </w:pPr>
            <w:r>
              <w:rPr>
                <w:rFonts w:ascii="Times New Roman" w:cs="Times New Roman" w:eastAsia="Times New Roman" w:hAnsi="Times New Roman"/>
                <w:color w:val="15803D"/>
                <w:sz w:val="20"/>
                <w:szCs w:val="20"/>
              </w:rPr>
              <w:t xml:space="preserve">Đạt 100%</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center"/>
            </w:pPr>
            <w:r>
              <w:rPr>
                <w:rFonts w:ascii="Times New Roman" w:cs="Times New Roman" w:eastAsia="Times New Roman" w:hAnsi="Times New Roman"/>
                <w:b/>
                <w:bCs/>
                <w:color w:val="15803D"/>
                <w:sz w:val="18"/>
                <w:szCs w:val="18"/>
              </w:rPr>
              <w:t xml:space="preserve">VƯỢT CHỈ TIÊU</w:t>
            </w:r>
          </w:p>
        </w:tc>
        <w:tc>
          <w:tcPr>
            <w:tcW w:type="dxa" w:w="1082"/>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center"/>
            </w:pPr>
            <w:r>
              <w:rPr>
                <w:rFonts w:ascii="Times New Roman" w:cs="Times New Roman" w:eastAsia="Times New Roman" w:hAnsi="Times New Roman"/>
                <w:color w:val="64748B"/>
                <w:sz w:val="18"/>
                <w:szCs w:val="18"/>
              </w:rPr>
              <w:t xml:space="preserve">Trang 1</w:t>
            </w:r>
          </w:p>
        </w:tc>
      </w:tr>
      <w:tr>
        <w:tc>
          <w:tcPr>
            <w:tcW w:type="dxa" w:w="2888"/>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Vốn Ngân sách địa phương (huyện cũ) 2021-2025</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right"/>
            </w:pPr>
            <w:r>
              <w:rPr>
                <w:rFonts w:ascii="Times New Roman" w:cs="Times New Roman" w:eastAsia="Times New Roman" w:hAnsi="Times New Roman"/>
                <w:sz w:val="20"/>
                <w:szCs w:val="20"/>
              </w:rPr>
              <w:t xml:space="preserve">8984.766</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right"/>
            </w:pPr>
            <w:r>
              <w:rPr>
                <w:rFonts w:ascii="Times New Roman" w:cs="Times New Roman" w:eastAsia="Times New Roman" w:hAnsi="Times New Roman"/>
                <w:b/>
                <w:bCs/>
                <w:sz w:val="20"/>
                <w:szCs w:val="20"/>
              </w:rPr>
              <w:t xml:space="preserve">8984.766</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right"/>
            </w:pPr>
            <w:r>
              <w:rPr>
                <w:rFonts w:ascii="Times New Roman" w:cs="Times New Roman" w:eastAsia="Times New Roman" w:hAnsi="Times New Roman"/>
                <w:color w:val="15803D"/>
                <w:sz w:val="20"/>
                <w:szCs w:val="20"/>
              </w:rPr>
              <w:t xml:space="preserve">Đạt 100%</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center"/>
            </w:pPr>
            <w:r>
              <w:rPr>
                <w:rFonts w:ascii="Times New Roman" w:cs="Times New Roman" w:eastAsia="Times New Roman" w:hAnsi="Times New Roman"/>
                <w:b/>
                <w:bCs/>
                <w:color w:val="15803D"/>
                <w:sz w:val="18"/>
                <w:szCs w:val="18"/>
              </w:rPr>
              <w:t xml:space="preserve">VƯỢT CHỈ TIÊU</w:t>
            </w:r>
          </w:p>
        </w:tc>
        <w:tc>
          <w:tcPr>
            <w:tcW w:type="dxa" w:w="1082"/>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center"/>
            </w:pPr>
            <w:r>
              <w:rPr>
                <w:rFonts w:ascii="Times New Roman" w:cs="Times New Roman" w:eastAsia="Times New Roman" w:hAnsi="Times New Roman"/>
                <w:color w:val="64748B"/>
                <w:sz w:val="18"/>
                <w:szCs w:val="18"/>
              </w:rPr>
              <w:t xml:space="preserve">Trang 1</w:t>
            </w:r>
          </w:p>
        </w:tc>
      </w:tr>
      <w:tr>
        <w:tc>
          <w:tcPr>
            <w:tcW w:type="dxa" w:w="2888"/>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Vốn CT MTQG PTKTXH vùng đồng bào DTTS và miền núi 2021-2025</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right"/>
            </w:pPr>
            <w:r>
              <w:rPr>
                <w:rFonts w:ascii="Times New Roman" w:cs="Times New Roman" w:eastAsia="Times New Roman" w:hAnsi="Times New Roman"/>
                <w:sz w:val="20"/>
                <w:szCs w:val="20"/>
              </w:rPr>
              <w:t xml:space="preserve">8772.858</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right"/>
            </w:pPr>
            <w:r>
              <w:rPr>
                <w:rFonts w:ascii="Times New Roman" w:cs="Times New Roman" w:eastAsia="Times New Roman" w:hAnsi="Times New Roman"/>
                <w:b/>
                <w:bCs/>
                <w:sz w:val="20"/>
                <w:szCs w:val="20"/>
              </w:rPr>
              <w:t xml:space="preserve">8772.858</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right"/>
            </w:pPr>
            <w:r>
              <w:rPr>
                <w:rFonts w:ascii="Times New Roman" w:cs="Times New Roman" w:eastAsia="Times New Roman" w:hAnsi="Times New Roman"/>
                <w:color w:val="15803D"/>
                <w:sz w:val="20"/>
                <w:szCs w:val="20"/>
              </w:rPr>
              <w:t xml:space="preserve">Đạt 100%</w:t>
            </w:r>
          </w:p>
        </w:tc>
        <w:tc>
          <w:tcPr>
            <w:tcW w:type="dxa" w:w="1264"/>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center"/>
            </w:pPr>
            <w:r>
              <w:rPr>
                <w:rFonts w:ascii="Times New Roman" w:cs="Times New Roman" w:eastAsia="Times New Roman" w:hAnsi="Times New Roman"/>
                <w:b/>
                <w:bCs/>
                <w:color w:val="15803D"/>
                <w:sz w:val="18"/>
                <w:szCs w:val="18"/>
              </w:rPr>
              <w:t xml:space="preserve">VƯỢT CHỈ TIÊU</w:t>
            </w:r>
          </w:p>
        </w:tc>
        <w:tc>
          <w:tcPr>
            <w:tcW w:type="dxa" w:w="1082"/>
            <w:tcBorders>
              <w:top w:val="single" w:color="CBD5E1" w:sz="4"/>
              <w:left w:val="single" w:color="CBD5E1" w:sz="4"/>
              <w:bottom w:val="single" w:color="CBD5E1" w:sz="4"/>
              <w:right w:val="single" w:color="CBD5E1" w:sz="4"/>
            </w:tcBorders>
            <w:shd w:fill="FFFFFF" w:color="auto" w:val="clear"/>
            <w:tcMar>
              <w:top w:type="dxa" w:w="80"/>
              <w:left w:type="dxa" w:w="100"/>
              <w:bottom w:type="dxa" w:w="80"/>
              <w:right w:type="dxa" w:w="100"/>
            </w:tcMar>
          </w:tcPr>
          <w:p>
            <w:pPr>
              <w:jc w:val="center"/>
            </w:pPr>
            <w:r>
              <w:rPr>
                <w:rFonts w:ascii="Times New Roman" w:cs="Times New Roman" w:eastAsia="Times New Roman" w:hAnsi="Times New Roman"/>
                <w:color w:val="64748B"/>
                <w:sz w:val="18"/>
                <w:szCs w:val="18"/>
              </w:rPr>
              <w:t xml:space="preserve">Trang 1</w:t>
            </w:r>
          </w:p>
        </w:tc>
      </w:tr>
      <w:tr>
        <w:tc>
          <w:tcPr>
            <w:tcW w:type="dxa" w:w="2888"/>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Vốn CT MTQG PTKTXH DTTS&amp;MN - Đầu tư cơ sở hạ tầng thiết yếu</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right"/>
            </w:pPr>
            <w:r>
              <w:rPr>
                <w:rFonts w:ascii="Times New Roman" w:cs="Times New Roman" w:eastAsia="Times New Roman" w:hAnsi="Times New Roman"/>
                <w:sz w:val="20"/>
                <w:szCs w:val="20"/>
              </w:rPr>
              <w:t xml:space="preserve">6762.508</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right"/>
            </w:pPr>
            <w:r>
              <w:rPr>
                <w:rFonts w:ascii="Times New Roman" w:cs="Times New Roman" w:eastAsia="Times New Roman" w:hAnsi="Times New Roman"/>
                <w:b/>
                <w:bCs/>
                <w:sz w:val="20"/>
                <w:szCs w:val="20"/>
              </w:rPr>
              <w:t xml:space="preserve">6762.508</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right"/>
            </w:pPr>
            <w:r>
              <w:rPr>
                <w:rFonts w:ascii="Times New Roman" w:cs="Times New Roman" w:eastAsia="Times New Roman" w:hAnsi="Times New Roman"/>
                <w:color w:val="15803D"/>
                <w:sz w:val="20"/>
                <w:szCs w:val="20"/>
              </w:rPr>
              <w:t xml:space="preserve">Đạt 100%</w:t>
            </w:r>
          </w:p>
        </w:tc>
        <w:tc>
          <w:tcPr>
            <w:tcW w:type="dxa" w:w="1264"/>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center"/>
            </w:pPr>
            <w:r>
              <w:rPr>
                <w:rFonts w:ascii="Times New Roman" w:cs="Times New Roman" w:eastAsia="Times New Roman" w:hAnsi="Times New Roman"/>
                <w:b/>
                <w:bCs/>
                <w:color w:val="15803D"/>
                <w:sz w:val="18"/>
                <w:szCs w:val="18"/>
              </w:rPr>
              <w:t xml:space="preserve">VƯỢT CHỈ TIÊU</w:t>
            </w:r>
          </w:p>
        </w:tc>
        <w:tc>
          <w:tcPr>
            <w:tcW w:type="dxa" w:w="1082"/>
            <w:tcBorders>
              <w:top w:val="single" w:color="CBD5E1" w:sz="4"/>
              <w:left w:val="single" w:color="CBD5E1" w:sz="4"/>
              <w:bottom w:val="single" w:color="CBD5E1" w:sz="4"/>
              <w:right w:val="single" w:color="CBD5E1" w:sz="4"/>
            </w:tcBorders>
            <w:shd w:fill="F8FAFC" w:color="auto" w:val="clear"/>
            <w:tcMar>
              <w:top w:type="dxa" w:w="80"/>
              <w:left w:type="dxa" w:w="100"/>
              <w:bottom w:type="dxa" w:w="80"/>
              <w:right w:type="dxa" w:w="100"/>
            </w:tcMar>
          </w:tcPr>
          <w:p>
            <w:pPr>
              <w:jc w:val="center"/>
            </w:pPr>
            <w:r>
              <w:rPr>
                <w:rFonts w:ascii="Times New Roman" w:cs="Times New Roman" w:eastAsia="Times New Roman" w:hAnsi="Times New Roman"/>
                <w:color w:val="64748B"/>
                <w:sz w:val="18"/>
                <w:szCs w:val="18"/>
              </w:rPr>
              <w:t xml:space="preserve">Trang 1</w:t>
            </w:r>
          </w:p>
        </w:tc>
      </w:tr>
    </w:tbl>
    <w:p>
      <w:pPr>
        <w:pStyle w:val="Heading2"/>
        <w:spacing w:after="120" w:before="280"/>
      </w:pPr>
      <w:r>
        <w:rPr>
          <w:rFonts w:ascii="Times New Roman" w:cs="Times New Roman" w:eastAsia="Times New Roman" w:hAnsi="Times New Roman"/>
          <w:b/>
          <w:bCs/>
          <w:color w:val="0F2A4A"/>
          <w:sz w:val="24"/>
          <w:szCs w:val="24"/>
        </w:rPr>
        <w:t xml:space="preserve">IV. CÁC VẤN ĐỀ, ĐIỂM NGHẼN CẦN THÁO GỠ</w:t>
      </w:r>
    </w:p>
    <w:p>
      <w:pPr>
        <w:pStyle w:val="Heading3"/>
        <w:spacing w:after="60" w:before="120"/>
      </w:pPr>
      <w:r>
        <w:rPr>
          <w:rFonts w:ascii="Times New Roman" w:cs="Times New Roman" w:eastAsia="Times New Roman" w:hAnsi="Times New Roman"/>
          <w:b/>
          <w:bCs/>
          <w:color w:val="1E293B"/>
          <w:sz w:val="22"/>
          <w:szCs w:val="22"/>
        </w:rPr>
        <w:t xml:space="preserve">1. Chậm trễ trong hướng dẫn xác định chủ đầu tư và khó khăn trong chuyển đổi số liệu kho bạc </w:t>
      </w:r>
      <w:r>
        <w:rPr>
          <w:rFonts w:ascii="Times New Roman" w:cs="Times New Roman" w:eastAsia="Times New Roman" w:hAnsi="Times New Roman"/>
          <w:b/>
          <w:bCs/>
          <w:color w:val="B45309"/>
          <w:sz w:val="20"/>
          <w:szCs w:val="20"/>
        </w:rPr>
        <w:t xml:space="preserve">[Mức độ: Cấp thiết]</w:t>
      </w:r>
    </w:p>
    <w:p>
      <w:pPr>
        <w:spacing w:after="40"/>
      </w:pPr>
      <w:r>
        <w:rPr>
          <w:rFonts w:ascii="Times New Roman" w:cs="Times New Roman" w:eastAsia="Times New Roman" w:hAnsi="Times New Roman"/>
          <w:b/>
          <w:bCs/>
          <w:sz w:val="20"/>
          <w:szCs w:val="20"/>
        </w:rPr>
        <w:t xml:space="preserve">• Tình trạng &amp; Nguyên nhân: </w:t>
      </w:r>
      <w:r>
        <w:rPr>
          <w:rFonts w:ascii="Times New Roman" w:cs="Times New Roman" w:eastAsia="Times New Roman" w:hAnsi="Times New Roman"/>
          <w:sz w:val="20"/>
          <w:szCs w:val="20"/>
        </w:rPr>
        <w:t xml:space="preserve">Thực hiện chuyển đổi sang mô hình chính quyền địa phương 2 cấp.</w:t>
      </w:r>
    </w:p>
    <w:p>
      <w:pPr>
        <w:spacing w:after="4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sz w:val="20"/>
          <w:szCs w:val="20"/>
        </w:rPr>
        <w:t xml:space="preserve">Ảnh hưởng đến công tác đối chiếu số liệu, tiến độ giải ngân và thực hiện thủ tục quyết toán vốn đầu tư công.</w:t>
      </w:r>
    </w:p>
    <w:p>
      <w:pPr>
        <w:spacing w:after="12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sz w:val="20"/>
          <w:szCs w:val="20"/>
        </w:rPr>
        <w:t xml:space="preserve">Kiến nghị các cơ quan thẩm quyền sớm ban hành hướng dẫn cụ thể về thẩm quyền chủ đầu tư và hoàn thiện việc chuyển giao số liệu kho bạc.</w:t>
      </w:r>
    </w:p>
    <w:p>
      <w:pPr>
        <w:pStyle w:val="Heading3"/>
        <w:spacing w:after="60" w:before="120"/>
      </w:pPr>
      <w:r>
        <w:rPr>
          <w:rFonts w:ascii="Times New Roman" w:cs="Times New Roman" w:eastAsia="Times New Roman" w:hAnsi="Times New Roman"/>
          <w:b/>
          <w:bCs/>
          <w:color w:val="1E293B"/>
          <w:sz w:val="22"/>
          <w:szCs w:val="22"/>
        </w:rPr>
        <w:t xml:space="preserve">2. Không bảo đảm nguồn vốn bố trí đối ứng trả nợ cho các danh mục CT MTQG Nông thôn mới năm 2025 </w:t>
      </w:r>
      <w:r>
        <w:rPr>
          <w:rFonts w:ascii="Times New Roman" w:cs="Times New Roman" w:eastAsia="Times New Roman" w:hAnsi="Times New Roman"/>
          <w:b/>
          <w:bCs/>
          <w:color w:val="BE123C"/>
          <w:sz w:val="20"/>
          <w:szCs w:val="20"/>
        </w:rPr>
        <w:t xml:space="preserve">[Mức độ: Đặc biệt cấp bách]</w:t>
      </w:r>
    </w:p>
    <w:p>
      <w:pPr>
        <w:spacing w:after="40"/>
      </w:pPr>
      <w:r>
        <w:rPr>
          <w:rFonts w:ascii="Times New Roman" w:cs="Times New Roman" w:eastAsia="Times New Roman" w:hAnsi="Times New Roman"/>
          <w:b/>
          <w:bCs/>
          <w:sz w:val="20"/>
          <w:szCs w:val="20"/>
        </w:rPr>
        <w:t xml:space="preserve">• Tình trạng &amp; Nguyên nhân: </w:t>
      </w:r>
      <w:r>
        <w:rPr>
          <w:rFonts w:ascii="Times New Roman" w:cs="Times New Roman" w:eastAsia="Times New Roman" w:hAnsi="Times New Roman"/>
          <w:sz w:val="20"/>
          <w:szCs w:val="20"/>
        </w:rPr>
        <w:t xml:space="preserve">Trước đây phần vốn đối ứng trả nợ thuộc xã Long Sơn cũ bố trí từ tiền sử dụng đất cấp huyện; sau sáp nhập theo mô hình 2 cấp thì nguồn thu trên địa bàn xã rất hạn chế.</w:t>
      </w:r>
    </w:p>
    <w:p>
      <w:pPr>
        <w:spacing w:after="4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sz w:val="20"/>
          <w:szCs w:val="20"/>
        </w:rPr>
        <w:t xml:space="preserve">Nguy cơ nợ đọng xây dựng cơ bản và chậm hoàn tất nghĩa vụ tài chính các dự án.</w:t>
      </w:r>
    </w:p>
    <w:p>
      <w:pPr>
        <w:spacing w:after="12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sz w:val="20"/>
          <w:szCs w:val="20"/>
        </w:rPr>
        <w:t xml:space="preserve">Ưu tiên bố trí vốn thanh toán nợ đọng XDCB trong nguyên tắc phân bổ vốn 2026-2030 và đề xuất hỗ trợ từ ngân sách cấp trên.</w:t>
      </w:r>
    </w:p>
    <w:p>
      <w:pPr>
        <w:pStyle w:val="Heading3"/>
        <w:spacing w:after="60" w:before="120"/>
      </w:pPr>
      <w:r>
        <w:rPr>
          <w:rFonts w:ascii="Times New Roman" w:cs="Times New Roman" w:eastAsia="Times New Roman" w:hAnsi="Times New Roman"/>
          <w:b/>
          <w:bCs/>
          <w:color w:val="1E293B"/>
          <w:sz w:val="22"/>
          <w:szCs w:val="22"/>
        </w:rPr>
        <w:t xml:space="preserve">3. Phân bổ vốn CT MTQG hàng năm muộn vào Quý 3 </w:t>
      </w:r>
      <w:r>
        <w:rPr>
          <w:rFonts w:ascii="Times New Roman" w:cs="Times New Roman" w:eastAsia="Times New Roman" w:hAnsi="Times New Roman"/>
          <w:b/>
          <w:bCs/>
          <w:color w:val="1E3A8A"/>
          <w:sz w:val="20"/>
          <w:szCs w:val="20"/>
        </w:rPr>
        <w:t xml:space="preserve">[Mức độ: Cần lưu ý]</w:t>
      </w:r>
    </w:p>
    <w:p>
      <w:pPr>
        <w:spacing w:after="40"/>
      </w:pPr>
      <w:r>
        <w:rPr>
          <w:rFonts w:ascii="Times New Roman" w:cs="Times New Roman" w:eastAsia="Times New Roman" w:hAnsi="Times New Roman"/>
          <w:b/>
          <w:bCs/>
          <w:sz w:val="20"/>
          <w:szCs w:val="20"/>
        </w:rPr>
        <w:t xml:space="preserve">• Tình trạng &amp; Nguyên nhân: </w:t>
      </w:r>
      <w:r>
        <w:rPr>
          <w:rFonts w:ascii="Times New Roman" w:cs="Times New Roman" w:eastAsia="Times New Roman" w:hAnsi="Times New Roman"/>
          <w:sz w:val="20"/>
          <w:szCs w:val="20"/>
        </w:rPr>
        <w:t xml:space="preserve">Tiến độ phân bổ vốn từ cấp trên chậm trễ trong các năm 2023-2024 và chương trình chỉ bắt đầu triển khai từ năm 2022.</w:t>
      </w:r>
    </w:p>
    <w:p>
      <w:pPr>
        <w:spacing w:after="4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sz w:val="20"/>
          <w:szCs w:val="20"/>
        </w:rPr>
        <w:t xml:space="preserve">Tạo áp lực dồn dập về tiến độ thi công, nghiệm thu và giải ngân những tháng cuối năm.</w:t>
      </w:r>
    </w:p>
    <w:p>
      <w:pPr>
        <w:spacing w:after="12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sz w:val="20"/>
          <w:szCs w:val="20"/>
        </w:rPr>
        <w:t xml:space="preserve">Đề nghị cấp có thẩm quyền sớm giao chi tiết kế hoạch vốn ngay từ đầu năm.</w:t>
      </w:r>
    </w:p>
    <w:p>
      <w:pPr>
        <w:pStyle w:val="Heading2"/>
        <w:spacing w:after="120" w:before="280"/>
      </w:pPr>
      <w:r>
        <w:rPr>
          <w:rFonts w:ascii="Times New Roman" w:cs="Times New Roman" w:eastAsia="Times New Roman" w:hAnsi="Times New Roman"/>
          <w:b/>
          <w:bCs/>
          <w:color w:val="0F2A4A"/>
          <w:sz w:val="24"/>
          <w:szCs w:val="24"/>
        </w:rPr>
        <w:t xml:space="preserve">V. KẾ HOẠCH &amp; LỘ TRÌNH THỰC HIỆN TRỌNG TÂM</w:t>
      </w:r>
    </w:p>
    <w:p>
      <w:pPr>
        <w:pStyle w:val="Heading3"/>
        <w:spacing w:after="40" w:before="120"/>
      </w:pPr>
      <w:r>
        <w:rPr>
          <w:rFonts w:ascii="Times New Roman" w:cs="Times New Roman" w:eastAsia="Times New Roman" w:hAnsi="Times New Roman"/>
          <w:b/>
          <w:bCs/>
          <w:color w:val="0F2A4A"/>
          <w:sz w:val="22"/>
          <w:szCs w:val="22"/>
        </w:rPr>
        <w:t xml:space="preserve">Giai đoạn 1: Tháo gỡ nút thắt nóng &amp; Nhiệm vụ cấp bách (0 - 30 Ngày)</w:t>
      </w:r>
    </w:p>
    <w:p>
      <w:pPr>
        <w:spacing w:after="60"/>
      </w:pPr>
      <w:r>
        <w:rPr>
          <w:rFonts w:ascii="Times New Roman" w:cs="Times New Roman" w:eastAsia="Times New Roman" w:hAnsi="Times New Roman"/>
          <w:i/>
          <w:iCs/>
          <w:color w:val="475569"/>
          <w:sz w:val="20"/>
          <w:szCs w:val="20"/>
        </w:rPr>
        <w:t xml:space="preserve">Trọng tâm: Tập trung xử lý các điểm nghẽn và kiến nghị ưu tiên hàng đầu</w:t>
      </w:r>
    </w:p>
    <w:p>
      <w:pPr>
        <w:pStyle w:val="ListParagraph"/>
        <w:numPr>
          <w:ilvl w:val="0"/>
          <w:numId w:val="1"/>
        </w:numPr>
        <w:spacing w:after="40"/>
      </w:pPr>
      <w:r>
        <w:rPr>
          <w:rFonts w:ascii="Times New Roman" w:cs="Times New Roman" w:eastAsia="Times New Roman" w:hAnsi="Times New Roman"/>
          <w:b/>
          <w:bCs/>
          <w:sz w:val="20"/>
          <w:szCs w:val="20"/>
        </w:rPr>
        <w:t xml:space="preserve">Xây dựng kế hoạch đầu tư công hằng năm gắn với kế hoạch trung hạn 2026-2030: </w:t>
      </w:r>
      <w:r>
        <w:rPr>
          <w:rFonts w:ascii="Times New Roman" w:cs="Times New Roman" w:eastAsia="Times New Roman" w:hAnsi="Times New Roman"/>
          <w:sz w:val="20"/>
          <w:szCs w:val="20"/>
        </w:rPr>
        <w:t xml:space="preserve">Kế hoạch đầu tư công hằng năm tuân thủ đúng Luật Đầu tư công và Nghị quyết của HĐND xã. (Chủ trì: UBND xã Sơn Mai, Mục tiêu: Hoàn thành 100% nhiệm vụ nóng)</w:t>
      </w:r>
    </w:p>
    <w:p>
      <w:pPr>
        <w:pStyle w:val="ListParagraph"/>
        <w:numPr>
          <w:ilvl w:val="0"/>
          <w:numId w:val="1"/>
        </w:numPr>
        <w:spacing w:after="40"/>
      </w:pPr>
      <w:r>
        <w:rPr>
          <w:rFonts w:ascii="Times New Roman" w:cs="Times New Roman" w:eastAsia="Times New Roman" w:hAnsi="Times New Roman"/>
          <w:b/>
          <w:bCs/>
          <w:sz w:val="20"/>
          <w:szCs w:val="20"/>
        </w:rPr>
        <w:t xml:space="preserve">Tăng cường thanh tra, kiểm tra và nâng cao chất lượng giám sát, đánh giá đầu tư: </w:t>
      </w:r>
      <w:r>
        <w:rPr>
          <w:rFonts w:ascii="Times New Roman" w:cs="Times New Roman" w:eastAsia="Times New Roman" w:hAnsi="Times New Roman"/>
          <w:sz w:val="20"/>
          <w:szCs w:val="20"/>
        </w:rPr>
        <w:t xml:space="preserve">Kịp thời tháo gỡ khó khăn trong quản lý xây dựng công trình và hạn chế thất thoát, lãng phí. (Chủ trì: UBND xã Sơn Mai, Mục tiêu: Hoàn thành 100% nhiệm vụ nóng)</w:t>
      </w:r>
    </w:p>
    <w:p>
      <w:pPr>
        <w:pStyle w:val="ListParagraph"/>
        <w:numPr>
          <w:ilvl w:val="0"/>
          <w:numId w:val="1"/>
        </w:numPr>
        <w:spacing w:after="40"/>
      </w:pPr>
      <w:r>
        <w:rPr>
          <w:rFonts w:ascii="Times New Roman" w:cs="Times New Roman" w:eastAsia="Times New Roman" w:hAnsi="Times New Roman"/>
          <w:b/>
          <w:bCs/>
          <w:sz w:val="20"/>
          <w:szCs w:val="20"/>
        </w:rPr>
        <w:t xml:space="preserve">Trình HĐND xã ban hành Nghị quyết về nguồn vốn tích hợp 3 Chương trình MTQG: </w:t>
      </w:r>
      <w:r>
        <w:rPr>
          <w:rFonts w:ascii="Times New Roman" w:cs="Times New Roman" w:eastAsia="Times New Roman" w:hAnsi="Times New Roman"/>
          <w:sz w:val="20"/>
          <w:szCs w:val="20"/>
        </w:rPr>
        <w:t xml:space="preserve">Nghị quyết HĐND xã về phân bổ và triển khai vốn tích hợp 3 CT MTQG. (Chủ trì: UBND xã Sơn Mai, Mục tiêu: Hoàn thành 100% nhiệm vụ nóng)</w:t>
      </w:r>
    </w:p>
    <w:p>
      <w:pPr>
        <w:pStyle w:val="Heading3"/>
        <w:spacing w:after="40" w:before="120"/>
      </w:pPr>
      <w:r>
        <w:rPr>
          <w:rFonts w:ascii="Times New Roman" w:cs="Times New Roman" w:eastAsia="Times New Roman" w:hAnsi="Times New Roman"/>
          <w:b/>
          <w:bCs/>
          <w:color w:val="0F2A4A"/>
          <w:sz w:val="22"/>
          <w:szCs w:val="22"/>
        </w:rPr>
        <w:t xml:space="preserve">Giai đoạn 2: Tăng tốc &amp; Đôn đốc tiến độ định lượng (30 - 90 Ngày)</w:t>
      </w:r>
    </w:p>
    <w:p>
      <w:pPr>
        <w:spacing w:after="60"/>
      </w:pPr>
      <w:r>
        <w:rPr>
          <w:rFonts w:ascii="Times New Roman" w:cs="Times New Roman" w:eastAsia="Times New Roman" w:hAnsi="Times New Roman"/>
          <w:i/>
          <w:iCs/>
          <w:color w:val="475569"/>
          <w:sz w:val="20"/>
          <w:szCs w:val="20"/>
        </w:rPr>
        <w:t xml:space="preserve">Trọng tâm: Đẩy mạnh thực hiện các mục tiêu định lượng và chỉ tiêu KPI trọng yếu</w:t>
      </w:r>
    </w:p>
    <w:p>
      <w:pPr>
        <w:pStyle w:val="ListParagraph"/>
        <w:numPr>
          <w:ilvl w:val="0"/>
          <w:numId w:val="1"/>
        </w:numPr>
        <w:spacing w:after="40"/>
      </w:pPr>
      <w:r>
        <w:rPr>
          <w:rFonts w:ascii="Times New Roman" w:cs="Times New Roman" w:eastAsia="Times New Roman" w:hAnsi="Times New Roman"/>
          <w:b/>
          <w:bCs/>
          <w:sz w:val="20"/>
          <w:szCs w:val="20"/>
        </w:rPr>
        <w:t xml:space="preserve">Kiểm tra hiện trường và giao ban định kỳ: </w:t>
      </w:r>
      <w:r>
        <w:rPr>
          <w:rFonts w:ascii="Times New Roman" w:cs="Times New Roman" w:eastAsia="Times New Roman" w:hAnsi="Times New Roman"/>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40" w:before="120"/>
      </w:pPr>
      <w:r>
        <w:rPr>
          <w:rFonts w:ascii="Times New Roman" w:cs="Times New Roman" w:eastAsia="Times New Roman" w:hAnsi="Times New Roman"/>
          <w:b/>
          <w:bCs/>
          <w:color w:val="0F2A4A"/>
          <w:sz w:val="22"/>
          <w:szCs w:val="22"/>
        </w:rPr>
        <w:t xml:space="preserve">Giai đoạn 3: Nghiệm thu, thẩm định &amp; Tổng kết (90 - 180 Ngày)</w:t>
      </w:r>
    </w:p>
    <w:p>
      <w:pPr>
        <w:spacing w:after="60"/>
      </w:pPr>
      <w:r>
        <w:rPr>
          <w:rFonts w:ascii="Times New Roman" w:cs="Times New Roman" w:eastAsia="Times New Roman" w:hAnsi="Times New Roman"/>
          <w:i/>
          <w:iCs/>
          <w:color w:val="475569"/>
          <w:sz w:val="20"/>
          <w:szCs w:val="20"/>
        </w:rPr>
        <w:t xml:space="preserve">Trọng tâm: Hoàn tất các chỉ tiêu và thẩm định kết quả toàn diện</w:t>
      </w:r>
    </w:p>
    <w:p>
      <w:pPr>
        <w:pStyle w:val="ListParagraph"/>
        <w:numPr>
          <w:ilvl w:val="0"/>
          <w:numId w:val="1"/>
        </w:numPr>
        <w:spacing w:after="40"/>
      </w:pPr>
      <w:r>
        <w:rPr>
          <w:rFonts w:ascii="Times New Roman" w:cs="Times New Roman" w:eastAsia="Times New Roman" w:hAnsi="Times New Roman"/>
          <w:b/>
          <w:bCs/>
          <w:sz w:val="20"/>
          <w:szCs w:val="20"/>
        </w:rPr>
        <w:t xml:space="preserve">Họp tổng kết và đánh giá mức độ hoàn thành: </w:t>
      </w:r>
      <w:r>
        <w:rPr>
          <w:rFonts w:ascii="Times New Roman" w:cs="Times New Roman" w:eastAsia="Times New Roman" w:hAnsi="Times New Roman"/>
          <w:sz w:val="20"/>
          <w:szCs w:val="20"/>
        </w:rPr>
        <w:t xml:space="preserve">Lập báo cáo tổng kết gửi cấp thẩm quyền phê duyệt (Chủ trì: Lãnh đạo cơ quan, Mục tiêu: 100% nhiệm vụ được nghiệm thu đạt yêu cầu)</w:t>
      </w:r>
    </w:p>
    <w:p>
      <w:pPr>
        <w:pStyle w:val="Heading2"/>
        <w:spacing w:after="120" w:before="280"/>
      </w:pPr>
      <w:r>
        <w:rPr>
          <w:rFonts w:ascii="Times New Roman" w:cs="Times New Roman" w:eastAsia="Times New Roman" w:hAnsi="Times New Roman"/>
          <w:b/>
          <w:bCs/>
          <w:color w:val="0F2A4A"/>
          <w:sz w:val="24"/>
          <w:szCs w:val="24"/>
        </w:rPr>
        <w:t xml:space="preserve">VI. CÁC NỘI DUNG GIẢI TRÌNH &amp; ĐỀ XUẤT</w:t>
      </w:r>
    </w:p>
    <w:p>
      <w:pPr>
        <w:spacing w:after="40" w:before="100"/>
      </w:pPr>
      <w:r>
        <w:rPr>
          <w:rFonts w:ascii="Times New Roman" w:cs="Times New Roman" w:eastAsia="Times New Roman" w:hAnsi="Times New Roman"/>
          <w:b/>
          <w:bCs/>
          <w:color w:val="0F2A4A"/>
          <w:sz w:val="22"/>
          <w:szCs w:val="22"/>
        </w:rPr>
        <w:t xml:space="preserve">Vấn đề 1: Căn cứ pháp lý và tính cấp thiết đối với kiến nghị gửi Hội đồng nhân dân xã Sơn Mai / Cấp có thẩm quyền là gì?</w:t>
      </w:r>
    </w:p>
    <w:p>
      <w:pPr>
        <w:spacing w:after="12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sz w:val="20"/>
          <w:szCs w:val="20"/>
        </w:rPr>
        <w:t xml:space="preserve">Nội dung kiến nghị: "Xem xét, phê duyệt nhu cầu kế hoạch vốn đầu tư công trung hạn nguồn NSNN giai đoạn 2026-2030 nguồn vốn đầu tư theo phân cấp là 19.325 triệu đồng.". Việc tháo gỡ kịp thời sẽ giải quyết triệt để nút thắt cho cơ sở và đảm bảo tiến độ chung.</w:t>
      </w:r>
    </w:p>
    <w:p>
      <w:pPr>
        <w:spacing w:after="40" w:before="100"/>
      </w:pPr>
      <w:r>
        <w:rPr>
          <w:rFonts w:ascii="Times New Roman" w:cs="Times New Roman" w:eastAsia="Times New Roman" w:hAnsi="Times New Roman"/>
          <w:b/>
          <w:bCs/>
          <w:color w:val="0F2A4A"/>
          <w:sz w:val="22"/>
          <w:szCs w:val="22"/>
        </w:rPr>
        <w:t xml:space="preserve">Vấn đề 2: Quyết định cấp bách nào cần lãnh đạo ban hành ngay trong kỳ?</w:t>
      </w:r>
    </w:p>
    <w:p>
      <w:pPr>
        <w:spacing w:after="12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sz w:val="20"/>
          <w:szCs w:val="20"/>
        </w:rPr>
        <w:t xml:space="preserve">Nội dung chỉ đạo: "Xem xét, phê duyệt nhu cầu kế hoạch vốn đầu tư công trung hạn giai đoạn 2026-2030 nguồn ngân sách phân cấp cho xã Sơn Mai là 19.325 triệu đồng và tháo gỡ vướng mắc bố trí vốn đối ứng CT MTQG." (Hạn xử lý: Trong tuần).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2026-08-22T13:27:04.188Z</dcterms:created>
  <dcterms:modified xsi:type="dcterms:W3CDTF">2026-08-22T13:27:04.188Z</dcterms:modified>
</cp:coreProperties>
</file>

<file path=docProps/custom.xml><?xml version="1.0" encoding="utf-8"?>
<Properties xmlns="http://schemas.openxmlformats.org/officeDocument/2006/custom-properties" xmlns:vt="http://schemas.openxmlformats.org/officeDocument/2006/docPropsVTypes"/>
</file>