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CẢI CÁCH HÀNH CHÍNH ĐỊNH KỲ QUÝ III XÃ MINH LONG</w:t>
      </w:r>
    </w:p>
    <w:p>
      <w:pPr>
        <w:spacing w:after="160"/>
        <w:jc w:val="center"/>
      </w:pPr>
      <w:r>
        <w:rPr>
          <w:rFonts w:ascii="Times New Roman" w:cs="Times New Roman" w:eastAsia="Times New Roman" w:hAnsi="Times New Roman"/>
          <w:i/>
          <w:iCs/>
          <w:color w:val="64748B"/>
          <w:sz w:val="18"/>
          <w:szCs w:val="18"/>
        </w:rPr>
        <w:t xml:space="preserve">Tài liệu gốc: Báo cáo Cải cách hành chính định kỳ quý III xã Minh Long.pdf | Quy mô: 16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UBND xã Minh Long hoàn thành trên 75% kế hoạch CCHC năm 2025 và vượt thu ngân sách (đạt 105,83%), nhưng tồn tại điểm nghẽn nghiêm trọng khi giải ngân vốn đầu tư công đạt 0% và biến động nhân sự lãnh đạo sau sắp xếp mô hình chính quyền địa phương hai cấp.</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Minh Long. Bối cảnh điều hành tập trung vào tháo gỡ điểm nghẽn và tăng tốc hoàn thành chỉ tiêu kỳ Quý III năm 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16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Tiến độ thực hiện Kế hoạch CCHC năm 2025: &gt; 75 %, Số văn bản chỉ đạo CCHC đã ban hành: 7 Văn bản, Tổng số TTHC thuộc thẩm quyền giải quyết cấp xã: 393 Thủ tục, Tổng số hồ sơ TTHC tiếp nhận (01/7 - 10/9/2025): 570 Hồ sơ.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vượt mức kế hoạch Thu ngân sách Nhà nước</w:t>
      </w:r>
    </w:p>
    <w:p>
      <w:pPr>
        <w:pStyle w:val="ListParagraph"/>
        <w:numPr>
          <w:ilvl w:val="0"/>
          <w:numId w:val="1"/>
        </w:numPr>
        <w:spacing w:after="30"/>
      </w:pPr>
      <w:r>
        <w:rPr>
          <w:rFonts w:ascii="Times New Roman" w:cs="Times New Roman" w:eastAsia="Times New Roman" w:hAnsi="Times New Roman"/>
          <w:color w:val="334155"/>
          <w:sz w:val="20"/>
          <w:szCs w:val="20"/>
        </w:rPr>
        <w:t xml:space="preserve">Đạt tỷ lệ xuất sắc trong Số hóa hồ sơ và Giải quyết TTHC đúng hạn</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sắp xếp ổn định tổ chức bộ máy và nhân sự theo mô hình hai cấp</w:t>
      </w:r>
    </w:p>
    <w:p>
      <w:pPr>
        <w:pStyle w:val="ListParagraph"/>
        <w:numPr>
          <w:ilvl w:val="0"/>
          <w:numId w:val="1"/>
        </w:numPr>
        <w:spacing w:after="30"/>
      </w:pPr>
      <w:r>
        <w:rPr>
          <w:rFonts w:ascii="Times New Roman" w:cs="Times New Roman" w:eastAsia="Times New Roman" w:hAnsi="Times New Roman"/>
          <w:color w:val="334155"/>
          <w:sz w:val="20"/>
          <w:szCs w:val="20"/>
        </w:rPr>
        <w:t xml:space="preserve">Tích cực đổi mới truyền thông CCHC &amp; Chuyển đổi số bằng tiếng dân tộc thiểu số</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Tỷ lệ giải ngân vốn đầu tư công đạt 0% (Đặc biệt cấp bách); Thiếu hụt lãnh đạo quản lý cấp phòng và áp lực quá tải công việc sau sắp xếp mô hình 2 cấp (Cấp thiết); Chưa thực hiện giao cơ chế tự chủ tài chính cho các đơn vị sự nghiệp công lập (Cần lưu ý); Hệ thống thông tin liên lạc, internet dễ bị gián đoạn và phần mềm chuyên dùng chưa đồng bộ (Cần lưu ý); Chưa có sản phẩm mô hình sáng kiến, giải pháp CCHC hoàn thiện để áp dụng thực tiễn (Theo dõi).</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Tỷ lệ giải ngân vốn đầu tư công đạt 0% - UBND xã Minh Long (Phòng Kinh tế, Ban QLDA) phối hợp Sở Tài chính, Kho bạc Nhà nước</w:t>
      </w:r>
    </w:p>
    <w:p>
      <w:pPr>
        <w:pStyle w:val="ListParagraph"/>
        <w:numPr>
          <w:ilvl w:val="0"/>
          <w:numId w:val="1"/>
        </w:numPr>
        <w:spacing w:after="30"/>
      </w:pPr>
      <w:r>
        <w:rPr>
          <w:rFonts w:ascii="Times New Roman" w:cs="Times New Roman" w:eastAsia="Times New Roman" w:hAnsi="Times New Roman"/>
          <w:color w:val="334155"/>
          <w:sz w:val="20"/>
          <w:szCs w:val="20"/>
        </w:rPr>
        <w:t xml:space="preserve">Thiếu hụt lãnh đạo quản lý cấp phòng và áp lực quá tải công việc sau sắp xếp mô hình 2 cấp - Chủ tịch, các PCT UBND xã, Phòng VH-XH, Văn phòng HĐND&amp;UBND</w:t>
      </w:r>
    </w:p>
    <w:p>
      <w:pPr>
        <w:pStyle w:val="ListParagraph"/>
        <w:numPr>
          <w:ilvl w:val="0"/>
          <w:numId w:val="1"/>
        </w:numPr>
        <w:spacing w:after="30"/>
      </w:pPr>
      <w:r>
        <w:rPr>
          <w:rFonts w:ascii="Times New Roman" w:cs="Times New Roman" w:eastAsia="Times New Roman" w:hAnsi="Times New Roman"/>
          <w:color w:val="334155"/>
          <w:sz w:val="20"/>
          <w:szCs w:val="20"/>
        </w:rPr>
        <w:t xml:space="preserve">Chưa thực hiện giao cơ chế tự chủ tài chính cho các đơn vị sự nghiệp công lập - Phòng Kinh tế xã Minh Long, Sở Tài chính</w:t>
      </w:r>
    </w:p>
    <w:p>
      <w:pPr>
        <w:pStyle w:val="ListParagraph"/>
        <w:numPr>
          <w:ilvl w:val="0"/>
          <w:numId w:val="1"/>
        </w:numPr>
        <w:spacing w:after="30"/>
      </w:pPr>
      <w:r>
        <w:rPr>
          <w:rFonts w:ascii="Times New Roman" w:cs="Times New Roman" w:eastAsia="Times New Roman" w:hAnsi="Times New Roman"/>
          <w:color w:val="334155"/>
          <w:sz w:val="20"/>
          <w:szCs w:val="20"/>
        </w:rPr>
        <w:t xml:space="preserve">Hệ thống thông tin liên lạc, internet dễ bị gián đoạn và phần mềm chuyên dùng chưa đồng bộ - Tổ phụ trách CNTT &amp; Chuyển đổi số, Doanh nghiệp viễn thông đối tác</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Tiến độ thực hiện Kế hoạch CCHC năm 2025</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&gt; 75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34/45 nhiệm vụ đề ra trong kế hoạch</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số hóa hồ sơ đầu vào</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570/570 hồ sơ</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số hóa kết quả giải quyết TTHC (đầu ra)</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544/544 hồ sơ đã giải quyết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hồ sơ TTHC giải quyết đúng hạn và trước hạn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99.82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543/544 hồ sơ (Trang 3 ghi 99,81% / 99,82%, Biểu mẫu 3 ghi 99,82%)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lượng hồ sơ giải quyết trễ hạn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tỷ lệ 0,18%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biên chế cán bộ công chức có mặt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284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259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Biên chế giao 284 người (có 3 biên chế BCH Quân sự). Biểu mẫu 4 ghi giao 44, có mặt 34 CBCC hành chính</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Tỷ lệ giải ngân vốn đầu tư công đạt 0%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Mới có hướng dẫn chuyển nguyên trạng ngân sách xã cũ về xã mới; chưa xác định và chưa giao được nhiệm vụ cho đại diện chủ đầu tư.</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đình trệ tiến độ các công trình xây dựng cơ bản và kế hoạch giải ngân vốn công năm 2025 trên địa bàn xã.</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Khẩn trương phối hợp Sở Tài chính/Kho bạc kiện toàn tư cách chủ đầu tư để làm thủ tục thanh quyết toán và giải ngân vốn.</w:t>
      </w:r>
    </w:p>
    <w:p>
      <w:pPr>
        <w:pStyle w:val="Heading3"/>
        <w:spacing w:after="40" w:before="100"/>
      </w:pPr>
      <w:r>
        <w:rPr>
          <w:rFonts w:ascii="Times New Roman" w:cs="Times New Roman" w:eastAsia="Times New Roman" w:hAnsi="Times New Roman"/>
          <w:b/>
          <w:bCs/>
          <w:color w:val="1E293B"/>
          <w:sz w:val="21"/>
          <w:szCs w:val="21"/>
        </w:rPr>
        <w:t xml:space="preserve">2. Thiếu hụt lãnh đạo quản lý cấp phòng và áp lực quá tải công việc sau sắp xếp mô hình 2 cấp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01 Trưởng phòng VH-XH và 01 Chánh Văn phòng nghỉ tinh giản biên chế từ 01/9/2025; sáp nhập nhiều lĩnh vực chuyên môn (Y tế, GD, Nông nghiệp) dẫn đến cán bộ phụ trách trái ngành.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Công chức còn bỡ ngỡ, thiếu dữ liệu, phải làm việc ngày nghỉ để kịp tiến độ chỉ đạo khẩn của cấp trên; việc cung cấp số liệu CCHC chưa sâu sát.</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xã đã bố trí kiêm nhiệm 02 Trưởng phòng và bổ nhiệm 09 Phó Trưởng phòng; tiếp tục đào tạo, bồi dưỡng kỹ năng nghiệp vụ cho CBCC.</w:t>
      </w:r>
    </w:p>
    <w:p>
      <w:pPr>
        <w:pStyle w:val="Heading3"/>
        <w:spacing w:after="40" w:before="100"/>
      </w:pPr>
      <w:r>
        <w:rPr>
          <w:rFonts w:ascii="Times New Roman" w:cs="Times New Roman" w:eastAsia="Times New Roman" w:hAnsi="Times New Roman"/>
          <w:b/>
          <w:bCs/>
          <w:color w:val="1E293B"/>
          <w:sz w:val="21"/>
          <w:szCs w:val="21"/>
        </w:rPr>
        <w:t xml:space="preserve">3. Chưa thực hiện giao cơ chế tự chủ tài chính cho các đơn vị sự nghiệp công lập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UBND tỉnh chưa giao định mức tự chủ tài chính cho xã mới nên Phòng Kinh tế chưa thể tham mưu phân bổ.</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100% đơn vị sự nghiệp phụ thuộc hoàn toàn vào ngân sách nhà nước, chưa phát huy tính chủ động tài chính.</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Báo cáo đề xuất UBND tỉnh sớm phê duyệt giao quyền tự chủ tài chính cho xã để triển khai giao cho các trường học và trung tâm.</w:t>
      </w:r>
    </w:p>
    <w:p>
      <w:pPr>
        <w:pStyle w:val="Heading3"/>
        <w:spacing w:after="40" w:before="100"/>
      </w:pPr>
      <w:r>
        <w:rPr>
          <w:rFonts w:ascii="Times New Roman" w:cs="Times New Roman" w:eastAsia="Times New Roman" w:hAnsi="Times New Roman"/>
          <w:b/>
          <w:bCs/>
          <w:color w:val="1E293B"/>
          <w:sz w:val="21"/>
          <w:szCs w:val="21"/>
        </w:rPr>
        <w:t xml:space="preserve">4. Hệ thống thông tin liên lạc, internet dễ bị gián đoạn và phần mềm chuyên dùng chưa đồng bộ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Địa hình đồi núi dốc, thời tiết thất thường hay xảy ra giông sét gây cháy thiết bị; phần mềm chuyên ngành phải cấu hình lại cho mô hình cấp xã mới.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Việc khai thác, tiếp nhận, gửi nhận văn bản và hồ sơ dịch vụ công có thời điểm bị chậm trễ.</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Trang bị thiết bị chống sét bảo vệ đường truyền, phối hợp nhà cung cấp phần mềm nâng cấp, cấu hình hoàn chỉnh hệ thống.</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Đẩy mạnh thực hiện Kế hoạch CCHC năm 2025, phấn đấu đạt 100% chỉ tiêu: </w:t>
      </w:r>
      <w:r>
        <w:rPr>
          <w:rFonts w:ascii="Times New Roman" w:cs="Times New Roman" w:eastAsia="Times New Roman" w:hAnsi="Times New Roman"/>
          <w:color w:val="1E293B"/>
          <w:sz w:val="20"/>
          <w:szCs w:val="20"/>
        </w:rPr>
        <w:t xml:space="preserve">Hoàn thành 11 nhiệm vụ còn lại (đạt 45/45 nhiệm vụ CCHC). (Chủ trì: Văn phòng HĐND&amp;UBND,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Tháo gỡ điểm nghẽn, đẩy mạnh giải ngân vốn đầu tư công và giao tự chủ tài chính: </w:t>
      </w:r>
      <w:r>
        <w:rPr>
          <w:rFonts w:ascii="Times New Roman" w:cs="Times New Roman" w:eastAsia="Times New Roman" w:hAnsi="Times New Roman"/>
          <w:color w:val="1E293B"/>
          <w:sz w:val="20"/>
          <w:szCs w:val="20"/>
        </w:rPr>
        <w:t xml:space="preserve">Xác định đại diện chủ đầu tư, giải ngân nguồn vốn đầu tư công được giao và hoàn thành phương án tự chủ tài chính. (Chủ trì: Phòng Kinh tế,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Nâng cao chất lượng kiểm soát TTHC, số hóa quy trình và cung cấp DVC trực tuyến: </w:t>
      </w:r>
      <w:r>
        <w:rPr>
          <w:rFonts w:ascii="Times New Roman" w:cs="Times New Roman" w:eastAsia="Times New Roman" w:hAnsi="Times New Roman"/>
          <w:color w:val="1E293B"/>
          <w:sz w:val="20"/>
          <w:szCs w:val="20"/>
        </w:rPr>
        <w:t xml:space="preserve">Duy trì 100% số hóa hồ sơ, giảm tối đa tỷ lệ trễ hạn, nâng tỷ lệ nộp hồ sơ trực tuyến. (Chủ trì: Trung tâm Phục vụ Hành chính công,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Nội vụ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"Kính đề nghị Sở Nội vụ theo dõi, tổng hợp và hướng dẫn nghiệp vụ CCHC theo mô hình chính quyền địa phương 2 cấp.".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Tài chính, Kho bạc Nhà nước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Sở Tài chính và Kho bạc Nhà nước có văn bản tháo gỡ vướng mắc, hướng dẫn cụ thể về chuyển nguồn kinh phí và xác định đại diện chủ đầu tư để giải ngân vốn đầu tư công.".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UBND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UBND tỉnh sớm phê duyệt và giao định mức tự chủ tài chính cho xã Minh Long.".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"Kiến nghị cấp có thẩm quyền (Sở Tài chính, Kho bạc Nhà nước, UBND tỉnh) hướng dẫn xử lý việc chuyển nguồn thu chi ngân sách, xác định đại diện chủ đầu tư để giải ngân vốn ĐTC và giao tự chủ tài chính cho cấp xã." (Hạn xử lý: Quý IV/2025).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2026-08-22T13:38:35.456Z</dcterms:created>
  <dcterms:modified xsi:type="dcterms:W3CDTF">2026-08-22T13:38:35.456Z</dcterms:modified>
</cp:coreProperties>
</file>

<file path=docProps/custom.xml><?xml version="1.0" encoding="utf-8"?>
<Properties xmlns="http://schemas.openxmlformats.org/officeDocument/2006/custom-properties" xmlns:vt="http://schemas.openxmlformats.org/officeDocument/2006/docPropsVTypes"/>
</file>