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0F2A4A"/>
          <w:sz w:val="26"/>
          <w:szCs w:val="26"/>
        </w:rPr>
        <w:t xml:space="preserve">BẢN TỔNG HỢP PHÂN TÍCH ĐIỀU HÀNH CHIẾN LƯỢC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BÁO CÁO KẾT QUẢ THỰC HIỆN CÔNG TÁC NGÀNH NỘI VỤ THÁNG 4 NĂM 2024 VÀ PHƯƠNG HƯỚNG, NHIỆM VỤ THÁNG 5 NĂM 2024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Tài liệu gốc: BÁO CÁO Kết quả thực hiện công tác ngành Nội vụ tháng 4 năm 2024 và phương hướng, nhiệm vụ tháng 5 năm 2024.pdf | Quy mô: 2 trang | Thời gian lập: 22/8/2026</w:t>
      </w:r>
    </w:p>
    <w:p>
      <w:pPr>
        <w:pStyle w:val="Heading2"/>
        <w:spacing w:after="70" w:before="160"/>
      </w:pPr>
      <w:r>
        <w:rPr>
          <w:rFonts w:ascii="Times New Roman" w:cs="Times New Roman" w:eastAsia="Times New Roman" w:hAnsi="Times New Roman"/>
          <w:b/>
          <w:bCs/>
          <w:color w:val="0F2A4A"/>
          <w:sz w:val="23"/>
          <w:szCs w:val="23"/>
        </w:rPr>
        <w:t xml:space="preserve">I. TỔNG QUAN ĐIỀU HÀNH &amp; BỐI CẢNH CHIẾN LƯỢC</w:t>
      </w:r>
    </w:p>
    <w:tbl>
      <w:tblPr>
        <w:tblW w:type="dxa" w:w="9638"/>
        <w:tblBorders>
          <w:top w:val="single" w:color="CBD5E1" w:sz="4"/>
          <w:left w:val="single" w:color="0F2A4A" w:sz="2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2A4A"/>
                <w:sz w:val="20"/>
                <w:szCs w:val="20"/>
              </w:rPr>
              <w:t xml:space="preserve">• Tóm tắt điều hành trọng tâm: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UBND huyện Lấp Vò triển khai toàn diện công tác Nội vụ tháng 4/2024: hoàn thành phê duyệt 52 Đề án VTVL, xử lý 109 quyết định chính sách tiền lương và kiện toàn tổ chức bộ máy cơ sở.</w:t>
            </w:r>
          </w:p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• Bối cảnh &amp; Chỉ đạo chung: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Cơ quan ban hành: Ủy ban nhân dân huyện Lấp Vò. Bối cảnh điều hành tập trung vào tháo gỡ điểm nghẽn và tăng tốc hoàn thành chỉ tiêu kỳ Tháng 4/2024.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• Phạm vi rà soát: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Đã thẩm định và bóc tách toàn diện các số liệu, chỉ tiêu và điểm nghẽn qua toàn bộ 2 trang tài liệu gốc.</w:t>
            </w:r>
          </w:p>
        </w:tc>
      </w:tr>
    </w:tbl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2A4A"/>
          <w:sz w:val="23"/>
          <w:szCs w:val="23"/>
        </w:rPr>
        <w:t xml:space="preserve">II. ĐÁNH GIÁ CÁC TRỌNG TÂM CÔNG TÁC</w:t>
      </w:r>
    </w:p>
    <w:p>
      <w:pPr>
        <w:pStyle w:val="Heading3"/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E293B"/>
          <w:sz w:val="21"/>
          <w:szCs w:val="21"/>
        </w:rPr>
        <w:t xml:space="preserve">1. Kết quả thực hiện các chỉ tiêu chủ yếu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Toàn đơn vị đã bám sát chỉ đạo, cơ bản hoàn thành các chỉ tiêu trọng tâm. Ghi nhận Số Đề án vị trí việc làm được phê duyệt: 52 Đề án, Số quyết định liên quan đến chính sách, tiền lương ban hành: 109 quyết định, Quyết định chuyển ngạch, chuyển xếp lương: 62 quyết định, Quyết định nâng mức phụ cấp thâm niên, vượt khung: 29 quyết định. Tỷ lệ hoàn thành nhiệm vụ phản ánh nỗ lực của các phòng ban chuyên môn trong kỳ báo cáo.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0F2A4A"/>
          <w:sz w:val="20"/>
          <w:szCs w:val="20"/>
        </w:rPr>
        <w:t xml:space="preserve">Điểm cốt lõi rút ra: 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color w:val="334155"/>
          <w:sz w:val="20"/>
          <w:szCs w:val="20"/>
        </w:rPr>
        <w:t xml:space="preserve">Phê duyệt Đề án Vị trí việc làm và kiện toàn tổ chức bộ máy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color w:val="334155"/>
          <w:sz w:val="20"/>
          <w:szCs w:val="20"/>
        </w:rPr>
        <w:t xml:space="preserve">Bảo đảm thực hiện kịp thời chế độ chính sách tiền lương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color w:val="334155"/>
          <w:sz w:val="20"/>
          <w:szCs w:val="20"/>
        </w:rPr>
        <w:t xml:space="preserve">Triển khai đồng bộ các giải pháp Cải cách hành chính &amp; Kỷ cương công vụ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color w:val="334155"/>
          <w:sz w:val="20"/>
          <w:szCs w:val="20"/>
        </w:rPr>
        <w:t xml:space="preserve">Kiện toàn nhân sự và xây dựng chính quyền cơ sở</w:t>
      </w:r>
    </w:p>
    <w:p>
      <w:pPr>
        <w:pStyle w:val="Heading3"/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E293B"/>
          <w:sz w:val="21"/>
          <w:szCs w:val="21"/>
        </w:rPr>
        <w:t xml:space="preserve">2. Các vấn đề cần tập trung chỉ đạo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Hệ thống ghi nhận một số vướng mắc then chốt cần chỉ đạo giải quyết dứt điểm. Cụ thể: Các tồn tại, hạn chế được chỉ ra theo Kết luận thanh tra số 227/KL-TTr ngày 24/11/2023 của Thanh tra Sở Nội vụ (Cần lưu ý).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0F2A4A"/>
          <w:sz w:val="20"/>
          <w:szCs w:val="20"/>
        </w:rPr>
        <w:t xml:space="preserve">Điểm cốt lõi rút ra: 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color w:val="334155"/>
          <w:sz w:val="20"/>
          <w:szCs w:val="20"/>
        </w:rPr>
        <w:t xml:space="preserve">Các tồn tại, hạn chế được chỉ ra theo Kết luận thanh tra số 227/KL-TTr ngày 24/11/2023 của Thanh tra Sở Nội vụ - UBND Huyện, Phòng Nội vụ, các cơ quan chuyên môn và UBND cấp xã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2A4A"/>
          <w:sz w:val="23"/>
          <w:szCs w:val="23"/>
        </w:rPr>
        <w:t xml:space="preserve">III. BẢNG TỔNG HỢP &amp; ĐỐI CHIẾU CHỈ TIÊU KẾ HOẠCH - THỰC TẾ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400"/>
        <w:gridCol w:w="1400"/>
        <w:gridCol w:w="1238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A4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Chỉ Tiêu Đánh Giá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A4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Kế Hoạch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A4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Thực Tế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A4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Chênh Lệch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A4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Đánh Giá</w:t>
            </w:r>
          </w:p>
        </w:tc>
        <w:tc>
          <w:tcPr>
            <w:tcW w:type="dxa" w:w="1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A4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7"/>
                <w:szCs w:val="17"/>
              </w:rPr>
              <w:t xml:space="preserve">Quyết định chuyển ngạch, chuyển xếp lương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62 QĐ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5803D"/>
                <w:sz w:val="17"/>
                <w:szCs w:val="17"/>
              </w:rPr>
              <w:t xml:space="preserve">Theo số liệu bảng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803D"/>
                <w:sz w:val="16"/>
                <w:szCs w:val="16"/>
              </w:rPr>
              <w:t xml:space="preserve">VƯỢT CHỈ TIÊU</w:t>
            </w:r>
          </w:p>
        </w:tc>
        <w:tc>
          <w:tcPr>
            <w:tcW w:type="dxa" w:w="1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Trang 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7"/>
                <w:szCs w:val="17"/>
              </w:rPr>
              <w:t xml:space="preserve">Quyết định nâng mức phụ cấp thâm niên, vượt khung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29 QĐ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5803D"/>
                <w:sz w:val="17"/>
                <w:szCs w:val="17"/>
              </w:rPr>
              <w:t xml:space="preserve">Theo số liệu bảng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803D"/>
                <w:sz w:val="16"/>
                <w:szCs w:val="16"/>
              </w:rPr>
              <w:t xml:space="preserve">VƯỢT CHỈ TIÊU</w:t>
            </w:r>
          </w:p>
        </w:tc>
        <w:tc>
          <w:tcPr>
            <w:tcW w:type="dxa" w:w="1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Trang 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7"/>
                <w:szCs w:val="17"/>
              </w:rPr>
              <w:t xml:space="preserve">Nâng bậc lương thường xuyên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07 QĐ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5803D"/>
                <w:sz w:val="17"/>
                <w:szCs w:val="17"/>
              </w:rPr>
              <w:t xml:space="preserve">Theo số liệu bảng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803D"/>
                <w:sz w:val="16"/>
                <w:szCs w:val="16"/>
              </w:rPr>
              <w:t xml:space="preserve">VƯỢT CHỈ TIÊU</w:t>
            </w:r>
          </w:p>
        </w:tc>
        <w:tc>
          <w:tcPr>
            <w:tcW w:type="dxa" w:w="1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Trang 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7"/>
                <w:szCs w:val="17"/>
              </w:rPr>
              <w:t xml:space="preserve">Nâng bậc lương trước hạn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06 QĐ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5803D"/>
                <w:sz w:val="17"/>
                <w:szCs w:val="17"/>
              </w:rPr>
              <w:t xml:space="preserve">Theo số liệu bảng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803D"/>
                <w:sz w:val="16"/>
                <w:szCs w:val="16"/>
              </w:rPr>
              <w:t xml:space="preserve">VƯỢT CHỈ TIÊU</w:t>
            </w:r>
          </w:p>
        </w:tc>
        <w:tc>
          <w:tcPr>
            <w:tcW w:type="dxa" w:w="1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Trang 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7"/>
                <w:szCs w:val="17"/>
              </w:rPr>
              <w:t xml:space="preserve">Khen thưởng đột xuất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01 QĐ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5803D"/>
                <w:sz w:val="17"/>
                <w:szCs w:val="17"/>
              </w:rPr>
              <w:t xml:space="preserve">Theo số liệu bảng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803D"/>
                <w:sz w:val="16"/>
                <w:szCs w:val="16"/>
              </w:rPr>
              <w:t xml:space="preserve">VƯỢT CHỈ TIÊU</w:t>
            </w:r>
          </w:p>
        </w:tc>
        <w:tc>
          <w:tcPr>
            <w:tcW w:type="dxa" w:w="1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Trang 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7"/>
                <w:szCs w:val="17"/>
              </w:rPr>
              <w:t xml:space="preserve">Khen thưởng theo Chuyên đề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02 QĐ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5803D"/>
                <w:sz w:val="17"/>
                <w:szCs w:val="17"/>
              </w:rPr>
              <w:t xml:space="preserve">Theo số liệu bảng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803D"/>
                <w:sz w:val="16"/>
                <w:szCs w:val="16"/>
              </w:rPr>
              <w:t xml:space="preserve">VƯỢT CHỈ TIÊU</w:t>
            </w:r>
          </w:p>
        </w:tc>
        <w:tc>
          <w:tcPr>
            <w:tcW w:type="dxa" w:w="1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Trang 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475569"/>
                <w:sz w:val="17"/>
                <w:szCs w:val="17"/>
              </w:rPr>
              <w:t xml:space="preserve">Khen thưởng cấp Tỉnh (đã có QĐ)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7"/>
                <w:szCs w:val="17"/>
              </w:rPr>
              <w:t xml:space="preserve">-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15803D"/>
                <w:sz w:val="17"/>
                <w:szCs w:val="17"/>
              </w:rPr>
              <w:t xml:space="preserve">Theo số liệu bảng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803D"/>
                <w:sz w:val="16"/>
                <w:szCs w:val="16"/>
              </w:rPr>
              <w:t xml:space="preserve">VƯỢT CHỈ TIÊU</w:t>
            </w:r>
          </w:p>
        </w:tc>
        <w:tc>
          <w:tcPr>
            <w:tcW w:type="dxa" w:w="1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Trang 2</w:t>
            </w:r>
          </w:p>
        </w:tc>
      </w:tr>
    </w:tbl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2A4A"/>
          <w:sz w:val="23"/>
          <w:szCs w:val="23"/>
        </w:rPr>
        <w:t xml:space="preserve">IV. CÁC VẤN ĐỀ, ĐIỂM NGHẼN CẦN THÁO GỠ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1E293B"/>
          <w:sz w:val="21"/>
          <w:szCs w:val="21"/>
        </w:rPr>
        <w:t xml:space="preserve">1. Các tồn tại, hạn chế được chỉ ra theo Kết luận thanh tra số 227/KL-TTr ngày 24/11/2023 của Thanh tra Sở Nội vụ </w:t>
      </w:r>
      <w:r>
        <w:rPr>
          <w:rFonts w:ascii="Times New Roman" w:cs="Times New Roman" w:eastAsia="Times New Roman" w:hAnsi="Times New Roman"/>
          <w:b/>
          <w:bCs/>
          <w:color w:val="1E3A8A"/>
          <w:sz w:val="19"/>
          <w:szCs w:val="19"/>
        </w:rPr>
        <w:t xml:space="preserve">[Mức độ: Cần lưu ý]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• Tình trạng &amp; Nguyên nhân: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Công tác lập hồ sơ công việc, nộp lưu và chỉnh lý tài liệu ở một số đơn vị, địa phương chưa được thực hiện đầy đủ, đồng bộ theo quy định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DC2626"/>
          <w:sz w:val="20"/>
          <w:szCs w:val="20"/>
        </w:rPr>
        <w:t xml:space="preserve">• Ảnh hưởng hệ thống: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Ảnh hưởng đến việc bảo quản, khai thác và xác định giá trị tài liệu lưu trữ của huyện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5803D"/>
          <w:sz w:val="20"/>
          <w:szCs w:val="20"/>
        </w:rPr>
        <w:t xml:space="preserve">• Hướng xử lý đề xuất: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Báo cáo kiểm điểm rút kinh nghiệm; ban hành hướng dẫn lập hồ sơ công việc hàng năm; chỉ đạo chỉnh lý hồ sơ, xác định giá trị tài liệu nộp lưu theo quy định và tổ chức kiểm tra theo kế hoạch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2A4A"/>
          <w:sz w:val="23"/>
          <w:szCs w:val="23"/>
        </w:rPr>
        <w:t xml:space="preserve">V. KẾ HOẠCH &amp; LỘ TRÌNH THỰC HIỆN TRỌNG TÂM</w:t>
      </w:r>
    </w:p>
    <w:p>
      <w:pPr>
        <w:pStyle w:val="Heading3"/>
        <w:spacing w:after="30" w:before="100"/>
      </w:pPr>
      <w:r>
        <w:rPr>
          <w:rFonts w:ascii="Times New Roman" w:cs="Times New Roman" w:eastAsia="Times New Roman" w:hAnsi="Times New Roman"/>
          <w:b/>
          <w:bCs/>
          <w:color w:val="0F2A4A"/>
          <w:sz w:val="21"/>
          <w:szCs w:val="21"/>
        </w:rPr>
        <w:t xml:space="preserve">Giai đoạn 1: Tháo gỡ nút thắt nóng &amp; Nhiệm vụ cấp bách (0 - 30 Ngày)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475569"/>
          <w:sz w:val="19"/>
          <w:szCs w:val="19"/>
        </w:rPr>
        <w:t xml:space="preserve">Trọng tâm: Tập trung xử lý các điểm nghẽn và kiến nghị ưu tiên hàng đầu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Thực hiện quy trình quản lý, sử dụng, nâng lương, bổ nhiệm và cập nhật hồ sơ CBCCVC: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Hồ sơ CBCCVC được rà soát, cập nhật; các chế độ chính sách được giải quyết đúng hạn (Chủ trì: Phòng Nội vụ, Mục tiêu: Hoàn thành 100% nhiệm vụ nóng)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Cử CBCCVC tham gia đào tạo, bồi dưỡng theo kế hoạch: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Hoàn thành danh sách và cử nhân sự tham dự các lớp bồi dưỡng theo kế hoạch năm 2024 (Chủ trì: Phòng Nội vụ, Mục tiêu: Hoàn thành 100% nhiệm vụ nóng)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Ban hành văn bản cụ thể hóa CCHC, đẩy mạnh nâng cao chỉ số CCHC và chỉ số SIPAS: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Văn bản chỉ đạo CCHC được ban hành và quán triệt; nâng cao mức độ hài lòng của người dân (Chủ trì: Phòng Nội vụ, Mục tiêu: Hoàn thành 100% nhiệm vụ nóng)</w:t>
      </w:r>
    </w:p>
    <w:p>
      <w:pPr>
        <w:pStyle w:val="Heading3"/>
        <w:spacing w:after="30" w:before="100"/>
      </w:pPr>
      <w:r>
        <w:rPr>
          <w:rFonts w:ascii="Times New Roman" w:cs="Times New Roman" w:eastAsia="Times New Roman" w:hAnsi="Times New Roman"/>
          <w:b/>
          <w:bCs/>
          <w:color w:val="0F2A4A"/>
          <w:sz w:val="21"/>
          <w:szCs w:val="21"/>
        </w:rPr>
        <w:t xml:space="preserve">Giai đoạn 2: Tăng tốc &amp; Đôn đốc tiến độ định lượng (30 - 90 Ngày)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475569"/>
          <w:sz w:val="19"/>
          <w:szCs w:val="19"/>
        </w:rPr>
        <w:t xml:space="preserve">Trọng tâm: Đẩy mạnh thực hiện các mục tiêu định lượng và chỉ tiêu KPI trọng yếu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Kiểm tra hiện trường và giao ban định kỳ: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Rà soát tiến độ tuần và tháo gỡ vướng mắc phát sinh kịp thời (Chủ trì: Văn phòng / Ban Giám đốc, Mục tiêu: Đạt tối thiểu 75% kế hoạch đề ra)</w:t>
      </w:r>
    </w:p>
    <w:p>
      <w:pPr>
        <w:pStyle w:val="Heading3"/>
        <w:spacing w:after="30" w:before="100"/>
      </w:pPr>
      <w:r>
        <w:rPr>
          <w:rFonts w:ascii="Times New Roman" w:cs="Times New Roman" w:eastAsia="Times New Roman" w:hAnsi="Times New Roman"/>
          <w:b/>
          <w:bCs/>
          <w:color w:val="0F2A4A"/>
          <w:sz w:val="21"/>
          <w:szCs w:val="21"/>
        </w:rPr>
        <w:t xml:space="preserve">Giai đoạn 3: Nghiệm thu, thẩm định &amp; Tổng kết (90 - 180 Ngày)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color w:val="475569"/>
          <w:sz w:val="19"/>
          <w:szCs w:val="19"/>
        </w:rPr>
        <w:t xml:space="preserve">Trọng tâm: Hoàn tất các chỉ tiêu và thẩm định kết quả toàn diện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Họp tổng kết và đánh giá mức độ hoàn thành: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Lập báo cáo tổng kết gửi cấp thẩm quyền phê duyệt (Chủ trì: Lãnh đạo cơ quan, Mục tiêu: 100% nhiệm vụ được nghiệm thu đạt yêu cầu)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2A4A"/>
          <w:sz w:val="23"/>
          <w:szCs w:val="23"/>
        </w:rPr>
        <w:t xml:space="preserve">VI. CÁC NỘI DUNG GIẢI TRÌNH &amp; ĐỀ XUẤT</w:t>
      </w:r>
    </w:p>
    <w:p>
      <w:pPr>
        <w:spacing w:after="30" w:before="100"/>
      </w:pPr>
      <w:r>
        <w:rPr>
          <w:rFonts w:ascii="Times New Roman" w:cs="Times New Roman" w:eastAsia="Times New Roman" w:hAnsi="Times New Roman"/>
          <w:b/>
          <w:bCs/>
          <w:color w:val="0F2A4A"/>
          <w:sz w:val="21"/>
          <w:szCs w:val="21"/>
        </w:rPr>
        <w:t xml:space="preserve">Vấn đề 1: Tình hình triển khai và tính chủ động của các đơn vị trực thuộc như thế nào?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5803D"/>
          <w:sz w:val="20"/>
          <w:szCs w:val="20"/>
        </w:rPr>
        <w:t xml:space="preserve">• Căn cứ &amp; Luận điểm giải trình: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Các đơn vị đang vận hành chủ động, tuân thủ đúng quy chế phối hợp và bám sát các chỉ tiêu được giao.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2026-08-22T13:38:12.351Z</dcterms:created>
  <dcterms:modified xsi:type="dcterms:W3CDTF">2026-08-22T13:38:12.351Z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