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NGHỊ QUYẾT PHIÊN HỌP BAN ĐẠI DIỆN HỘI ĐỒNG QUẢN TRỊ NGÂN HÀNG CHÍNH SÁCH XÃ HỘI XÃ QUÝ II NĂM 2026</w:t>
      </w:r>
    </w:p>
    <w:p>
      <w:pPr>
        <w:spacing w:after="160"/>
        <w:jc w:val="center"/>
      </w:pPr>
      <w:r>
        <w:rPr>
          <w:rFonts w:ascii="Times New Roman" w:cs="Times New Roman" w:eastAsia="Times New Roman" w:hAnsi="Times New Roman"/>
          <w:i/>
          <w:iCs/>
          <w:color w:val="64748B"/>
          <w:sz w:val="18"/>
          <w:szCs w:val="18"/>
        </w:rPr>
        <w:t xml:space="preserve">Tài liệu gốc: Nghị quyết Phiên Họp Ban đại diện Hội đồng quản trị Ngân hàng Chính sách xã hội xã quý II năm 2026.pdf | Quy mô: 3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Tổng dư nợ tín dụng chính sách 6 tháng đầu năm 2026 đạt 118,971 tỷ đồng (tăng trưởng 9,7%), nợ xấu duy trì ở mức rất thấp (0,19%), nhưng nguồn vốn còn phụ thuộc 88,8% vào Trung ương và nguồn vốn nhàn rỗi chưa được huy động hiệu quả.</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Ban đại diện Hội đồng quản trị NHCSXH xã Phước Giang. Bối cảnh điều hành tập trung vào tháo gỡ điểm nghẽn và tăng tốc hoàn thành chỉ tiêu kỳ Quý II năm 2026 (06 tháng đầu năm 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3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nguồn vốn tín dụng chính sách: 118971 triệu đồng, Nguồn vốn cân đối từ Trung ương chuyển về: 105628 triệu đồng, Nguồn vốn nhận ủy thác tại địa phương: 13343 triệu đồng, Nguồn vốn từ Ngân sách xã ủy thác: 200 triệu đồng.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Dư nợ tín dụng chính sách duy trì đà tăng trưởng tốt</w:t>
      </w:r>
    </w:p>
    <w:p>
      <w:pPr>
        <w:pStyle w:val="ListParagraph"/>
        <w:numPr>
          <w:ilvl w:val="0"/>
          <w:numId w:val="1"/>
        </w:numPr>
        <w:spacing w:after="30"/>
      </w:pPr>
      <w:r>
        <w:rPr>
          <w:rFonts w:ascii="Times New Roman" w:cs="Times New Roman" w:eastAsia="Times New Roman" w:hAnsi="Times New Roman"/>
          <w:color w:val="334155"/>
          <w:sz w:val="20"/>
          <w:szCs w:val="20"/>
        </w:rPr>
        <w:t xml:space="preserve">Củng cố và nâng cao chất lượng tín dụng, giảm nợ quá hạn</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Cơ cấu nguồn vốn tín dụng phụ thuộc chủ yếu vào ngân sách Trung ương, tỷ trọng vốn địa phương thấp (Cấp thiết); Chưa huy động được các nguồn vốn nhàn rỗi, nguồn vốn từ thiện của các cơ quan, đơn vị trên địa bàn (Cần lưu ý); Nguy cơ tiềm ẩn từ nợ quá hạn, lãi tồn đọng và nợ của khách hàng vay vốn đi khỏi nơi cư trú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Cơ cấu nguồn vốn tín dụng phụ thuộc chủ yếu vào ngân sách Trung ương, tỷ trọng vốn địa phương thấp - Ban đại diện HĐQT NHCSXH xã, UBND xã</w:t>
      </w:r>
    </w:p>
    <w:p>
      <w:pPr>
        <w:pStyle w:val="ListParagraph"/>
        <w:numPr>
          <w:ilvl w:val="0"/>
          <w:numId w:val="1"/>
        </w:numPr>
        <w:spacing w:after="30"/>
      </w:pPr>
      <w:r>
        <w:rPr>
          <w:rFonts w:ascii="Times New Roman" w:cs="Times New Roman" w:eastAsia="Times New Roman" w:hAnsi="Times New Roman"/>
          <w:color w:val="334155"/>
          <w:sz w:val="20"/>
          <w:szCs w:val="20"/>
        </w:rPr>
        <w:t xml:space="preserve">Chưa huy động được các nguồn vốn nhàn rỗi, nguồn vốn từ thiện của các cơ quan, đơn vị trên địa bàn - PGD NHCSXH Nghĩa Hành, Ủy ban MTTQ xã, các tổ chức chính trị - xã hội xã</w:t>
      </w:r>
    </w:p>
    <w:p>
      <w:pPr>
        <w:pStyle w:val="ListParagraph"/>
        <w:numPr>
          <w:ilvl w:val="0"/>
          <w:numId w:val="1"/>
        </w:numPr>
        <w:spacing w:after="30"/>
      </w:pPr>
      <w:r>
        <w:rPr>
          <w:rFonts w:ascii="Times New Roman" w:cs="Times New Roman" w:eastAsia="Times New Roman" w:hAnsi="Times New Roman"/>
          <w:color w:val="334155"/>
          <w:sz w:val="20"/>
          <w:szCs w:val="20"/>
        </w:rPr>
        <w:t xml:space="preserve">Nguy cơ tiềm ẩn từ nợ quá hạn, lãi tồn đọng và nợ của khách hàng vay vốn đi khỏi nơi cư trú - Tổ chức chính trị - xã hội nhận ủy thác, Tổ TK&amp;VV, PGD NHCSXH Nghĩa Hành</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Nguồn vốn cân đối từ Trung ương chuyển về</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105628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88,8% tổng nguồn vốn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Nguồn vốn nhận ủy thác tại địa phương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13343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11,2% tổng nguồn vốn</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Nguồn vốn từ Ngân sách xã ủy thác</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0,17% tổng nguồn vốn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dư nợ các chương trình tín dụng chính sách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118971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Tăng 10.569 triệu đồng (văn bản ghi 10.569 tỷ đồng), tăng trưởng 9,7% so với năm 2025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nợ quá hạn và nợ khoanh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220.6</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Chiếm 0,19% tổng dư nợ</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Nợ quá hạn</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150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Giảm 15 triệu đồng so với đầu năm</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Cơ cấu nguồn vốn tín dụng phụ thuộc chủ yếu vào ngân sách Trung ương, tỷ trọng vốn địa phương thấp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Nguồn vốn ngân sách xã ủy thác còn rất khiêm tốn (200 triệu đồng, chiếm 0,17%); nguồn ủy thác toàn địa phương chỉ chiếm 11,2%.</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Làm giảm tính chủ động của địa phương trong việc đáp ứng nhu cầu vay vốn chính sách đặc thù.</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Tập trung tham mưu bố trí ngân sách địa phương ủy thác sang NHCSXH theo chỉ tiêu được giao năm 2026 tại Văn bản số 741/UBND-KTTH của UBND tỉnh.</w:t>
      </w:r>
    </w:p>
    <w:p>
      <w:pPr>
        <w:pStyle w:val="Heading3"/>
        <w:spacing w:after="40" w:before="100"/>
      </w:pPr>
      <w:r>
        <w:rPr>
          <w:rFonts w:ascii="Times New Roman" w:cs="Times New Roman" w:eastAsia="Times New Roman" w:hAnsi="Times New Roman"/>
          <w:b/>
          <w:bCs/>
          <w:color w:val="1E293B"/>
          <w:sz w:val="21"/>
          <w:szCs w:val="21"/>
        </w:rPr>
        <w:t xml:space="preserve">2. Chưa huy động được các nguồn vốn nhàn rỗi, nguồn vốn từ thiện của các cơ quan, đơn vị trên địa bàn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Các tổ chức, cơ quan, đơn vị trên địa bàn xã chưa ưu tiên gửi tiền nhàn rỗi, Quỹ vì người nghèo vào PGD NHCSXH.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Hạn chế nguồn lực tại chỗ bổ sung cho các chương trình tín dụng giảm nghèo và an sinh xã hội.</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tuyên truyền, vận động các cơ quan, đơn vị, hội viên mở tài khoản và gửi các nguồn vốn quỹ, vốn nhàn rỗi vào NHCSXH theo Công văn số 4924/UBND-KTTH.</w:t>
      </w:r>
    </w:p>
    <w:p>
      <w:pPr>
        <w:pStyle w:val="Heading3"/>
        <w:spacing w:after="40" w:before="100"/>
      </w:pPr>
      <w:r>
        <w:rPr>
          <w:rFonts w:ascii="Times New Roman" w:cs="Times New Roman" w:eastAsia="Times New Roman" w:hAnsi="Times New Roman"/>
          <w:b/>
          <w:bCs/>
          <w:color w:val="1E293B"/>
          <w:sz w:val="21"/>
          <w:szCs w:val="21"/>
        </w:rPr>
        <w:t xml:space="preserve">3. Nguy cơ tiềm ẩn từ nợ quá hạn, lãi tồn đọng và nợ của khách hàng vay vốn đi khỏi nơi cư trú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Biến động dân cư lao động và rủi ro khách quan trong sản xuất kinh doanh của hộ nghèo.</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chất lượng hoạt động ủy thác và tỷ lệ thu hồi vốn.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Thực hiện rà soát, xử lý nợ của hộ vay đi khỏi nơi cư trú; đôn đốc thu nợ đến hạn; kiểm tra giám sát tại các đơn vị có chất lượng tín dụng thấp.</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Tham mưu bố trí vốn ngân sách địa phương ủy thác và tăng cường kiểm tra giám sát cơ sở: </w:t>
      </w:r>
      <w:r>
        <w:rPr>
          <w:rFonts w:ascii="Times New Roman" w:cs="Times New Roman" w:eastAsia="Times New Roman" w:hAnsi="Times New Roman"/>
          <w:color w:val="1E293B"/>
          <w:sz w:val="20"/>
          <w:szCs w:val="20"/>
        </w:rPr>
        <w:t xml:space="preserve">Bố trí đủ vốn ủy thác ngân sách theo chỉ tiêu giao tại VB 741/UBND-KTTH; hoàn thành kế hoạch kiểm tra Điểm giao dịch xã, Tổ TK&amp;VV và hộ vay vốn. (Chủ trì: Ban đại diện HĐQT NHCSXH xã,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Đẩy mạnh giải ngân các chương trình tín dụng và huy động tiền gửi: </w:t>
      </w:r>
      <w:r>
        <w:rPr>
          <w:rFonts w:ascii="Times New Roman" w:cs="Times New Roman" w:eastAsia="Times New Roman" w:hAnsi="Times New Roman"/>
          <w:color w:val="1E293B"/>
          <w:sz w:val="20"/>
          <w:szCs w:val="20"/>
        </w:rPr>
        <w:t xml:space="preserve">Giải ngân kịp thời 100% chỉ tiêu kế hoạch tín dụng năm 2026; huy động Quỹ vì người nghèo và tiền gửi nhàn rỗi vào PGD. (Chủ trì: Phòng giao dịch NHCSXH Nghĩa Hành,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Bình xét đối tượng vay vốn công khai, minh bạch và nâng cao chất lượng hoạt động ủy thác: </w:t>
      </w:r>
      <w:r>
        <w:rPr>
          <w:rFonts w:ascii="Times New Roman" w:cs="Times New Roman" w:eastAsia="Times New Roman" w:hAnsi="Times New Roman"/>
          <w:color w:val="1E293B"/>
          <w:sz w:val="20"/>
          <w:szCs w:val="20"/>
        </w:rPr>
        <w:t xml:space="preserve">Rà soát, bình xét đúng đối tượng thụ hưởng; đôn đốc thu hồi nợ đến hạn, xử lý nợ khách hàng đi khỏi nơi cư trú, vận động mở tài khoản thanh toán tại NHCSXH. (Chủ trì: Các tổ chức chính trị - xã hội nhận ủy thác cấp xã,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Ủy ban MTTQ xã, các cơ quan, tổ chức, đơn vị trên địa bàn xã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Ủy ban Mặt trận Tổ quốc, các cơ quan, tổ chức, đơn vị trên địa bàn mở tài khoản tiền gửi, gửi các nguồn vốn nhàn rỗi và Quỹ vì người nghèo vào PGD NHCSXH Nghĩa Hành để bổ sung nguồn lực cho vay.".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NHCSXH cấp trên và các cơ quan có thẩm quyền xử lý nợ rủi ro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các cấp có thẩm quyền xem xét, xử lý kịp thời các khoản nợ bị rủi ro do nguyên nhân khách quan đúng đối tượng, công bằng, đúng quy định.".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các cơ quan, đơn vị ưu tiên gửi nguồn vốn từ thiện, vốn nhàn rỗi vào NHCSXH; tham mưu bổ sung nguồn vốn ngân sách địa phương ủy thác; đẩy mạnh giải ngân và kiểm tra giám sát xử lý nợ quá hạn, nợ đi khỏi nơi cư trú." (Hạn xử lý: Quý III/2026).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2026-08-22T13:41:13.982Z</dcterms:created>
  <dcterms:modified xsi:type="dcterms:W3CDTF">2026-08-22T13:41:13.982Z</dcterms:modified>
</cp:coreProperties>
</file>

<file path=docProps/custom.xml><?xml version="1.0" encoding="utf-8"?>
<Properties xmlns="http://schemas.openxmlformats.org/officeDocument/2006/custom-properties" xmlns:vt="http://schemas.openxmlformats.org/officeDocument/2006/docPropsVTypes"/>
</file>