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BÁO CÁO TỔNG KẾT CÔNG TÁC TƯ PHÁP NĂM 2025 VÀ NHIỆM VỤ, GIẢI PHÁP CÔNG TÁC NĂM 2026</w:t>
      </w:r>
    </w:p>
    <w:p>
      <w:pPr>
        <w:spacing w:after="160"/>
        <w:jc w:val="center"/>
      </w:pPr>
      <w:r>
        <w:rPr>
          <w:rFonts w:ascii="Times New Roman" w:cs="Times New Roman" w:eastAsia="Times New Roman" w:hAnsi="Times New Roman"/>
          <w:i/>
          <w:iCs/>
          <w:color w:val="64748B"/>
          <w:sz w:val="18"/>
          <w:szCs w:val="18"/>
        </w:rPr>
        <w:t xml:space="preserve">Tài liệu gốc: Báo cáo Tổng kết công tác tư pháp năm 2025 và nhiệm vụ, giải pháp công tác năm 2026.pdf | Quy mô: 9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Xã Di Linh hoàn thành chuyển tiếp vận hành chính quyền 2 cấp từ 01/7/2025; công tác hộ tịch và chứng thực đạt 100% đúng hạn, hòa giải thành 89%, tuy nhiên còn tồn đọng 3 quyết định xử phạt vi phạm hành chính chưa thi hành (50,99 triệu đồng) và vướng mắc kết nối liên thông phần mềm chuyên ngành.</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Ủy ban nhân dân xã Di Linh. Bối cảnh điều hành tập trung vào tháo gỡ điểm nghẽn và tăng tốc hoàn thành chỉ tiêu kỳ Năm 2025.</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9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Số đơn vị hành chính cấp xã sáp nhập thành lập xã Di Linh: 4 xã, thị trấn, Số văn bản QPPL do HĐND, UBND xã Di Linh ban hành: 0 văn bản, Số tuyên truyền viên pháp luật của xã: 13 người, Số cuộc phổ biến, giáo dục pháp luật đã tổ chức: 25 cuộc. Tỷ lệ hoàn thành nhiệm vụ phản ánh nỗ lực của các phòng ban chuyên môn trong kỳ báo cáo.</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Tổ chức chuyển tiếp bộ máy chính quyền địa phương 02 cấp thông suốt</w:t>
      </w:r>
    </w:p>
    <w:p>
      <w:pPr>
        <w:pStyle w:val="ListParagraph"/>
        <w:numPr>
          <w:ilvl w:val="0"/>
          <w:numId w:val="1"/>
        </w:numPr>
        <w:spacing w:after="30"/>
      </w:pPr>
      <w:r>
        <w:rPr>
          <w:rFonts w:ascii="Times New Roman" w:cs="Times New Roman" w:eastAsia="Times New Roman" w:hAnsi="Times New Roman"/>
          <w:color w:val="334155"/>
          <w:sz w:val="20"/>
          <w:szCs w:val="20"/>
        </w:rPr>
        <w:t xml:space="preserve">Đạt tỷ lệ hòa giải thành ở mức cao tại cơ sở</w:t>
      </w:r>
    </w:p>
    <w:p>
      <w:pPr>
        <w:pStyle w:val="ListParagraph"/>
        <w:numPr>
          <w:ilvl w:val="0"/>
          <w:numId w:val="1"/>
        </w:numPr>
        <w:spacing w:after="30"/>
      </w:pPr>
      <w:r>
        <w:rPr>
          <w:rFonts w:ascii="Times New Roman" w:cs="Times New Roman" w:eastAsia="Times New Roman" w:hAnsi="Times New Roman"/>
          <w:color w:val="334155"/>
          <w:sz w:val="20"/>
          <w:szCs w:val="20"/>
        </w:rPr>
        <w:t xml:space="preserve">Xử lý 100% hồ sơ hộ tịch, chứng thực đúng hạn và triển khai tốt dịch vụ công liên thông</w:t>
      </w:r>
    </w:p>
    <w:p>
      <w:pPr>
        <w:pStyle w:val="ListParagraph"/>
        <w:numPr>
          <w:ilvl w:val="0"/>
          <w:numId w:val="1"/>
        </w:numPr>
        <w:spacing w:after="30"/>
      </w:pPr>
      <w:r>
        <w:rPr>
          <w:rFonts w:ascii="Times New Roman" w:cs="Times New Roman" w:eastAsia="Times New Roman" w:hAnsi="Times New Roman"/>
          <w:color w:val="334155"/>
          <w:sz w:val="20"/>
          <w:szCs w:val="20"/>
        </w:rPr>
        <w:t xml:space="preserve">Giữ vững kỷ cương công vụ, không để phát sinh tiêu cực, khiếu nại, tố cáo</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Hệ thống ghi nhận một số vướng mắc then chốt cần chỉ đạo giải quyết dứt điểm. Cụ thể: Chậm tổng hợp số liệu báo cáo, đề án và tiến độ công việc có thời điểm chưa cao do sắp xếp bộ máy 2 cấp (Cần lưu ý); Còn 03 quyết định xử phạt vi phạm hành chính chưa thi hành xong với số tiền 50.995.133 đồng (Cấp thiết); Phần mềm chuyên ngành hộ tịch, dịch vụ công trực tuyến và hệ thống một cửa điện tử chưa liên thông đồng bộ (Cấp thiết); Công tác kiểm tra theo dõi thi hành pháp luật chưa thường xuyên, hình thức theo dõi còn đơn điệu (Cần lưu ý).</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Chậm tổng hợp số liệu báo cáo, đề án và tiến độ công việc có thời điểm chưa cao do sắp xếp bộ máy 2 cấp - Bộ phận Tư pháp - Hộ tịch và các phòng, ban liên quan</w:t>
      </w:r>
    </w:p>
    <w:p>
      <w:pPr>
        <w:pStyle w:val="ListParagraph"/>
        <w:numPr>
          <w:ilvl w:val="0"/>
          <w:numId w:val="1"/>
        </w:numPr>
        <w:spacing w:after="30"/>
      </w:pPr>
      <w:r>
        <w:rPr>
          <w:rFonts w:ascii="Times New Roman" w:cs="Times New Roman" w:eastAsia="Times New Roman" w:hAnsi="Times New Roman"/>
          <w:color w:val="334155"/>
          <w:sz w:val="20"/>
          <w:szCs w:val="20"/>
        </w:rPr>
        <w:t xml:space="preserve">Còn 03 quyết định xử phạt vi phạm hành chính chưa thi hành xong với số tiền 50.995.133 đồng - UBND xã Di Linh (bộ phận Tư pháp phối hợp Công an và các ngành)</w:t>
      </w:r>
    </w:p>
    <w:p>
      <w:pPr>
        <w:pStyle w:val="ListParagraph"/>
        <w:numPr>
          <w:ilvl w:val="0"/>
          <w:numId w:val="1"/>
        </w:numPr>
        <w:spacing w:after="30"/>
      </w:pPr>
      <w:r>
        <w:rPr>
          <w:rFonts w:ascii="Times New Roman" w:cs="Times New Roman" w:eastAsia="Times New Roman" w:hAnsi="Times New Roman"/>
          <w:color w:val="334155"/>
          <w:sz w:val="20"/>
          <w:szCs w:val="20"/>
        </w:rPr>
        <w:t xml:space="preserve">Phần mềm chuyên ngành hộ tịch, dịch vụ công trực tuyến và hệ thống một cửa điện tử chưa liên thông đồng bộ - UBND xã Di Linh phối hợp Sở Tư pháp, Sở Thông tin &amp; Truyền thông</w:t>
      </w:r>
    </w:p>
    <w:p>
      <w:pPr>
        <w:pStyle w:val="ListParagraph"/>
        <w:numPr>
          <w:ilvl w:val="0"/>
          <w:numId w:val="1"/>
        </w:numPr>
        <w:spacing w:after="30"/>
      </w:pPr>
      <w:r>
        <w:rPr>
          <w:rFonts w:ascii="Times New Roman" w:cs="Times New Roman" w:eastAsia="Times New Roman" w:hAnsi="Times New Roman"/>
          <w:color w:val="334155"/>
          <w:sz w:val="20"/>
          <w:szCs w:val="20"/>
        </w:rPr>
        <w:t xml:space="preserve">Công tác kiểm tra theo dõi thi hành pháp luật chưa thường xuyên, hình thức theo dõi còn đơn điệu - Bộ phận Tư pháp xã</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Số vụ hòa giải thành</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62</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Tỷ lệ hòa giải thành đạt 89%</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5</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Số vụ hòa giải không thành</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8</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Tỷ lệ hòa giải không thành chiếm 11%</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5</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Tổng số hồ sơ hộ tịch tiếp nhận và giải quyết cấp xã</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300</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100% hồ sơ giải quyết theo cơ chế một cửa và đúng hạn</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6</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Số công chức phụ trách công tác Tư pháp - Hộ tịch</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5</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100% công chức đã được đào tạo nghiệp vụ và có chứng chỉ nghiệp vụ hộ tịch</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Số quyết định XLVPHC đã thi hành xong</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8</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Đã thi hành xong 8/11 quyết định</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8</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Số quyết định XLVPHC chưa thi hành xong</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3</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DC2626"/>
                <w:sz w:val="17"/>
                <w:szCs w:val="17"/>
              </w:rPr>
              <w:t xml:space="preserve">Còn 3 quyết định tồn đọng</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DC2626"/>
                <w:sz w:val="16"/>
                <w:szCs w:val="16"/>
              </w:rPr>
              <w:t xml:space="preserve">CHƯA ĐẠT</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8</w:t>
            </w:r>
          </w:p>
        </w:tc>
      </w:tr>
    </w:tbl>
    <w:p>
      <w:pPr>
        <w:pStyle w:val="Heading2"/>
        <w:spacing w:after="80" w:before="180"/>
      </w:pPr>
      <w:r>
        <w:rPr>
          <w:rFonts w:ascii="Times New Roman" w:cs="Times New Roman" w:eastAsia="Times New Roman" w:hAnsi="Times New Roman"/>
          <w:b/>
          <w:bCs/>
          <w:color w:val="0F2A4A"/>
          <w:sz w:val="23"/>
          <w:szCs w:val="23"/>
        </w:rPr>
        <w:t xml:space="preserve">IV. CÁC VẤN ĐỀ, ĐIỂM NGHẼN CẦN THÁO GỠ</w:t>
      </w:r>
    </w:p>
    <w:p>
      <w:pPr>
        <w:pStyle w:val="Heading3"/>
        <w:spacing w:after="40" w:before="100"/>
      </w:pPr>
      <w:r>
        <w:rPr>
          <w:rFonts w:ascii="Times New Roman" w:cs="Times New Roman" w:eastAsia="Times New Roman" w:hAnsi="Times New Roman"/>
          <w:b/>
          <w:bCs/>
          <w:color w:val="1E293B"/>
          <w:sz w:val="21"/>
          <w:szCs w:val="21"/>
        </w:rPr>
        <w:t xml:space="preserve">1. Chậm tổng hợp số liệu báo cáo, đề án và tiến độ công việc có thời điểm chưa cao do sắp xếp bộ máy 2 cấp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Phải phối hợp thu thập dữ liệu từ nhiều ngành/địa phương cũ; công chức chịu áp lực tâm lý trong quá trình sáp nhập và khối lượng giải quyết sự vụ hàng ngày lớn.</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Thiếu thời gian nghiên cứu chuyên sâu các nhiệm vụ tư pháp phức tạp.</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Ổn định tổ chức, chuẩn hóa quy trình phân công công việc, tăng cường đào tạo bồi dưỡng nâng cao trình độ chuyên môn nghiệp vụ.</w:t>
      </w:r>
    </w:p>
    <w:p>
      <w:pPr>
        <w:pStyle w:val="Heading3"/>
        <w:spacing w:after="40" w:before="100"/>
      </w:pPr>
      <w:r>
        <w:rPr>
          <w:rFonts w:ascii="Times New Roman" w:cs="Times New Roman" w:eastAsia="Times New Roman" w:hAnsi="Times New Roman"/>
          <w:b/>
          <w:bCs/>
          <w:color w:val="1E293B"/>
          <w:sz w:val="21"/>
          <w:szCs w:val="21"/>
        </w:rPr>
        <w:t xml:space="preserve">2. Còn 03 quyết định xử phạt vi phạm hành chính chưa thi hành xong với số tiền 50.995.133 đồng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Khó khăn từ văn bản hướng dẫn Luật XLVPHC và thiếu phần mềm quản lý công tác xử lý vi phạm hành chính phục vụ theo dõi, xác định tình tiết.</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Tồn đọng số tiền phạt chưa thu nộp ngân sách và ảnh hưởng tính nghiêm minh của pháp luật.</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Tập trung đôn đốc, áp dụng biện pháp cưỡng chế/thi hành theo quy định; kiến nghị trang bị phần mềm theo dõi XLVPHC.</w:t>
      </w:r>
    </w:p>
    <w:p>
      <w:pPr>
        <w:pStyle w:val="Heading3"/>
        <w:spacing w:after="40" w:before="100"/>
      </w:pPr>
      <w:r>
        <w:rPr>
          <w:rFonts w:ascii="Times New Roman" w:cs="Times New Roman" w:eastAsia="Times New Roman" w:hAnsi="Times New Roman"/>
          <w:b/>
          <w:bCs/>
          <w:color w:val="1E293B"/>
          <w:sz w:val="21"/>
          <w:szCs w:val="21"/>
        </w:rPr>
        <w:t xml:space="preserve">3. Phần mềm chuyên ngành hộ tịch, dịch vụ công trực tuyến và hệ thống một cửa điện tử chưa liên thông đồng bộ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Hạ tầng kỹ thuật và kết nối API giữa các hệ thống chuyên ngành của Bộ Tư pháp với Cổng dịch vụ công chưa hoàn tất.</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Gây khó khăn cho công chức trong việc tra cứu, xác thực dữ liệu công dân và kéo dài thời gian xử lý thủ tục.</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Kiến nghị cấp tỉnh, Bộ ngành sớm hoàn thiện kết nối liên thông dữ liệu đồng bộ.</w:t>
      </w:r>
    </w:p>
    <w:p>
      <w:pPr>
        <w:pStyle w:val="Heading3"/>
        <w:spacing w:after="40" w:before="100"/>
      </w:pPr>
      <w:r>
        <w:rPr>
          <w:rFonts w:ascii="Times New Roman" w:cs="Times New Roman" w:eastAsia="Times New Roman" w:hAnsi="Times New Roman"/>
          <w:b/>
          <w:bCs/>
          <w:color w:val="1E293B"/>
          <w:sz w:val="21"/>
          <w:szCs w:val="21"/>
        </w:rPr>
        <w:t xml:space="preserve">4. Công tác kiểm tra theo dõi thi hành pháp luật chưa thường xuyên, hình thức theo dõi còn đơn điệu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Mỗi năm chỉ thực hiện phối hợp kiểm tra 01 lần, thiếu nguồn lực và thời gian tổ chức khảo sát, điều tra sâu rộng.</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Chưa bao quát và chưa kịp thời tháo gỡ khó khăn, vướng mắc trong tất cả các lĩnh vực.</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Đổi mới phương thức điều tra, khảo sát, thu thập thông tin và tổ chức kiểm tra định kỳ/đột xuất thường xuyên hơn.</w:t>
      </w:r>
    </w:p>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Triển khai hiệu quả các kế hoạch chuyên đề công tác tư pháp năm 2026: </w:t>
      </w:r>
      <w:r>
        <w:rPr>
          <w:rFonts w:ascii="Times New Roman" w:cs="Times New Roman" w:eastAsia="Times New Roman" w:hAnsi="Times New Roman"/>
          <w:color w:val="1E293B"/>
          <w:sz w:val="20"/>
          <w:szCs w:val="20"/>
        </w:rPr>
        <w:t xml:space="preserve">Kế hoạch công tác tư pháp năm 2026 được ban hành và phân công rõ trách nhiệm, tiến độ. (Chủ trì: Bộ phận Tư pháp xã Di Linh,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Nâng cao chất lượng xây dựng, thẩm định, rà soát và hệ thống hóa VBQPPL: </w:t>
      </w:r>
      <w:r>
        <w:rPr>
          <w:rFonts w:ascii="Times New Roman" w:cs="Times New Roman" w:eastAsia="Times New Roman" w:hAnsi="Times New Roman"/>
          <w:color w:val="1E293B"/>
          <w:sz w:val="20"/>
          <w:szCs w:val="20"/>
        </w:rPr>
        <w:t xml:space="preserve">Kịp thời phát hiện, kiến nghị xử lý các văn bản hết hiệu lực, mâu thuẫn, chồng chéo. (Chủ trì: Bộ phận Tư pháp,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Đổi mới hình thức PBGDPL và triển khai Ngày Pháp luật Việt Nam 2026: </w:t>
      </w:r>
      <w:r>
        <w:rPr>
          <w:rFonts w:ascii="Times New Roman" w:cs="Times New Roman" w:eastAsia="Times New Roman" w:hAnsi="Times New Roman"/>
          <w:color w:val="1E293B"/>
          <w:sz w:val="20"/>
          <w:szCs w:val="20"/>
        </w:rPr>
        <w:t xml:space="preserve">Tổ chức các đợt tuyên truyền trực quan, ứng dụng CNTT, kiện toàn mạng lưới tuyên truyền viên. (Chủ trì: Hội đồng phối hợp PBGDPL xã / Bộ phận Tư pháp,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Căn cứ pháp lý và tính cấp thiết đối với kiến nghị gửi Sở Tư pháp tỉnh Lâm Đồng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"Đề nghị Sở Tư pháp tỉnh Lâm Đồng và các cơ quan cấp trên hoàn thiện việc kết nối liên thông dữ liệu giữa phần mềm chuyên ngành hộ tịch với Cổng dịch vụ công trực tuyến và hệ thống Một cửa điện tử.".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2: Căn cứ pháp lý và tính cấp thiết đối với kiến nghị gửi Sở Tư pháp tỉnh Lâm Đồng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"Đề nghị trang bị và triển khai phần mềm quản lý công tác xử lý vi phạm hành chính thống nhất.". Việc tháo gỡ kịp thời sẽ giải quyết triệt để nút thắt cho cơ sở và đảm bảo tiến độ chung.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2026-08-22T13:39:34.187Z</dcterms:created>
  <dcterms:modified xsi:type="dcterms:W3CDTF">2026-08-22T13:39:34.187Z</dcterms:modified>
</cp:coreProperties>
</file>

<file path=docProps/custom.xml><?xml version="1.0" encoding="utf-8"?>
<Properties xmlns="http://schemas.openxmlformats.org/officeDocument/2006/custom-properties" xmlns:vt="http://schemas.openxmlformats.org/officeDocument/2006/docPropsVTypes"/>
</file>