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rFonts w:ascii="Times New Roman" w:cs="Times New Roman" w:eastAsia="Times New Roman" w:hAnsi="Times New Roman"/>
          <w:b/>
          <w:bCs/>
          <w:color w:val="0F2A4A"/>
          <w:sz w:val="26"/>
          <w:szCs w:val="26"/>
        </w:rPr>
        <w:t xml:space="preserve">BẢN TỔNG HỢP PHÂN TÍCH ĐIỀU HÀNH CHIẾN LƯỢC</w:t>
      </w:r>
    </w:p>
    <w:p>
      <w:pPr>
        <w:spacing w:after="50"/>
        <w:jc w:val="center"/>
      </w:pPr>
      <w:r>
        <w:rPr>
          <w:rFonts w:ascii="Times New Roman" w:cs="Times New Roman" w:eastAsia="Times New Roman" w:hAnsi="Times New Roman"/>
          <w:b/>
          <w:bCs/>
          <w:color w:val="1E293B"/>
          <w:sz w:val="24"/>
          <w:szCs w:val="24"/>
        </w:rPr>
        <w:t xml:space="preserve">BÁO CÁO CÔNG TÁC TIẾP CÔNG DÂN, GIẢI QUYẾT KHIẾU NẠI, TỐ CÁO VÀ PHÒNG, CHỐNG THAM NHŨNG ĐỊNH KỲ THÁNG 6 NĂM 2026 TRÊN ĐỊA BÀN XÃ SƠN MAI</w:t>
      </w:r>
    </w:p>
    <w:p>
      <w:pPr>
        <w:spacing w:after="160"/>
        <w:jc w:val="center"/>
      </w:pPr>
      <w:r>
        <w:rPr>
          <w:rFonts w:ascii="Times New Roman" w:cs="Times New Roman" w:eastAsia="Times New Roman" w:hAnsi="Times New Roman"/>
          <w:i/>
          <w:iCs/>
          <w:color w:val="64748B"/>
          <w:sz w:val="18"/>
          <w:szCs w:val="18"/>
        </w:rPr>
        <w:t xml:space="preserve">Tài liệu gốc: Báo cáo Công tác tiếp công dân, giải quyết khiếu nại, tố cáo và phòng, chống tham nhũng định kỳ tháng 6 năm 2026 trên địa bàn xã Sơn Mai.pdf | Quy mô: 6 trang | Thời gian lập: 22/8/2026</w:t>
      </w:r>
    </w:p>
    <w:p>
      <w:pPr>
        <w:pStyle w:val="Heading2"/>
        <w:spacing w:after="70" w:before="160"/>
      </w:pPr>
      <w:r>
        <w:rPr>
          <w:rFonts w:ascii="Times New Roman" w:cs="Times New Roman" w:eastAsia="Times New Roman" w:hAnsi="Times New Roman"/>
          <w:b/>
          <w:bCs/>
          <w:color w:val="0F2A4A"/>
          <w:sz w:val="23"/>
          <w:szCs w:val="23"/>
        </w:rPr>
        <w:t xml:space="preserve">I. TỔNG QUAN ĐIỀU HÀNH &amp; BỐI CẢNH CHIẾN LƯỢC</w:t>
      </w:r>
    </w:p>
    <w:tbl>
      <w:tblPr>
        <w:tblW w:type="dxa" w:w="9638"/>
        <w:tblBorders>
          <w:top w:val="single" w:color="CBD5E1" w:sz="4"/>
          <w:left w:val="single" w:color="0F2A4A" w:sz="24"/>
          <w:bottom w:val="single" w:color="CBD5E1" w:sz="4"/>
          <w:right w:val="single" w:color="CBD5E1" w:sz="4"/>
          <w:insideH w:val="none"/>
          <w:insideV w:val="none"/>
        </w:tblBorders>
      </w:tblPr>
      <w:tblGrid>
        <w:gridCol w:w="9638"/>
      </w:tblGrid>
      <w:tr>
        <w:tc>
          <w:tcPr>
            <w:tcW w:type="dxa" w:w="9638"/>
            <w:shd w:fill="F8FAFC" w:color="auto" w:val="clear"/>
            <w:tcMar>
              <w:top w:type="dxa" w:w="100"/>
              <w:left w:type="dxa" w:w="140"/>
              <w:bottom w:type="dxa" w:w="100"/>
              <w:right w:type="dxa" w:w="140"/>
            </w:tcMar>
          </w:tcPr>
          <w:p>
            <w:pPr>
              <w:spacing w:after="50"/>
            </w:pPr>
            <w:r>
              <w:rPr>
                <w:rFonts w:ascii="Times New Roman" w:cs="Times New Roman" w:eastAsia="Times New Roman" w:hAnsi="Times New Roman"/>
                <w:b/>
                <w:bCs/>
                <w:color w:val="0F2A4A"/>
                <w:sz w:val="20"/>
                <w:szCs w:val="20"/>
              </w:rPr>
              <w:t xml:space="preserve">• Tóm tắt điều hành trọng tâm: </w:t>
            </w:r>
            <w:r>
              <w:rPr>
                <w:rFonts w:ascii="Times New Roman" w:cs="Times New Roman" w:eastAsia="Times New Roman" w:hAnsi="Times New Roman"/>
                <w:color w:val="1E293B"/>
                <w:sz w:val="20"/>
                <w:szCs w:val="20"/>
              </w:rPr>
              <w:t xml:space="preserve">Tháng 6/2026, xã Sơn Mai duy trì ổn định an ninh trật tự, không phát sinh đơn thư khiếu nại, tố cáo, không có vụ việc tham nhũng, lãng phí và tiếp tục chuẩn hóa quy trình cải cách hành chính.</w:t>
            </w:r>
          </w:p>
          <w:p>
            <w:pPr>
              <w:spacing w:after="50"/>
            </w:pPr>
            <w:r>
              <w:rPr>
                <w:rFonts w:ascii="Times New Roman" w:cs="Times New Roman" w:eastAsia="Times New Roman" w:hAnsi="Times New Roman"/>
                <w:b/>
                <w:bCs/>
                <w:color w:val="1E293B"/>
                <w:sz w:val="20"/>
                <w:szCs w:val="20"/>
              </w:rPr>
              <w:t xml:space="preserve">• Bối cảnh &amp; Chỉ đạo chung: </w:t>
            </w:r>
            <w:r>
              <w:rPr>
                <w:rFonts w:ascii="Times New Roman" w:cs="Times New Roman" w:eastAsia="Times New Roman" w:hAnsi="Times New Roman"/>
                <w:color w:val="1E293B"/>
                <w:sz w:val="20"/>
                <w:szCs w:val="20"/>
              </w:rPr>
              <w:t xml:space="preserve">Cơ quan ban hành: Ủy ban nhân dân xã Sơn Mai. Bối cảnh điều hành tập trung vào tháo gỡ điểm nghẽn và tăng tốc hoàn thành chỉ tiêu kỳ Tháng 6/2026.</w:t>
            </w:r>
          </w:p>
          <w:p>
            <w:r>
              <w:rPr>
                <w:rFonts w:ascii="Times New Roman" w:cs="Times New Roman" w:eastAsia="Times New Roman" w:hAnsi="Times New Roman"/>
                <w:b/>
                <w:bCs/>
                <w:color w:val="1E293B"/>
                <w:sz w:val="20"/>
                <w:szCs w:val="20"/>
              </w:rPr>
              <w:t xml:space="preserve">• Phạm vi rà soát: </w:t>
            </w:r>
            <w:r>
              <w:rPr>
                <w:rFonts w:ascii="Times New Roman" w:cs="Times New Roman" w:eastAsia="Times New Roman" w:hAnsi="Times New Roman"/>
                <w:color w:val="1E293B"/>
                <w:sz w:val="20"/>
                <w:szCs w:val="20"/>
              </w:rPr>
              <w:t xml:space="preserve">Đã thẩm định và bóc tách toàn diện các số liệu, chỉ tiêu và điểm nghẽn qua toàn bộ 6 trang tài liệu gốc.</w:t>
            </w:r>
          </w:p>
        </w:tc>
      </w:tr>
    </w:tbl>
    <w:p>
      <w:pPr>
        <w:pStyle w:val="Heading2"/>
        <w:spacing w:after="80" w:before="180"/>
      </w:pPr>
      <w:r>
        <w:rPr>
          <w:rFonts w:ascii="Times New Roman" w:cs="Times New Roman" w:eastAsia="Times New Roman" w:hAnsi="Times New Roman"/>
          <w:b/>
          <w:bCs/>
          <w:color w:val="0F2A4A"/>
          <w:sz w:val="23"/>
          <w:szCs w:val="23"/>
        </w:rPr>
        <w:t xml:space="preserve">II. ĐÁNH GIÁ CÁC TRỌNG TÂM CÔNG TÁC</w:t>
      </w:r>
    </w:p>
    <w:p>
      <w:pPr>
        <w:pStyle w:val="Heading3"/>
        <w:spacing w:after="50" w:before="100"/>
      </w:pPr>
      <w:r>
        <w:rPr>
          <w:rFonts w:ascii="Times New Roman" w:cs="Times New Roman" w:eastAsia="Times New Roman" w:hAnsi="Times New Roman"/>
          <w:b/>
          <w:bCs/>
          <w:color w:val="1E293B"/>
          <w:sz w:val="21"/>
          <w:szCs w:val="21"/>
        </w:rPr>
        <w:t xml:space="preserve">1. Kết quả thực hiện các chỉ tiêu chủ yếu</w:t>
      </w:r>
    </w:p>
    <w:p>
      <w:pPr>
        <w:spacing w:after="60"/>
      </w:pPr>
      <w:r>
        <w:rPr>
          <w:rFonts w:ascii="Times New Roman" w:cs="Times New Roman" w:eastAsia="Times New Roman" w:hAnsi="Times New Roman"/>
          <w:color w:val="1E293B"/>
          <w:sz w:val="20"/>
          <w:szCs w:val="20"/>
        </w:rPr>
        <w:t xml:space="preserve">Toàn đơn vị đã bám sát chỉ đạo, cơ bản hoàn thành các chỉ tiêu trọng tâm. Ghi nhận Lượt tiếp công dân thường xuyên: 0 lượt, Lượt tiếp công dân định kỳ và đột xuất của Lãnh đạo: 0 lượt, Tổng số đơn khiếu nại, tố cáo, kiến nghị tiếp nhận trong kỳ: 0 đơn, Số đơn khiếu nại thuộc thẩm quyền: 0 đơn. Tỷ lệ hoàn thành nhiệm vụ phản ánh nỗ lực của các phòng ban chuyên môn trong kỳ báo cáo.</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Duy trì ổn định an ninh trật tự, không phát sinh điểm nóng khiếu kiện</w:t>
      </w:r>
    </w:p>
    <w:p>
      <w:pPr>
        <w:pStyle w:val="ListParagraph"/>
        <w:numPr>
          <w:ilvl w:val="0"/>
          <w:numId w:val="1"/>
        </w:numPr>
        <w:spacing w:after="30"/>
      </w:pPr>
      <w:r>
        <w:rPr>
          <w:rFonts w:ascii="Times New Roman" w:cs="Times New Roman" w:eastAsia="Times New Roman" w:hAnsi="Times New Roman"/>
          <w:color w:val="334155"/>
          <w:sz w:val="20"/>
          <w:szCs w:val="20"/>
        </w:rPr>
        <w:t xml:space="preserve">Đẩy mạnh chuyển đổi số và thanh toán không dùng tiền mặt</w:t>
      </w:r>
    </w:p>
    <w:p>
      <w:pPr>
        <w:pStyle w:val="ListParagraph"/>
        <w:numPr>
          <w:ilvl w:val="0"/>
          <w:numId w:val="1"/>
        </w:numPr>
        <w:spacing w:after="30"/>
      </w:pPr>
      <w:r>
        <w:rPr>
          <w:rFonts w:ascii="Times New Roman" w:cs="Times New Roman" w:eastAsia="Times New Roman" w:hAnsi="Times New Roman"/>
          <w:color w:val="334155"/>
          <w:sz w:val="20"/>
          <w:szCs w:val="20"/>
        </w:rPr>
        <w:t xml:space="preserve">Hoàn thiện thể chế nội bộ về quy tắc ứng xử và cải cách hành chính</w:t>
      </w:r>
    </w:p>
    <w:p>
      <w:pPr>
        <w:pStyle w:val="Heading3"/>
        <w:spacing w:after="50" w:before="100"/>
      </w:pPr>
      <w:r>
        <w:rPr>
          <w:rFonts w:ascii="Times New Roman" w:cs="Times New Roman" w:eastAsia="Times New Roman" w:hAnsi="Times New Roman"/>
          <w:b/>
          <w:bCs/>
          <w:color w:val="1E293B"/>
          <w:sz w:val="21"/>
          <w:szCs w:val="21"/>
        </w:rPr>
        <w:t xml:space="preserve">2. Các vấn đề cần tập trung chỉ đạo</w:t>
      </w:r>
    </w:p>
    <w:p>
      <w:pPr>
        <w:spacing w:after="60"/>
      </w:pPr>
      <w:r>
        <w:rPr>
          <w:rFonts w:ascii="Times New Roman" w:cs="Times New Roman" w:eastAsia="Times New Roman" w:hAnsi="Times New Roman"/>
          <w:color w:val="1E293B"/>
          <w:sz w:val="20"/>
          <w:szCs w:val="20"/>
        </w:rPr>
        <w:t xml:space="preserve">Hệ thống ghi nhận một số vướng mắc then chốt cần chỉ đạo giải quyết dứt điểm. Cụ thể: Công chức làm nhiệm vụ tiếp công dân, giải quyết KNTC và PCTN là cán bộ kiêm nhiệm, khối lượng công việc chuyên môn lớn. (Cần lưu ý); Kinh phí phục vụ công tác tiếp công dân, giải quyết khiếu nại, tố cáo và PCTN còn hạn chế. (Theo dõi); Công tác tuyên truyền, phổ biến giáo dục pháp luật về Luật Tiếp công dân, Luật Khiếu nại, Luật Tố cáo chưa được thực hiện thường xuyên, sâu rộng. (Cần lưu ý).</w:t>
      </w:r>
    </w:p>
    <w:p>
      <w:pPr>
        <w:spacing w:after="30"/>
      </w:pPr>
      <w:r>
        <w:rPr>
          <w:rFonts w:ascii="Times New Roman" w:cs="Times New Roman" w:eastAsia="Times New Roman" w:hAnsi="Times New Roman"/>
          <w:b/>
          <w:bCs/>
          <w:color w:val="0F2A4A"/>
          <w:sz w:val="20"/>
          <w:szCs w:val="20"/>
        </w:rPr>
        <w:t xml:space="preserve">Điểm cốt lõi rút ra: </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chức làm nhiệm vụ tiếp công dân, giải quyết KNTC và PCTN là cán bộ kiêm nhiệm, khối lượng công việc chuyên môn lớn. - UBND xã Sơn Mai (Văn phòng HĐND&amp;UBND)</w:t>
      </w:r>
    </w:p>
    <w:p>
      <w:pPr>
        <w:pStyle w:val="ListParagraph"/>
        <w:numPr>
          <w:ilvl w:val="0"/>
          <w:numId w:val="1"/>
        </w:numPr>
        <w:spacing w:after="30"/>
      </w:pPr>
      <w:r>
        <w:rPr>
          <w:rFonts w:ascii="Times New Roman" w:cs="Times New Roman" w:eastAsia="Times New Roman" w:hAnsi="Times New Roman"/>
          <w:color w:val="334155"/>
          <w:sz w:val="20"/>
          <w:szCs w:val="20"/>
        </w:rPr>
        <w:t xml:space="preserve">Kinh phí phục vụ công tác tiếp công dân, giải quyết khiếu nại, tố cáo và PCTN còn hạn chế. - UBND xã Sơn Mai</w:t>
      </w:r>
    </w:p>
    <w:p>
      <w:pPr>
        <w:pStyle w:val="ListParagraph"/>
        <w:numPr>
          <w:ilvl w:val="0"/>
          <w:numId w:val="1"/>
        </w:numPr>
        <w:spacing w:after="30"/>
      </w:pPr>
      <w:r>
        <w:rPr>
          <w:rFonts w:ascii="Times New Roman" w:cs="Times New Roman" w:eastAsia="Times New Roman" w:hAnsi="Times New Roman"/>
          <w:color w:val="334155"/>
          <w:sz w:val="20"/>
          <w:szCs w:val="20"/>
        </w:rPr>
        <w:t xml:space="preserve">Công tác tuyên truyền, phổ biến giáo dục pháp luật về Luật Tiếp công dân, Luật Khiếu nại, Luật Tố cáo chưa được thực hiện thường xuyên, sâu rộng. - Hội đồng Phối hợp PBGDPL xã, Bộ phận Tư pháp - Hộ tịch</w:t>
      </w:r>
    </w:p>
    <w:p>
      <w:pPr>
        <w:pStyle w:val="Heading2"/>
        <w:spacing w:after="80" w:before="180"/>
      </w:pPr>
      <w:r>
        <w:rPr>
          <w:rFonts w:ascii="Times New Roman" w:cs="Times New Roman" w:eastAsia="Times New Roman" w:hAnsi="Times New Roman"/>
          <w:b/>
          <w:bCs/>
          <w:color w:val="0F2A4A"/>
          <w:sz w:val="23"/>
          <w:szCs w:val="23"/>
        </w:rPr>
        <w:t xml:space="preserve">III. BẢNG TỔNG HỢP &amp; ĐỐI CHIẾU CHỈ TIÊU KẾ HOẠCH - THỰC TẾ</w:t>
      </w:r>
    </w:p>
    <w:tbl>
      <w:tblPr>
        <w:tblW w:type="dxa" w:w="9638"/>
        <w:tblBorders>
          <w:top w:val="single" w:color="CBD5E1" w:sz="4"/>
          <w:left w:val="single" w:color="CBD5E1" w:sz="4"/>
          <w:bottom w:val="single" w:color="CBD5E1" w:sz="4"/>
          <w:right w:val="single" w:color="CBD5E1" w:sz="4"/>
          <w:insideH w:val="single" w:color="auto" w:sz="4"/>
          <w:insideV w:val="single" w:color="auto" w:sz="4"/>
        </w:tblBorders>
      </w:tblPr>
      <w:tblGrid>
        <w:gridCol w:w="3000"/>
        <w:gridCol w:w="1300"/>
        <w:gridCol w:w="1300"/>
        <w:gridCol w:w="1400"/>
        <w:gridCol w:w="1400"/>
        <w:gridCol w:w="1238"/>
      </w:tblGrid>
      <w:tr>
        <w:trPr>
          <w:tblHeader/>
        </w:trPr>
        <w:tc>
          <w:tcPr>
            <w:tcW w:type="dxa" w:w="30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Chỉ Tiêu Đánh Giá</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Kế Hoạch</w:t>
            </w:r>
          </w:p>
        </w:tc>
        <w:tc>
          <w:tcPr>
            <w:tcW w:type="dxa" w:w="13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Thực Tế</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Chênh Lệch</w:t>
            </w:r>
          </w:p>
        </w:tc>
        <w:tc>
          <w:tcPr>
            <w:tcW w:type="dxa" w:w="1400"/>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Đánh Giá</w:t>
            </w:r>
          </w:p>
        </w:tc>
        <w:tc>
          <w:tcPr>
            <w:tcW w:type="dxa" w:w="1238"/>
            <w:tcBorders>
              <w:top w:val="single" w:color="CBD5E1" w:sz="4"/>
              <w:left w:val="single" w:color="CBD5E1" w:sz="4"/>
              <w:bottom w:val="single" w:color="CBD5E1" w:sz="4"/>
              <w:right w:val="single" w:color="CBD5E1" w:sz="4"/>
            </w:tcBorders>
            <w:shd w:fill="0F2A4A" w:color="auto" w:val="clear"/>
            <w:tcMar>
              <w:top w:type="dxa" w:w="80"/>
              <w:left w:type="dxa" w:w="80"/>
              <w:bottom w:type="dxa" w:w="80"/>
              <w:right w:type="dxa" w:w="80"/>
            </w:tcMar>
          </w:tcPr>
          <w:p>
            <w:pPr>
              <w:jc w:val="center"/>
            </w:pPr>
            <w:r>
              <w:rPr>
                <w:rFonts w:ascii="Times New Roman" w:cs="Times New Roman" w:eastAsia="Times New Roman" w:hAnsi="Times New Roman"/>
                <w:b/>
                <w:bCs/>
                <w:color w:val="FFFFFF"/>
                <w:sz w:val="18"/>
                <w:szCs w:val="18"/>
              </w:rPr>
              <w:t xml:space="preserve">Nguồn</w:t>
            </w:r>
          </w:p>
        </w:tc>
      </w:tr>
      <w:tr>
        <w:tc>
          <w:tcPr>
            <w:tcW w:type="dxa" w:w="30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r>
              <w:rPr>
                <w:rFonts w:ascii="Times New Roman" w:cs="Times New Roman" w:eastAsia="Times New Roman" w:hAnsi="Times New Roman"/>
                <w:b/>
                <w:bCs/>
                <w:color w:val="1E293B"/>
                <w:sz w:val="17"/>
                <w:szCs w:val="17"/>
              </w:rPr>
              <w:t xml:space="preserve">Tổng thể các nhiệm vụ trong kỳ</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475569"/>
                <w:sz w:val="17"/>
                <w:szCs w:val="17"/>
              </w:rPr>
              <w:t xml:space="preserve">100% nhiệm vụ được giao</w:t>
            </w:r>
          </w:p>
        </w:tc>
        <w:tc>
          <w:tcPr>
            <w:tcW w:type="dxa" w:w="13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b/>
                <w:bCs/>
                <w:color w:val="1E293B"/>
                <w:sz w:val="17"/>
                <w:szCs w:val="17"/>
              </w:rPr>
              <w:t xml:space="preserve">Đạt và vượt tiến độ cơ bản</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right"/>
            </w:pPr>
            <w:r>
              <w:rPr>
                <w:rFonts w:ascii="Times New Roman" w:cs="Times New Roman" w:eastAsia="Times New Roman" w:hAnsi="Times New Roman"/>
                <w:color w:val="15803D"/>
                <w:sz w:val="17"/>
                <w:szCs w:val="17"/>
              </w:rPr>
              <w:t xml:space="preserve">Hoàn thành tốt</w:t>
            </w:r>
          </w:p>
        </w:tc>
        <w:tc>
          <w:tcPr>
            <w:tcW w:type="dxa" w:w="1400"/>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b/>
                <w:bCs/>
                <w:color w:val="15803D"/>
                <w:sz w:val="16"/>
                <w:szCs w:val="16"/>
              </w:rPr>
              <w:t xml:space="preserve">VƯỢT CHỈ TIÊU</w:t>
            </w:r>
          </w:p>
        </w:tc>
        <w:tc>
          <w:tcPr>
            <w:tcW w:type="dxa" w:w="1238"/>
            <w:tcBorders>
              <w:top w:val="single" w:color="CBD5E1" w:sz="4"/>
              <w:left w:val="single" w:color="CBD5E1" w:sz="4"/>
              <w:bottom w:val="single" w:color="CBD5E1" w:sz="4"/>
              <w:right w:val="single" w:color="CBD5E1" w:sz="4"/>
            </w:tcBorders>
            <w:shd w:fill="FFFFFF" w:color="auto" w:val="clear"/>
            <w:tcMar>
              <w:top w:type="dxa" w:w="60"/>
              <w:left w:type="dxa" w:w="80"/>
              <w:bottom w:type="dxa" w:w="60"/>
              <w:right w:type="dxa" w:w="80"/>
            </w:tcMar>
          </w:tcPr>
          <w:p>
            <w:pPr>
              <w:jc w:val="center"/>
            </w:pPr>
            <w:r>
              <w:rPr>
                <w:rFonts w:ascii="Times New Roman" w:cs="Times New Roman" w:eastAsia="Times New Roman" w:hAnsi="Times New Roman"/>
                <w:color w:val="64748B"/>
                <w:sz w:val="16"/>
                <w:szCs w:val="16"/>
              </w:rPr>
              <w:t xml:space="preserve">Trang 1</w:t>
            </w:r>
          </w:p>
        </w:tc>
      </w:tr>
    </w:tbl>
    <w:p>
      <w:pPr>
        <w:pStyle w:val="Heading2"/>
        <w:spacing w:after="80" w:before="180"/>
      </w:pPr>
      <w:r>
        <w:rPr>
          <w:rFonts w:ascii="Times New Roman" w:cs="Times New Roman" w:eastAsia="Times New Roman" w:hAnsi="Times New Roman"/>
          <w:b/>
          <w:bCs/>
          <w:color w:val="0F2A4A"/>
          <w:sz w:val="23"/>
          <w:szCs w:val="23"/>
        </w:rPr>
        <w:t xml:space="preserve">IV. CÁC VẤN ĐỀ, ĐIỂM NGHẼN CẦN THÁO GỠ</w:t>
      </w:r>
    </w:p>
    <w:p>
      <w:pPr>
        <w:pStyle w:val="Heading3"/>
        <w:spacing w:after="40" w:before="100"/>
      </w:pPr>
      <w:r>
        <w:rPr>
          <w:rFonts w:ascii="Times New Roman" w:cs="Times New Roman" w:eastAsia="Times New Roman" w:hAnsi="Times New Roman"/>
          <w:b/>
          <w:bCs/>
          <w:color w:val="1E293B"/>
          <w:sz w:val="21"/>
          <w:szCs w:val="21"/>
        </w:rPr>
        <w:t xml:space="preserve">1. Công chức làm nhiệm vụ tiếp công dân, giải quyết KNTC và PCTN là cán bộ kiêm nhiệm, khối lượng công việc chuyên môn lớn.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Biên chế cấp xã hạn chế, không có vị trí chuyên trách riêng biệt.</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Cán bộ thiếu thời gian nghiên cứu sâu văn bản pháp luật chuyên ngành, đôi lúc còn lúng túng khi cụ thể hóa quy định vào thực tiễn.</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Tạo điều kiện cho cán bộ tham gia các khóa đào tạo, bồi dưỡng nghiệp vụ chuyên sâu về PCTN và giải quyết KNTC do cấp trên tổ chức.</w:t>
      </w:r>
    </w:p>
    <w:p>
      <w:pPr>
        <w:pStyle w:val="Heading3"/>
        <w:spacing w:after="40" w:before="100"/>
      </w:pPr>
      <w:r>
        <w:rPr>
          <w:rFonts w:ascii="Times New Roman" w:cs="Times New Roman" w:eastAsia="Times New Roman" w:hAnsi="Times New Roman"/>
          <w:b/>
          <w:bCs/>
          <w:color w:val="1E293B"/>
          <w:sz w:val="21"/>
          <w:szCs w:val="21"/>
        </w:rPr>
        <w:t xml:space="preserve">2. Kinh phí phục vụ công tác tiếp công dân, giải quyết khiếu nại, tố cáo và PCTN còn hạn chế.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Nguồn ngân sách xã còn khó khăn, định mức phân bổ chưa bao quát hết nhiệm vụ phát sinh.</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Chưa tương xứng với yêu cầu thực tế, ảnh hưởng đến chất lượng cơ sở vật chất và hoạt động nghiệp vụ.</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Kiến nghị cấp trên xem xét bố trí, đảm bảo đầy đủ kinh phí hoạt động chuyên biệt cho công tác PCTN, tiêu cực và tiếp công dân.</w:t>
      </w:r>
    </w:p>
    <w:p>
      <w:pPr>
        <w:pStyle w:val="Heading3"/>
        <w:spacing w:after="40" w:before="100"/>
      </w:pPr>
      <w:r>
        <w:rPr>
          <w:rFonts w:ascii="Times New Roman" w:cs="Times New Roman" w:eastAsia="Times New Roman" w:hAnsi="Times New Roman"/>
          <w:b/>
          <w:bCs/>
          <w:color w:val="1E293B"/>
          <w:sz w:val="21"/>
          <w:szCs w:val="21"/>
        </w:rPr>
        <w:t xml:space="preserve">3. Công tác tuyên truyền, phổ biến giáo dục pháp luật về Luật Tiếp công dân, Luật Khiếu nại, Luật Tố cáo chưa được thực hiện thường xuyên, sâu rộng. </w:t>
      </w:r>
      <w:r>
        <w:rPr>
          <w:rFonts w:ascii="Times New Roman" w:cs="Times New Roman" w:eastAsia="Times New Roman" w:hAnsi="Times New Roman"/>
          <w:b/>
          <w:bCs/>
          <w:color w:val="1E3A8A"/>
          <w:sz w:val="19"/>
          <w:szCs w:val="19"/>
        </w:rPr>
        <w:t xml:space="preserve">[Mức độ: Cần lưu ý]</w:t>
      </w:r>
    </w:p>
    <w:p>
      <w:pPr>
        <w:spacing w:after="30"/>
      </w:pPr>
      <w:r>
        <w:rPr>
          <w:rFonts w:ascii="Times New Roman" w:cs="Times New Roman" w:eastAsia="Times New Roman" w:hAnsi="Times New Roman"/>
          <w:b/>
          <w:bCs/>
          <w:color w:val="1E293B"/>
          <w:sz w:val="20"/>
          <w:szCs w:val="20"/>
        </w:rPr>
        <w:t xml:space="preserve">• Tình trạng &amp; Nguyên nhân: </w:t>
      </w:r>
      <w:r>
        <w:rPr>
          <w:rFonts w:ascii="Times New Roman" w:cs="Times New Roman" w:eastAsia="Times New Roman" w:hAnsi="Times New Roman"/>
          <w:color w:val="1E293B"/>
          <w:sz w:val="20"/>
          <w:szCs w:val="20"/>
        </w:rPr>
        <w:t xml:space="preserve">Hạn chế về nguồn lực tổ chức và hình thức tuyên truyền tại cơ sở.</w:t>
      </w:r>
    </w:p>
    <w:p>
      <w:pPr>
        <w:spacing w:after="30"/>
      </w:pPr>
      <w:r>
        <w:rPr>
          <w:rFonts w:ascii="Times New Roman" w:cs="Times New Roman" w:eastAsia="Times New Roman" w:hAnsi="Times New Roman"/>
          <w:b/>
          <w:bCs/>
          <w:color w:val="DC2626"/>
          <w:sz w:val="20"/>
          <w:szCs w:val="20"/>
        </w:rPr>
        <w:t xml:space="preserve">• Ảnh hưởng hệ thống: </w:t>
      </w:r>
      <w:r>
        <w:rPr>
          <w:rFonts w:ascii="Times New Roman" w:cs="Times New Roman" w:eastAsia="Times New Roman" w:hAnsi="Times New Roman"/>
          <w:color w:val="1E293B"/>
          <w:sz w:val="20"/>
          <w:szCs w:val="20"/>
        </w:rPr>
        <w:t xml:space="preserve">Nhận thức và hiểu biết pháp luật của một bộ phận người dân về quy trình khiếu nại, tố cáo chưa đồng đều.</w:t>
      </w:r>
    </w:p>
    <w:p>
      <w:pPr>
        <w:spacing w:after="80"/>
      </w:pPr>
      <w:r>
        <w:rPr>
          <w:rFonts w:ascii="Times New Roman" w:cs="Times New Roman" w:eastAsia="Times New Roman" w:hAnsi="Times New Roman"/>
          <w:b/>
          <w:bCs/>
          <w:color w:val="15803D"/>
          <w:sz w:val="20"/>
          <w:szCs w:val="20"/>
        </w:rPr>
        <w:t xml:space="preserve">• Hướng xử lý đề xuất: </w:t>
      </w:r>
      <w:r>
        <w:rPr>
          <w:rFonts w:ascii="Times New Roman" w:cs="Times New Roman" w:eastAsia="Times New Roman" w:hAnsi="Times New Roman"/>
          <w:color w:val="1E293B"/>
          <w:sz w:val="20"/>
          <w:szCs w:val="20"/>
        </w:rPr>
        <w:t xml:space="preserve">Tăng cường tuyên truyền qua môi trường số, cuộc thi trực tuyến và nâng cao hiệu quả hòa giải ở cơ sở gắn với trợ giúp pháp lý.</w:t>
      </w:r>
    </w:p>
    <w:p>
      <w:pPr>
        <w:pStyle w:val="Heading2"/>
        <w:spacing w:after="80" w:before="180"/>
      </w:pPr>
      <w:r>
        <w:rPr>
          <w:rFonts w:ascii="Times New Roman" w:cs="Times New Roman" w:eastAsia="Times New Roman" w:hAnsi="Times New Roman"/>
          <w:b/>
          <w:bCs/>
          <w:color w:val="0F2A4A"/>
          <w:sz w:val="23"/>
          <w:szCs w:val="23"/>
        </w:rPr>
        <w:t xml:space="preserve">V. KẾ HOẠCH &amp; LỘ TRÌNH THỰC HIỆN TRỌNG TÂM</w:t>
      </w:r>
    </w:p>
    <w:p>
      <w:pPr>
        <w:pStyle w:val="Heading3"/>
        <w:spacing w:after="30" w:before="100"/>
      </w:pPr>
      <w:r>
        <w:rPr>
          <w:rFonts w:ascii="Times New Roman" w:cs="Times New Roman" w:eastAsia="Times New Roman" w:hAnsi="Times New Roman"/>
          <w:b/>
          <w:bCs/>
          <w:color w:val="0F2A4A"/>
          <w:sz w:val="21"/>
          <w:szCs w:val="21"/>
        </w:rPr>
        <w:t xml:space="preserve">Giai đoạn 1: Tháo gỡ nút thắt nóng &amp; Nhiệm vụ cấp bách (0 - 30 Ngày)</w:t>
      </w:r>
    </w:p>
    <w:p>
      <w:pPr>
        <w:spacing w:after="40"/>
      </w:pPr>
      <w:r>
        <w:rPr>
          <w:rFonts w:ascii="Times New Roman" w:cs="Times New Roman" w:eastAsia="Times New Roman" w:hAnsi="Times New Roman"/>
          <w:i/>
          <w:iCs/>
          <w:color w:val="475569"/>
          <w:sz w:val="19"/>
          <w:szCs w:val="19"/>
        </w:rPr>
        <w:t xml:space="preserve">Trọng tâm: Tập trung xử lý các điểm nghẽn và kiến nghị ưu tiên hàng đầu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Duy trì nghiêm túc quy trình tiếp công dân định kỳ, thường xuyên và xử lý đơn thư đúng thẩm quyền: </w:t>
      </w:r>
      <w:r>
        <w:rPr>
          <w:rFonts w:ascii="Times New Roman" w:cs="Times New Roman" w:eastAsia="Times New Roman" w:hAnsi="Times New Roman"/>
          <w:color w:val="1E293B"/>
          <w:sz w:val="20"/>
          <w:szCs w:val="20"/>
        </w:rPr>
        <w:t xml:space="preserve">100% các vụ việc/đơn thư (nếu phát sinh) được hướng dẫn, xử lý đúng hạn và đúng quy định pháp luật. (Chủ trì: Chủ tịch UBND xã, Công chức kiêm nhiệm Tiếp công dân,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Đẩy mạnh tuyên truyền PBGDPL, nâng cao hiệu quả công tác hòa giải ở cơ sở và trợ giúp pháp lý: </w:t>
      </w:r>
      <w:r>
        <w:rPr>
          <w:rFonts w:ascii="Times New Roman" w:cs="Times New Roman" w:eastAsia="Times New Roman" w:hAnsi="Times New Roman"/>
          <w:color w:val="1E293B"/>
          <w:sz w:val="20"/>
          <w:szCs w:val="20"/>
        </w:rPr>
        <w:t xml:space="preserve">Tăng cường tỷ lệ hòa giải thành tại cơ sở, giảm thiểu tối đa tranh chấp và đơn thư phát sinh. (Chủ trì: Bộ phận Tư pháp - Hộ tịch, Mục tiêu: Hoàn thành 100% nhiệm vụ nóng)</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Thực hiện đồng bộ các biện pháp phòng ngừa PCTN, kiểm soát tài sản thu nhập và công khai ngân sách: </w:t>
      </w:r>
      <w:r>
        <w:rPr>
          <w:rFonts w:ascii="Times New Roman" w:cs="Times New Roman" w:eastAsia="Times New Roman" w:hAnsi="Times New Roman"/>
          <w:color w:val="1E293B"/>
          <w:sz w:val="20"/>
          <w:szCs w:val="20"/>
        </w:rPr>
        <w:t xml:space="preserve">Đảm bảo 100% hoạt động mua sắm, dự toán ngân sách và kê khai tài sản được thực hiện công khai, minh bạch đúng quy định. (Chủ trì: Công chức Văn phòng kiêm nhiệm PCTN, Bộ phận Tài chính - Kế toán, Mục tiêu: Hoàn thành 100% nhiệm vụ nóng)</w:t>
      </w:r>
    </w:p>
    <w:p>
      <w:pPr>
        <w:pStyle w:val="Heading3"/>
        <w:spacing w:after="30" w:before="100"/>
      </w:pPr>
      <w:r>
        <w:rPr>
          <w:rFonts w:ascii="Times New Roman" w:cs="Times New Roman" w:eastAsia="Times New Roman" w:hAnsi="Times New Roman"/>
          <w:b/>
          <w:bCs/>
          <w:color w:val="0F2A4A"/>
          <w:sz w:val="21"/>
          <w:szCs w:val="21"/>
        </w:rPr>
        <w:t xml:space="preserve">Giai đoạn 2: Tăng tốc &amp; Đôn đốc tiến độ định lượng (30 - 90 Ngày)</w:t>
      </w:r>
    </w:p>
    <w:p>
      <w:pPr>
        <w:spacing w:after="40"/>
      </w:pPr>
      <w:r>
        <w:rPr>
          <w:rFonts w:ascii="Times New Roman" w:cs="Times New Roman" w:eastAsia="Times New Roman" w:hAnsi="Times New Roman"/>
          <w:i/>
          <w:iCs/>
          <w:color w:val="475569"/>
          <w:sz w:val="19"/>
          <w:szCs w:val="19"/>
        </w:rPr>
        <w:t xml:space="preserve">Trọng tâm: Đẩy mạnh thực hiện các mục tiêu định lượng và chỉ tiêu KPI trọng yếu</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Kiểm tra hiện trường và giao ban định kỳ: </w:t>
      </w:r>
      <w:r>
        <w:rPr>
          <w:rFonts w:ascii="Times New Roman" w:cs="Times New Roman" w:eastAsia="Times New Roman" w:hAnsi="Times New Roman"/>
          <w:color w:val="1E293B"/>
          <w:sz w:val="20"/>
          <w:szCs w:val="20"/>
        </w:rPr>
        <w:t xml:space="preserve">Rà soát tiến độ tuần và tháo gỡ vướng mắc phát sinh kịp thời (Chủ trì: Văn phòng / Ban Giám đốc, Mục tiêu: Đạt tối thiểu 75% kế hoạch đề ra)</w:t>
      </w:r>
    </w:p>
    <w:p>
      <w:pPr>
        <w:pStyle w:val="Heading3"/>
        <w:spacing w:after="30" w:before="100"/>
      </w:pPr>
      <w:r>
        <w:rPr>
          <w:rFonts w:ascii="Times New Roman" w:cs="Times New Roman" w:eastAsia="Times New Roman" w:hAnsi="Times New Roman"/>
          <w:b/>
          <w:bCs/>
          <w:color w:val="0F2A4A"/>
          <w:sz w:val="21"/>
          <w:szCs w:val="21"/>
        </w:rPr>
        <w:t xml:space="preserve">Giai đoạn 3: Nghiệm thu, thẩm định &amp; Tổng kết (90 - 180 Ngày)</w:t>
      </w:r>
    </w:p>
    <w:p>
      <w:pPr>
        <w:spacing w:after="40"/>
      </w:pPr>
      <w:r>
        <w:rPr>
          <w:rFonts w:ascii="Times New Roman" w:cs="Times New Roman" w:eastAsia="Times New Roman" w:hAnsi="Times New Roman"/>
          <w:i/>
          <w:iCs/>
          <w:color w:val="475569"/>
          <w:sz w:val="19"/>
          <w:szCs w:val="19"/>
        </w:rPr>
        <w:t xml:space="preserve">Trọng tâm: Hoàn tất các chỉ tiêu và thẩm định kết quả toàn diện</w:t>
      </w:r>
    </w:p>
    <w:p>
      <w:pPr>
        <w:pStyle w:val="ListParagraph"/>
        <w:numPr>
          <w:ilvl w:val="0"/>
          <w:numId w:val="1"/>
        </w:numPr>
        <w:spacing w:after="30"/>
      </w:pPr>
      <w:r>
        <w:rPr>
          <w:rFonts w:ascii="Times New Roman" w:cs="Times New Roman" w:eastAsia="Times New Roman" w:hAnsi="Times New Roman"/>
          <w:b/>
          <w:bCs/>
          <w:color w:val="1E293B"/>
          <w:sz w:val="20"/>
          <w:szCs w:val="20"/>
        </w:rPr>
        <w:t xml:space="preserve">Họp tổng kết và đánh giá mức độ hoàn thành: </w:t>
      </w:r>
      <w:r>
        <w:rPr>
          <w:rFonts w:ascii="Times New Roman" w:cs="Times New Roman" w:eastAsia="Times New Roman" w:hAnsi="Times New Roman"/>
          <w:color w:val="1E293B"/>
          <w:sz w:val="20"/>
          <w:szCs w:val="20"/>
        </w:rPr>
        <w:t xml:space="preserve">Lập báo cáo tổng kết gửi cấp thẩm quyền phê duyệt (Chủ trì: Lãnh đạo cơ quan, Mục tiêu: 100% nhiệm vụ được nghiệm thu đạt yêu cầu)</w:t>
      </w:r>
    </w:p>
    <w:p>
      <w:pPr>
        <w:pStyle w:val="Heading2"/>
        <w:spacing w:after="80" w:before="180"/>
      </w:pPr>
      <w:r>
        <w:rPr>
          <w:rFonts w:ascii="Times New Roman" w:cs="Times New Roman" w:eastAsia="Times New Roman" w:hAnsi="Times New Roman"/>
          <w:b/>
          <w:bCs/>
          <w:color w:val="0F2A4A"/>
          <w:sz w:val="23"/>
          <w:szCs w:val="23"/>
        </w:rPr>
        <w:t xml:space="preserve">VI. CÁC NỘI DUNG GIẢI TRÌNH &amp; ĐỀ XUẤT</w:t>
      </w:r>
    </w:p>
    <w:p>
      <w:pPr>
        <w:spacing w:after="30" w:before="100"/>
      </w:pPr>
      <w:r>
        <w:rPr>
          <w:rFonts w:ascii="Times New Roman" w:cs="Times New Roman" w:eastAsia="Times New Roman" w:hAnsi="Times New Roman"/>
          <w:b/>
          <w:bCs/>
          <w:color w:val="0F2A4A"/>
          <w:sz w:val="21"/>
          <w:szCs w:val="21"/>
        </w:rPr>
        <w:t xml:space="preserve">Vấn đề 1: Căn cứ pháp lý và tính cấp thiết đối với kiến nghị gửi Thanh tra tỉnh Quảng Ngãi / UBND cấp trên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"Tổ chức các lớp tập huấn, bồi dưỡng nghiệp vụ chuyên sâu về công tác phòng, chống tham nhũng, lãng phí, tiêu cực và giải quyết đơn thư cho cán bộ, công chức cơ sở.". Việc tháo gỡ kịp thời sẽ giải quyết triệt để nút thắt cho cơ sở và đảm bảo tiến độ chung.</w:t>
      </w:r>
    </w:p>
    <w:p>
      <w:pPr>
        <w:spacing w:after="30" w:before="100"/>
      </w:pPr>
      <w:r>
        <w:rPr>
          <w:rFonts w:ascii="Times New Roman" w:cs="Times New Roman" w:eastAsia="Times New Roman" w:hAnsi="Times New Roman"/>
          <w:b/>
          <w:bCs/>
          <w:color w:val="0F2A4A"/>
          <w:sz w:val="21"/>
          <w:szCs w:val="21"/>
        </w:rPr>
        <w:t xml:space="preserve">Vấn đề 2: Căn cứ pháp lý và tính cấp thiết đối với kiến nghị gửi Cơ quan tài chính cấp trên / Thanh tra tỉnh là gì?</w:t>
      </w:r>
    </w:p>
    <w:p>
      <w:pPr>
        <w:spacing w:after="80"/>
      </w:pPr>
      <w:r>
        <w:rPr>
          <w:rFonts w:ascii="Times New Roman" w:cs="Times New Roman" w:eastAsia="Times New Roman" w:hAnsi="Times New Roman"/>
          <w:b/>
          <w:bCs/>
          <w:color w:val="15803D"/>
          <w:sz w:val="20"/>
          <w:szCs w:val="20"/>
        </w:rPr>
        <w:t xml:space="preserve">• Căn cứ &amp; Luận điểm giải trình: </w:t>
      </w:r>
      <w:r>
        <w:rPr>
          <w:rFonts w:ascii="Times New Roman" w:cs="Times New Roman" w:eastAsia="Times New Roman" w:hAnsi="Times New Roman"/>
          <w:color w:val="1E293B"/>
          <w:sz w:val="20"/>
          <w:szCs w:val="20"/>
        </w:rPr>
        <w:t xml:space="preserve">Nội dung kiến nghị: "Đảm bảo bố trí đầy đủ kinh phí hoạt động cho các đơn vị được giao thực hiện nhiệm vụ về phòng, chống tham nhũng, tiêu cực và tiếp công dân.". Việc tháo gỡ kịp thời sẽ giải quyết triệt để nút thắt cho cơ sở và đảm bảo tiến độ chung.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2026-08-22T13:39:00.719Z</dcterms:created>
  <dcterms:modified xsi:type="dcterms:W3CDTF">2026-08-22T13:39:00.719Z</dcterms:modified>
</cp:coreProperties>
</file>

<file path=docProps/custom.xml><?xml version="1.0" encoding="utf-8"?>
<Properties xmlns="http://schemas.openxmlformats.org/officeDocument/2006/custom-properties" xmlns:vt="http://schemas.openxmlformats.org/officeDocument/2006/docPropsVTypes"/>
</file>