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F2A4A"/>
          <w:sz w:val="26"/>
          <w:szCs w:val="26"/>
        </w:rPr>
        <w:t xml:space="preserve">BẢN TỔNG HỢP PHÂN TÍCH ĐIỀU HÀNH CHIẾN LƯỢC</w:t>
      </w:r>
    </w:p>
    <w:p>
      <w:pPr>
        <w:spacing w:after="50"/>
        <w:jc w:val="center"/>
      </w:pPr>
      <w:r>
        <w:rPr>
          <w:rFonts w:ascii="Times New Roman" w:cs="Times New Roman" w:eastAsia="Times New Roman" w:hAnsi="Times New Roman"/>
          <w:b/>
          <w:bCs/>
          <w:color w:val="1E293B"/>
          <w:sz w:val="24"/>
          <w:szCs w:val="24"/>
        </w:rPr>
        <w:t xml:space="preserve">PHỤ LỤC TỔNG HỢP KIẾN NGHỊ CỦA UBND CÁC XÃ: MĂNG ĐEN, MĂNG BÚT, KON PLÔNG</w:t>
      </w:r>
    </w:p>
    <w:p>
      <w:pPr>
        <w:spacing w:after="160"/>
        <w:jc w:val="center"/>
      </w:pPr>
      <w:r>
        <w:rPr>
          <w:rFonts w:ascii="Times New Roman" w:cs="Times New Roman" w:eastAsia="Times New Roman" w:hAnsi="Times New Roman"/>
          <w:i/>
          <w:iCs/>
          <w:color w:val="64748B"/>
          <w:sz w:val="18"/>
          <w:szCs w:val="18"/>
        </w:rPr>
        <w:t xml:space="preserve">Tài liệu gốc: Phụ lục Tổng hợp kiến nghị của UBND các xã: Măng Đen, Măng Bút, Kon Plông.pdf | Quy mô: 11 trang | Thời gian lập: 22/8/2026</w:t>
      </w:r>
    </w:p>
    <w:p>
      <w:pPr>
        <w:pStyle w:val="Heading2"/>
        <w:spacing w:after="70" w:before="160"/>
      </w:pPr>
      <w:r>
        <w:rPr>
          <w:rFonts w:ascii="Times New Roman" w:cs="Times New Roman" w:eastAsia="Times New Roman" w:hAnsi="Times New Roman"/>
          <w:b/>
          <w:bCs/>
          <w:color w:val="0F2A4A"/>
          <w:sz w:val="23"/>
          <w:szCs w:val="23"/>
        </w:rPr>
        <w:t xml:space="preserve">I. TỔNG QUAN ĐIỀU HÀNH &amp; BỐI CẢNH CHIẾN LƯỢC</w:t>
      </w:r>
    </w:p>
    <w:tbl>
      <w:tblPr>
        <w:tblW w:type="dxa" w:w="9638"/>
        <w:tblBorders>
          <w:top w:val="single" w:color="CBD5E1" w:sz="4"/>
          <w:left w:val="single" w:color="0F2A4A" w:sz="24"/>
          <w:bottom w:val="single" w:color="CBD5E1" w:sz="4"/>
          <w:right w:val="single" w:color="CBD5E1" w:sz="4"/>
          <w:insideH w:val="none"/>
          <w:insideV w:val="none"/>
        </w:tblBorders>
      </w:tblPr>
      <w:tblGrid>
        <w:gridCol w:w="9638"/>
      </w:tblGrid>
      <w:tr>
        <w:tc>
          <w:tcPr>
            <w:tcW w:type="dxa" w:w="9638"/>
            <w:shd w:fill="F8FAFC" w:color="auto" w:val="clear"/>
            <w:tcMar>
              <w:top w:type="dxa" w:w="100"/>
              <w:left w:type="dxa" w:w="140"/>
              <w:bottom w:type="dxa" w:w="100"/>
              <w:right w:type="dxa" w:w="140"/>
            </w:tcMar>
          </w:tcPr>
          <w:p>
            <w:pPr>
              <w:spacing w:after="50"/>
            </w:pPr>
            <w:r>
              <w:rPr>
                <w:rFonts w:ascii="Times New Roman" w:cs="Times New Roman" w:eastAsia="Times New Roman" w:hAnsi="Times New Roman"/>
                <w:b/>
                <w:bCs/>
                <w:color w:val="0F2A4A"/>
                <w:sz w:val="20"/>
                <w:szCs w:val="20"/>
              </w:rPr>
              <w:t xml:space="preserve">• Tóm tắt điều hành trọng tâm: </w:t>
            </w:r>
            <w:r>
              <w:rPr>
                <w:rFonts w:ascii="Times New Roman" w:cs="Times New Roman" w:eastAsia="Times New Roman" w:hAnsi="Times New Roman"/>
                <w:color w:val="1E293B"/>
                <w:sz w:val="20"/>
                <w:szCs w:val="20"/>
              </w:rPr>
              <w:t xml:space="preserve">Tổng hợp 25 nhóm kiến nghị trọng yếu của 3 xã Măng Đen, Măng Bút, Kon Plông đề xuất UBND tỉnh xử lý vướng mắc thanh tra 15 dự án, giải quyết 27,8 tỷ đồng nợ đền bù thủy điện, bố trí vốn di dời sạt lở khẩn cấp và bổ sung 17 biên chế thiếu hụt.</w:t>
            </w:r>
          </w:p>
          <w:p>
            <w:pPr>
              <w:spacing w:after="50"/>
            </w:pPr>
            <w:r>
              <w:rPr>
                <w:rFonts w:ascii="Times New Roman" w:cs="Times New Roman" w:eastAsia="Times New Roman" w:hAnsi="Times New Roman"/>
                <w:b/>
                <w:bCs/>
                <w:color w:val="1E293B"/>
                <w:sz w:val="20"/>
                <w:szCs w:val="20"/>
              </w:rPr>
              <w:t xml:space="preserve">• Bối cảnh &amp; Chỉ đạo chung: </w:t>
            </w:r>
            <w:r>
              <w:rPr>
                <w:rFonts w:ascii="Times New Roman" w:cs="Times New Roman" w:eastAsia="Times New Roman" w:hAnsi="Times New Roman"/>
                <w:color w:val="1E293B"/>
                <w:sz w:val="20"/>
                <w:szCs w:val="20"/>
              </w:rPr>
              <w:t xml:space="preserve">Cơ quan ban hành: UBND tỉnh Quảng Ngãi. Bối cảnh điều hành tập trung vào tháo gỡ điểm nghẽn và tăng tốc hoàn thành chỉ tiêu kỳ Quý I/2026.</w:t>
            </w:r>
          </w:p>
          <w:p>
            <w:r>
              <w:rPr>
                <w:rFonts w:ascii="Times New Roman" w:cs="Times New Roman" w:eastAsia="Times New Roman" w:hAnsi="Times New Roman"/>
                <w:b/>
                <w:bCs/>
                <w:color w:val="1E293B"/>
                <w:sz w:val="20"/>
                <w:szCs w:val="20"/>
              </w:rPr>
              <w:t xml:space="preserve">• Phạm vi rà soát: </w:t>
            </w:r>
            <w:r>
              <w:rPr>
                <w:rFonts w:ascii="Times New Roman" w:cs="Times New Roman" w:eastAsia="Times New Roman" w:hAnsi="Times New Roman"/>
                <w:color w:val="1E293B"/>
                <w:sz w:val="20"/>
                <w:szCs w:val="20"/>
              </w:rPr>
              <w:t xml:space="preserve">Đã thẩm định và bóc tách toàn diện các số liệu, chỉ tiêu và điểm nghẽn qua toàn bộ 11 trang tài liệu gốc.</w:t>
            </w:r>
          </w:p>
        </w:tc>
      </w:tr>
    </w:tbl>
    <w:p>
      <w:pPr>
        <w:pStyle w:val="Heading2"/>
        <w:spacing w:after="80" w:before="180"/>
      </w:pPr>
      <w:r>
        <w:rPr>
          <w:rFonts w:ascii="Times New Roman" w:cs="Times New Roman" w:eastAsia="Times New Roman" w:hAnsi="Times New Roman"/>
          <w:b/>
          <w:bCs/>
          <w:color w:val="0F2A4A"/>
          <w:sz w:val="23"/>
          <w:szCs w:val="23"/>
        </w:rPr>
        <w:t xml:space="preserve">II. ĐÁNH GIÁ CÁC TRỌNG TÂM CÔNG TÁC</w:t>
      </w:r>
    </w:p>
    <w:p>
      <w:pPr>
        <w:pStyle w:val="Heading3"/>
        <w:spacing w:after="50" w:before="100"/>
      </w:pPr>
      <w:r>
        <w:rPr>
          <w:rFonts w:ascii="Times New Roman" w:cs="Times New Roman" w:eastAsia="Times New Roman" w:hAnsi="Times New Roman"/>
          <w:b/>
          <w:bCs/>
          <w:color w:val="1E293B"/>
          <w:sz w:val="21"/>
          <w:szCs w:val="21"/>
        </w:rPr>
        <w:t xml:space="preserve">1. Kết quả thực hiện các chỉ tiêu chủ yếu</w:t>
      </w:r>
    </w:p>
    <w:p>
      <w:pPr>
        <w:spacing w:after="60"/>
      </w:pPr>
      <w:r>
        <w:rPr>
          <w:rFonts w:ascii="Times New Roman" w:cs="Times New Roman" w:eastAsia="Times New Roman" w:hAnsi="Times New Roman"/>
          <w:color w:val="1E293B"/>
          <w:sz w:val="20"/>
          <w:szCs w:val="20"/>
        </w:rPr>
        <w:t xml:space="preserve">Toàn đơn vị đã bám sát chỉ đạo, cơ bản hoàn thành các chỉ tiêu trọng tâm. Ghi nhận Kinh phí đề xuất tổ chức sự kiện chào mừng ngày lễ lớn cấp tỉnh tại Măng Đen: 3 tỷ đồng, Kinh phí sự nghiệp văn hóa, du lịch đề xuất bổ sung hàng năm cho xã Măng Đen: 3 - 5 tỷ đồng/năm, Kinh phí đề nghị hỗ trợ tổ chức diễn tập phòng thủ khu vực xã Măng Đen: 4833400000 đồng, Số lượng công trình đề xuất bổ sung Kế hoạch ĐTC trung hạn 2026-2030 xã Măng Đen: 5 công trình. Tỷ lệ hoàn thành nhiệm vụ phản ánh nỗ lực của các phòng ban chuyên môn trong kỳ báo cáo.</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Tăng trưởng ấn tượng lượng khách du lịch tại Măng Đen</w:t>
      </w:r>
    </w:p>
    <w:p>
      <w:pPr>
        <w:pStyle w:val="ListParagraph"/>
        <w:numPr>
          <w:ilvl w:val="0"/>
          <w:numId w:val="1"/>
        </w:numPr>
        <w:spacing w:after="30"/>
      </w:pPr>
      <w:r>
        <w:rPr>
          <w:rFonts w:ascii="Times New Roman" w:cs="Times New Roman" w:eastAsia="Times New Roman" w:hAnsi="Times New Roman"/>
          <w:color w:val="334155"/>
          <w:sz w:val="20"/>
          <w:szCs w:val="20"/>
        </w:rPr>
        <w:t xml:space="preserve">Chủ động hoàn thành xóa nhà tạm, nhà dột nát cho 57 hộ dân tại Măng Bút</w:t>
      </w:r>
    </w:p>
    <w:p>
      <w:pPr>
        <w:pStyle w:val="ListParagraph"/>
        <w:numPr>
          <w:ilvl w:val="0"/>
          <w:numId w:val="1"/>
        </w:numPr>
        <w:spacing w:after="30"/>
      </w:pPr>
      <w:r>
        <w:rPr>
          <w:rFonts w:ascii="Times New Roman" w:cs="Times New Roman" w:eastAsia="Times New Roman" w:hAnsi="Times New Roman"/>
          <w:color w:val="334155"/>
          <w:sz w:val="20"/>
          <w:szCs w:val="20"/>
        </w:rPr>
        <w:t xml:space="preserve">Hoàn thành quy hoạch cụm công nghiệp 50 ha và hồ sơ điều chỉnh đất đai</w:t>
      </w:r>
    </w:p>
    <w:p>
      <w:pPr>
        <w:pStyle w:val="Heading3"/>
        <w:spacing w:after="50" w:before="100"/>
      </w:pPr>
      <w:r>
        <w:rPr>
          <w:rFonts w:ascii="Times New Roman" w:cs="Times New Roman" w:eastAsia="Times New Roman" w:hAnsi="Times New Roman"/>
          <w:b/>
          <w:bCs/>
          <w:color w:val="1E293B"/>
          <w:sz w:val="21"/>
          <w:szCs w:val="21"/>
        </w:rPr>
        <w:t xml:space="preserve">2. Các vấn đề cần tập trung chỉ đạo</w:t>
      </w:r>
    </w:p>
    <w:p>
      <w:pPr>
        <w:spacing w:after="60"/>
      </w:pPr>
      <w:r>
        <w:rPr>
          <w:rFonts w:ascii="Times New Roman" w:cs="Times New Roman" w:eastAsia="Times New Roman" w:hAnsi="Times New Roman"/>
          <w:color w:val="1E293B"/>
          <w:sz w:val="20"/>
          <w:szCs w:val="20"/>
        </w:rPr>
        <w:t xml:space="preserve">Hệ thống ghi nhận một số vướng mắc then chốt cần chỉ đạo giải quyết dứt điểm. Cụ thể: 15 dự án đầu tư nông nghiệp kết hợp du lịch sinh thái bị đình trệ do vướng kết luận thanh tra (Cấp thiết); Dự án khai thác quỹ đất khu biệt thự phía Bắc Kon Plông cũ chưa thể triển khai tiếp (Cấp thiết); Công ty Cổ phần Thủy điện Đakđrinh nợ đền bù 27,8 tỷ đồng kéo dài (Đặc biệt cấp bách); 50 hộ dân tại Tu Ngủ, Tu Thôn (Măng Bút) sinh sống trong vùng có nguy cơ sạt lở nguy hiểm (Đặc biệt cấp bách); Xã Măng Bút thiếu hụt 17 biên chế công chức so với chỉ tiêu giao năm 2026 (55/72) (Cấp thiết); 240 hộ dân cụm 3A, 3B thôn Tu Thôn thiếu điện sinh hoạt, đường giao thông và nước sạch (Cấp thiết); Dự án đường từ QL24 đi Vi Pờ Ê, Vi K Oa, Vi Ô Lắk chưa thể hoàn tất hồ sơ chủ trương đầu tư (Cần lưu ý).</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15 dự án đầu tư nông nghiệp kết hợp du lịch sinh thái bị đình trệ do vướng kết luận thanh tra - Sở Nông nghiệp và Môi trường, Sở Văn hóa Thể thao và Du lịch</w:t>
      </w:r>
    </w:p>
    <w:p>
      <w:pPr>
        <w:pStyle w:val="ListParagraph"/>
        <w:numPr>
          <w:ilvl w:val="0"/>
          <w:numId w:val="1"/>
        </w:numPr>
        <w:spacing w:after="30"/>
      </w:pPr>
      <w:r>
        <w:rPr>
          <w:rFonts w:ascii="Times New Roman" w:cs="Times New Roman" w:eastAsia="Times New Roman" w:hAnsi="Times New Roman"/>
          <w:color w:val="334155"/>
          <w:sz w:val="20"/>
          <w:szCs w:val="20"/>
        </w:rPr>
        <w:t xml:space="preserve">Dự án khai thác quỹ đất khu biệt thự phía Bắc Kon Plông cũ chưa thể triển khai tiếp - Công an tỉnh, Sở Xây dựng, Sở Nông nghiệp và Môi trường</w:t>
      </w:r>
    </w:p>
    <w:p>
      <w:pPr>
        <w:pStyle w:val="ListParagraph"/>
        <w:numPr>
          <w:ilvl w:val="0"/>
          <w:numId w:val="1"/>
        </w:numPr>
        <w:spacing w:after="30"/>
      </w:pPr>
      <w:r>
        <w:rPr>
          <w:rFonts w:ascii="Times New Roman" w:cs="Times New Roman" w:eastAsia="Times New Roman" w:hAnsi="Times New Roman"/>
          <w:color w:val="334155"/>
          <w:sz w:val="20"/>
          <w:szCs w:val="20"/>
        </w:rPr>
        <w:t xml:space="preserve">Công ty Cổ phần Thủy điện Đakđrinh nợ đền bù 27,8 tỷ đồng kéo dài - Sở Công Thương, Công ty Cổ phần Thủy điện Đakđrinh</w:t>
      </w:r>
    </w:p>
    <w:p>
      <w:pPr>
        <w:pStyle w:val="ListParagraph"/>
        <w:numPr>
          <w:ilvl w:val="0"/>
          <w:numId w:val="1"/>
        </w:numPr>
        <w:spacing w:after="30"/>
      </w:pPr>
      <w:r>
        <w:rPr>
          <w:rFonts w:ascii="Times New Roman" w:cs="Times New Roman" w:eastAsia="Times New Roman" w:hAnsi="Times New Roman"/>
          <w:color w:val="334155"/>
          <w:sz w:val="20"/>
          <w:szCs w:val="20"/>
        </w:rPr>
        <w:t xml:space="preserve">50 hộ dân tại Tu Ngủ, Tu Thôn (Măng Bút) sinh sống trong vùng có nguy cơ sạt lở nguy hiểm - Sở Nông nghiệp và Môi trường, Sở Tài chính</w:t>
      </w:r>
    </w:p>
    <w:p>
      <w:pPr>
        <w:pStyle w:val="Heading2"/>
        <w:spacing w:after="80" w:before="180"/>
      </w:pPr>
      <w:r>
        <w:rPr>
          <w:rFonts w:ascii="Times New Roman" w:cs="Times New Roman" w:eastAsia="Times New Roman" w:hAnsi="Times New Roman"/>
          <w:b/>
          <w:bCs/>
          <w:color w:val="0F2A4A"/>
          <w:sz w:val="23"/>
          <w:szCs w:val="23"/>
        </w:rPr>
        <w:t xml:space="preserve">III. BẢNG TỔNG HỢP &amp; ĐỐI CHIẾU CHỈ TIÊU KẾ HOẠCH - THỰC TẾ</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1300"/>
        <w:gridCol w:w="1300"/>
        <w:gridCol w:w="1400"/>
        <w:gridCol w:w="1400"/>
        <w:gridCol w:w="1238"/>
      </w:tblGrid>
      <w:tr>
        <w:trPr>
          <w:tblHeader/>
        </w:trPr>
        <w:tc>
          <w:tcPr>
            <w:tcW w:type="dxa" w:w="30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Chỉ Tiêu Đánh Giá</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Kế Hoạch</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Thực Tế</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Chênh Lệch</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Đánh Giá</w:t>
            </w:r>
          </w:p>
        </w:tc>
        <w:tc>
          <w:tcPr>
            <w:tcW w:type="dxa" w:w="1238"/>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Nguồn</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Số lượng công trình đề xuất bổ sung Kế hoạch ĐTC trung hạn 2026-2030 xã Măng Đen</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5</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5</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Đạt chỉ tiêu</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Tổng mức đầu tư 05 công trình đề xuất ĐTC trung hạn xã Măng Đen từ ngân sách tỉnh</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58</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58</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Đạt chỉ tiêu</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Số dự án trồng rau, hoa xứ lạnh kết hợp du lịch sinh thái vướng mắc tại Măng Đen</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14</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DC2626"/>
                <w:sz w:val="17"/>
                <w:szCs w:val="17"/>
              </w:rPr>
              <w:t xml:space="preserve">Đạt 93.33</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DC2626"/>
                <w:sz w:val="16"/>
                <w:szCs w:val="16"/>
              </w:rPr>
              <w:t xml:space="preserve">CHƯA ĐẠT</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Số dự án nuôi cá nước lạnh, trồng dược liệu kết hợp du lịch sinh thái vướng mắc tại Măng Đen</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1</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DC2626"/>
                <w:sz w:val="17"/>
                <w:szCs w:val="17"/>
              </w:rPr>
              <w:t xml:space="preserve">Đạt 6.67</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DC2626"/>
                <w:sz w:val="16"/>
                <w:szCs w:val="16"/>
              </w:rPr>
              <w:t xml:space="preserve">CHƯA ĐẠT</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10</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Tỷ trọng lượt khách du lịch đến Măng Đen so với toàn tỉnh</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30</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Duy trì tỷ trọng ổn định ở mức khoảng 30%</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3</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Nhu cầu kinh phí đầu tư xây dựng trung tâm nghỉ dưỡng thiên nhiên Măng Đen hằng năm</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30 - 40</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30 - 40</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Đạt chỉ tiêu</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3</w:t>
            </w:r>
          </w:p>
        </w:tc>
      </w:tr>
    </w:tbl>
    <w:p>
      <w:pPr>
        <w:pStyle w:val="Heading2"/>
        <w:spacing w:after="80" w:before="180"/>
      </w:pPr>
      <w:r>
        <w:rPr>
          <w:rFonts w:ascii="Times New Roman" w:cs="Times New Roman" w:eastAsia="Times New Roman" w:hAnsi="Times New Roman"/>
          <w:b/>
          <w:bCs/>
          <w:color w:val="0F2A4A"/>
          <w:sz w:val="23"/>
          <w:szCs w:val="23"/>
        </w:rPr>
        <w:t xml:space="preserve">IV. CÁC VẤN ĐỀ, ĐIỂM NGHẼN CẦN THÁO GỠ</w:t>
      </w:r>
    </w:p>
    <w:p>
      <w:pPr>
        <w:pStyle w:val="Heading3"/>
        <w:spacing w:after="40" w:before="100"/>
      </w:pPr>
      <w:r>
        <w:rPr>
          <w:rFonts w:ascii="Times New Roman" w:cs="Times New Roman" w:eastAsia="Times New Roman" w:hAnsi="Times New Roman"/>
          <w:b/>
          <w:bCs/>
          <w:color w:val="1E293B"/>
          <w:sz w:val="21"/>
          <w:szCs w:val="21"/>
        </w:rPr>
        <w:t xml:space="preserve">1. 15 dự án đầu tư nông nghiệp kết hợp du lịch sinh thái bị đình trệ do vướng kết luận thanh tra </w:t>
      </w:r>
      <w:r>
        <w:rPr>
          <w:rFonts w:ascii="Times New Roman" w:cs="Times New Roman" w:eastAsia="Times New Roman" w:hAnsi="Times New Roman"/>
          <w:b/>
          <w:bCs/>
          <w:color w:val="B45309"/>
          <w:sz w:val="19"/>
          <w:szCs w:val="19"/>
        </w:rPr>
        <w:t xml:space="preserve">[Mức độ: Cấp thiết]</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Tồn tại các vướng mắc pháp lý và thủ tục đất đai, đầu tư theo kết luận thanh tra trước đây</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Nhà đầu tư không thể tiếp tục giải ngân, hoàn thiện công trình, lãng phí nguồn lực đất đai</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Sở NN&amp;MT, Sở VHTTDL sớm ban hành văn bản hướng dẫn xử lý, tháo gỡ khó khăn cho từng dự án</w:t>
      </w:r>
    </w:p>
    <w:p>
      <w:pPr>
        <w:pStyle w:val="Heading3"/>
        <w:spacing w:after="40" w:before="100"/>
      </w:pPr>
      <w:r>
        <w:rPr>
          <w:rFonts w:ascii="Times New Roman" w:cs="Times New Roman" w:eastAsia="Times New Roman" w:hAnsi="Times New Roman"/>
          <w:b/>
          <w:bCs/>
          <w:color w:val="1E293B"/>
          <w:sz w:val="21"/>
          <w:szCs w:val="21"/>
        </w:rPr>
        <w:t xml:space="preserve">2. Dự án khai thác quỹ đất khu biệt thự phía Bắc Kon Plông cũ chưa thể triển khai tiếp </w:t>
      </w:r>
      <w:r>
        <w:rPr>
          <w:rFonts w:ascii="Times New Roman" w:cs="Times New Roman" w:eastAsia="Times New Roman" w:hAnsi="Times New Roman"/>
          <w:b/>
          <w:bCs/>
          <w:color w:val="B45309"/>
          <w:sz w:val="19"/>
          <w:szCs w:val="19"/>
        </w:rPr>
        <w:t xml:space="preserve">[Mức độ: Cấp thiết]</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Hồ sơ thủ tục chưa đảm bảo quy định và đang thuộc diện Cơ quan CSĐT Công an tỉnh Kon Tum (cũ) thụ lý điều tra chưa có kết luận</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Các hạng mục đã thi công bị dở dang, nguy cơ xuống cấp, không thể khai thác quỹ đất</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Đề nghị Công an tỉnh sớm ban hành kết luận điều tra; Sở Xây dựng hướng dẫn phương án xử lý hạng mục đã thi công</w:t>
      </w:r>
    </w:p>
    <w:p>
      <w:pPr>
        <w:pStyle w:val="Heading3"/>
        <w:spacing w:after="40" w:before="100"/>
      </w:pPr>
      <w:r>
        <w:rPr>
          <w:rFonts w:ascii="Times New Roman" w:cs="Times New Roman" w:eastAsia="Times New Roman" w:hAnsi="Times New Roman"/>
          <w:b/>
          <w:bCs/>
          <w:color w:val="1E293B"/>
          <w:sz w:val="21"/>
          <w:szCs w:val="21"/>
        </w:rPr>
        <w:t xml:space="preserve">3. Công ty Cổ phần Thủy điện Đakđrinh nợ đền bù 27,8 tỷ đồng kéo dài </w:t>
      </w:r>
      <w:r>
        <w:rPr>
          <w:rFonts w:ascii="Times New Roman" w:cs="Times New Roman" w:eastAsia="Times New Roman" w:hAnsi="Times New Roman"/>
          <w:b/>
          <w:bCs/>
          <w:color w:val="BE123C"/>
          <w:sz w:val="19"/>
          <w:szCs w:val="19"/>
        </w:rPr>
        <w:t xml:space="preserve">[Mức độ: Đặc biệt cấp bách]</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Chủ đầu tư thủy điện chậm trễ thực hiện nghĩa vụ tài chính đền bù giải phóng mặt bằng</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Gây bức xúc, khiếu kiện kéo dài trong nhân dân xã Măng Bút, ảnh hưởng an ninh trật tự</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UBND tỉnh có văn bản chỉ đạo quyết liệt buộc Thủy điện Đakđrinh chi trả dứt điểm 27,8 tỷ đồng</w:t>
      </w:r>
    </w:p>
    <w:p>
      <w:pPr>
        <w:pStyle w:val="Heading3"/>
        <w:spacing w:after="40" w:before="100"/>
      </w:pPr>
      <w:r>
        <w:rPr>
          <w:rFonts w:ascii="Times New Roman" w:cs="Times New Roman" w:eastAsia="Times New Roman" w:hAnsi="Times New Roman"/>
          <w:b/>
          <w:bCs/>
          <w:color w:val="1E293B"/>
          <w:sz w:val="21"/>
          <w:szCs w:val="21"/>
        </w:rPr>
        <w:t xml:space="preserve">4. 50 hộ dân tại Tu Ngủ, Tu Thôn (Măng Bút) sinh sống trong vùng có nguy cơ sạt lở nguy hiểm </w:t>
      </w:r>
      <w:r>
        <w:rPr>
          <w:rFonts w:ascii="Times New Roman" w:cs="Times New Roman" w:eastAsia="Times New Roman" w:hAnsi="Times New Roman"/>
          <w:b/>
          <w:bCs/>
          <w:color w:val="BE123C"/>
          <w:sz w:val="19"/>
          <w:szCs w:val="19"/>
        </w:rPr>
        <w:t xml:space="preserve">[Mức độ: Đặc biệt cấp bách]</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Địa hình chia cắt phức tạp, mưa lũ gây sạt lở đất đe dọa tính mạng người dân</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Nguy cơ mất an toàn tính mạng và tài sản của người dân trong mùa mưa bão</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UBND tỉnh thống nhất chủ trương và cấp 40 tỷ đồng xây dựng Khu TĐC Tu Rét để di dời khẩn cấp</w:t>
      </w:r>
    </w:p>
    <w:p>
      <w:pPr>
        <w:pStyle w:val="Heading2"/>
        <w:spacing w:after="80" w:before="180"/>
      </w:pPr>
      <w:r>
        <w:rPr>
          <w:rFonts w:ascii="Times New Roman" w:cs="Times New Roman" w:eastAsia="Times New Roman" w:hAnsi="Times New Roman"/>
          <w:b/>
          <w:bCs/>
          <w:color w:val="0F2A4A"/>
          <w:sz w:val="23"/>
          <w:szCs w:val="23"/>
        </w:rPr>
        <w:t xml:space="preserve">V. KẾ HOẠCH &amp; LỘ TRÌNH THỰC HIỆN TRỌNG TÂM</w:t>
      </w:r>
    </w:p>
    <w:p>
      <w:pPr>
        <w:pStyle w:val="Heading3"/>
        <w:spacing w:after="30" w:before="100"/>
      </w:pPr>
      <w:r>
        <w:rPr>
          <w:rFonts w:ascii="Times New Roman" w:cs="Times New Roman" w:eastAsia="Times New Roman" w:hAnsi="Times New Roman"/>
          <w:b/>
          <w:bCs/>
          <w:color w:val="0F2A4A"/>
          <w:sz w:val="21"/>
          <w:szCs w:val="21"/>
        </w:rPr>
        <w:t xml:space="preserve">Giai đoạn 1: Tháo gỡ nút thắt nóng &amp; Nhiệm vụ cấp bách (0 - 30 Ngày)</w:t>
      </w:r>
    </w:p>
    <w:p>
      <w:pPr>
        <w:spacing w:after="40"/>
      </w:pPr>
      <w:r>
        <w:rPr>
          <w:rFonts w:ascii="Times New Roman" w:cs="Times New Roman" w:eastAsia="Times New Roman" w:hAnsi="Times New Roman"/>
          <w:i/>
          <w:iCs/>
          <w:color w:val="475569"/>
          <w:sz w:val="19"/>
          <w:szCs w:val="19"/>
        </w:rPr>
        <w:t xml:space="preserve">Trọng tâm: Tập trung xử lý các điểm nghẽn và kiến nghị ưu tiên hàng đầu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Tham mưu xử lý 15 dự án vướng mắc sau thanh tra và tháo gỡ dự án Khu biệt thự phía Bắc: </w:t>
      </w:r>
      <w:r>
        <w:rPr>
          <w:rFonts w:ascii="Times New Roman" w:cs="Times New Roman" w:eastAsia="Times New Roman" w:hAnsi="Times New Roman"/>
          <w:color w:val="1E293B"/>
          <w:sz w:val="20"/>
          <w:szCs w:val="20"/>
        </w:rPr>
        <w:t xml:space="preserve">Văn bản hướng dẫn cụ thể cho các nhà đầu tư tháo gỡ vướng mắc; Kết luận điều tra của Công an tỉnh (Chủ trì: Sở Nông nghiệp và Môi trường,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Đôn đốc giải quyết dứt điểm nợ đền bù 27,8 tỷ đồng Thủy điện Đakđrinh: </w:t>
      </w:r>
      <w:r>
        <w:rPr>
          <w:rFonts w:ascii="Times New Roman" w:cs="Times New Roman" w:eastAsia="Times New Roman" w:hAnsi="Times New Roman"/>
          <w:color w:val="1E293B"/>
          <w:sz w:val="20"/>
          <w:szCs w:val="20"/>
        </w:rPr>
        <w:t xml:space="preserve">Chi trả dứt điểm 27,8 tỷ đồng cho các hộ dân bị ảnh hưởng (Chủ trì: Sở Công Thương,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Thẩm định nguồn vốn và chủ trương đầu tư Khu TĐC Tu Rét (40 tỷ) và Hạ tầng cụm 3A, 3B Tu Thôn (37,31 tỷ): </w:t>
      </w:r>
      <w:r>
        <w:rPr>
          <w:rFonts w:ascii="Times New Roman" w:cs="Times New Roman" w:eastAsia="Times New Roman" w:hAnsi="Times New Roman"/>
          <w:color w:val="1E293B"/>
          <w:sz w:val="20"/>
          <w:szCs w:val="20"/>
        </w:rPr>
        <w:t xml:space="preserve">Báo cáo đề xuất chủ trương đầu tư trình UBND tỉnh phê duyệt (Chủ trì: Sở Nông nghiệp và Môi trường, Mục tiêu: Hoàn thành 100% nhiệm vụ nóng)</w:t>
      </w:r>
    </w:p>
    <w:p>
      <w:pPr>
        <w:pStyle w:val="Heading3"/>
        <w:spacing w:after="30" w:before="100"/>
      </w:pPr>
      <w:r>
        <w:rPr>
          <w:rFonts w:ascii="Times New Roman" w:cs="Times New Roman" w:eastAsia="Times New Roman" w:hAnsi="Times New Roman"/>
          <w:b/>
          <w:bCs/>
          <w:color w:val="0F2A4A"/>
          <w:sz w:val="21"/>
          <w:szCs w:val="21"/>
        </w:rPr>
        <w:t xml:space="preserve">Giai đoạn 2: Tăng tốc &amp; Đôn đốc tiến độ định lượng (30 - 90 Ngày)</w:t>
      </w:r>
    </w:p>
    <w:p>
      <w:pPr>
        <w:spacing w:after="40"/>
      </w:pPr>
      <w:r>
        <w:rPr>
          <w:rFonts w:ascii="Times New Roman" w:cs="Times New Roman" w:eastAsia="Times New Roman" w:hAnsi="Times New Roman"/>
          <w:i/>
          <w:iCs/>
          <w:color w:val="475569"/>
          <w:sz w:val="19"/>
          <w:szCs w:val="19"/>
        </w:rPr>
        <w:t xml:space="preserve">Trọng tâm: Đẩy mạnh thực hiện các mục tiêu định lượng và chỉ tiêu KPI trọng yếu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hiện trường và giao ban định kỳ: </w:t>
      </w:r>
      <w:r>
        <w:rPr>
          <w:rFonts w:ascii="Times New Roman" w:cs="Times New Roman" w:eastAsia="Times New Roman" w:hAnsi="Times New Roman"/>
          <w:color w:val="1E293B"/>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30" w:before="100"/>
      </w:pPr>
      <w:r>
        <w:rPr>
          <w:rFonts w:ascii="Times New Roman" w:cs="Times New Roman" w:eastAsia="Times New Roman" w:hAnsi="Times New Roman"/>
          <w:b/>
          <w:bCs/>
          <w:color w:val="0F2A4A"/>
          <w:sz w:val="21"/>
          <w:szCs w:val="21"/>
        </w:rPr>
        <w:t xml:space="preserve">Giai đoạn 3: Nghiệm thu, thẩm định &amp; Tổng kết (90 - 180 Ngày)</w:t>
      </w:r>
    </w:p>
    <w:p>
      <w:pPr>
        <w:spacing w:after="40"/>
      </w:pPr>
      <w:r>
        <w:rPr>
          <w:rFonts w:ascii="Times New Roman" w:cs="Times New Roman" w:eastAsia="Times New Roman" w:hAnsi="Times New Roman"/>
          <w:i/>
          <w:iCs/>
          <w:color w:val="475569"/>
          <w:sz w:val="19"/>
          <w:szCs w:val="19"/>
        </w:rPr>
        <w:t xml:space="preserve">Trọng tâm: Hoàn tất các chỉ tiêu và thẩm định kết quả toàn diện</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Họp tổng kết và đánh giá mức độ hoàn thành: </w:t>
      </w:r>
      <w:r>
        <w:rPr>
          <w:rFonts w:ascii="Times New Roman" w:cs="Times New Roman" w:eastAsia="Times New Roman" w:hAnsi="Times New Roman"/>
          <w:color w:val="1E293B"/>
          <w:sz w:val="20"/>
          <w:szCs w:val="20"/>
        </w:rPr>
        <w:t xml:space="preserve">Lập báo cáo tổng kết gửi cấp thẩm quyền phê duyệt (Chủ trì: Lãnh đạo cơ quan, Mục tiêu: 100% nhiệm vụ được nghiệm thu đạt yêu cầu)</w:t>
      </w:r>
    </w:p>
    <w:p>
      <w:pPr>
        <w:pStyle w:val="Heading2"/>
        <w:spacing w:after="80" w:before="180"/>
      </w:pPr>
      <w:r>
        <w:rPr>
          <w:rFonts w:ascii="Times New Roman" w:cs="Times New Roman" w:eastAsia="Times New Roman" w:hAnsi="Times New Roman"/>
          <w:b/>
          <w:bCs/>
          <w:color w:val="0F2A4A"/>
          <w:sz w:val="23"/>
          <w:szCs w:val="23"/>
        </w:rPr>
        <w:t xml:space="preserve">VI. CÁC NỘI DUNG GIẢI TRÌNH &amp; ĐỀ XUẤT</w:t>
      </w:r>
    </w:p>
    <w:p>
      <w:pPr>
        <w:spacing w:after="30" w:before="100"/>
      </w:pPr>
      <w:r>
        <w:rPr>
          <w:rFonts w:ascii="Times New Roman" w:cs="Times New Roman" w:eastAsia="Times New Roman" w:hAnsi="Times New Roman"/>
          <w:b/>
          <w:bCs/>
          <w:color w:val="0F2A4A"/>
          <w:sz w:val="21"/>
          <w:szCs w:val="21"/>
        </w:rPr>
        <w:t xml:space="preserve">Vấn đề 1: Căn cứ pháp lý và tính cấp thiết đối với kiến nghị gửi UBND tỉnh / Sở Văn hóa, Thể thao và Du lịch / Sở Tài chính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"Cho chủ trương tổ chức các sự kiện cấp tỉnh (kinh phí 3 tỷ đồng) và bổ sung dự toán hằng năm 3-5 tỷ đồng cho hoạt động văn hóa, du lịch".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2: Căn cứ pháp lý và tính cấp thiết đối với kiến nghị gửi UBND tỉnh / Bộ Chỉ huy Quân sự tỉnh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"Hỗ trợ hoặc tạm cấp kinh phí 4.833.400.000 đồng để tổ chức diễn tập khu vực phòng thủ".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3: Căn cứ pháp lý và tính cấp thiết đối với kiến nghị gửi UBND tỉnh / Sở Tài chính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"Bổ sung danh mục Kế hoạch đầu tư công trung hạn 2026-2030 đối với 05 công trình".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4: Quyết định cấp bách nào cần lãnh đạo ban hành ngay trong kỳ?</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chỉ đạo: "Chỉ đạo các Sở, ban, ngành giải quyết dứt điểm các điểm nghẽn: Hướng dẫn xử lý 15 dự án vướng kết luận thanh tra tại Măng Đen; Đôn đốc CTCP Thủy điện Đakđrinh trả 27,8 tỷ đồng nợ dân; Phê duyệt chủ trương bố trí 40 tỷ đồng tái định cư khẩn cấp 50 hộ sạt lở tại Măng Bút; Bổ sung biên chế và phân bổ vốn đầu tư công, ngân sách sự nghiệp du lịch." (Hạn xử lý: Trong tuần).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2026-08-22T13:42:08.861Z</dcterms:created>
  <dcterms:modified xsi:type="dcterms:W3CDTF">2026-08-22T13:42:08.861Z</dcterms:modified>
</cp:coreProperties>
</file>

<file path=docProps/custom.xml><?xml version="1.0" encoding="utf-8"?>
<Properties xmlns="http://schemas.openxmlformats.org/officeDocument/2006/custom-properties" xmlns:vt="http://schemas.openxmlformats.org/officeDocument/2006/docPropsVTypes"/>
</file>