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CÔNG KHAI TÌNH HÌNH GIẢI NGÂN KẾ HOẠCH VỐN ĐẦU TƯ CÔNG NĂM 2025 (TUẦN 52)</w:t>
      </w:r>
    </w:p>
    <w:p>
      <w:pPr>
        <w:spacing w:after="160"/>
        <w:jc w:val="center"/>
      </w:pPr>
      <w:r>
        <w:rPr>
          <w:rFonts w:ascii="Times New Roman" w:cs="Times New Roman" w:eastAsia="Times New Roman" w:hAnsi="Times New Roman"/>
          <w:i/>
          <w:iCs/>
          <w:color w:val="64748B"/>
          <w:sz w:val="18"/>
          <w:szCs w:val="18"/>
        </w:rPr>
        <w:t xml:space="preserve">Tài liệu gốc: Báo cáo Công khai tình hình giải ngân kế hoạch vốn đầu tư công năm 2025 (Tuần 52).pdf | Quy mô: 9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Tuần 52 giải ngân đạt 60,06% kế hoạch HĐND tỉnh giao (14.263,1 tỷ đồng); áp lực thời gian dưới 40 ngày cần giải ngân gấp hơn 7.415 tỷ đồng (bình quân &gt;200 tỷ/ngày) để hoàn thành kế hoạch Thủ tướng giao.</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Sở Tài chính tỉnh An Giang. Bối cảnh điều hành tập trung vào tháo gỡ điểm nghẽn và tăng tốc hoàn thành chỉ tiêu kỳ Tuần 52 năm 2025 (đến ngày 24/12/2025).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9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kế hoạch vốn đầu tư công năm 2025 được giao chi tiết: 23749993 triệu đồng, Kế hoạch vốn ngân sách trung ương: 11245890 triệu đồng, Kế hoạch vốn ngân sách địa phương: 12504103 triệu đồng, Lũy kế giải ngân vốn đầu tư công năm 2025 đến ngày 24/12/2025 (Tuần 52): 14263139 triệu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Tăng tốc giải ngân trong tuần 52 đạt trên 621 tỷ đồng</w:t>
      </w:r>
    </w:p>
    <w:p>
      <w:pPr>
        <w:pStyle w:val="ListParagraph"/>
        <w:numPr>
          <w:ilvl w:val="0"/>
          <w:numId w:val="1"/>
        </w:numPr>
        <w:spacing w:after="30"/>
      </w:pPr>
      <w:r>
        <w:rPr>
          <w:rFonts w:ascii="Times New Roman" w:cs="Times New Roman" w:eastAsia="Times New Roman" w:hAnsi="Times New Roman"/>
          <w:color w:val="334155"/>
          <w:sz w:val="20"/>
          <w:szCs w:val="20"/>
        </w:rPr>
        <w:t xml:space="preserve">Nhiều chủ đầu tư đạt tỷ lệ giải ngân xuất sắc trên 90%</w:t>
      </w:r>
    </w:p>
    <w:p>
      <w:pPr>
        <w:pStyle w:val="ListParagraph"/>
        <w:numPr>
          <w:ilvl w:val="0"/>
          <w:numId w:val="1"/>
        </w:numPr>
        <w:spacing w:after="30"/>
      </w:pPr>
      <w:r>
        <w:rPr>
          <w:rFonts w:ascii="Times New Roman" w:cs="Times New Roman" w:eastAsia="Times New Roman" w:hAnsi="Times New Roman"/>
          <w:color w:val="334155"/>
          <w:sz w:val="20"/>
          <w:szCs w:val="20"/>
        </w:rPr>
        <w:t xml:space="preserve">Đoàn số 05 và Đoàn số 06 duy trì tỷ lệ giải ngân cao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31 dự án vướng mắc bồi thường, giải phóng mặt bằng chưa xử lý dứt điểm (vốn 2.185,94 tỷ đồng) (Đặc biệt cấp bách); 07 dự án vướng mắc về quy hoạch xây dựng, hết hạn hợp đồng và chưa xác định chủ đầu tư sau 01/7 (Cấp thiết); Tỷ lệ giải ngân nhóm dự án phục vụ Hội nghị APEC đạt thấp (48,93%) (Cấp thiết); 12 chủ đầu tư chưa thực hiện chế độ báo cáo tuần theo hướng dẫn của Sở Tài chính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31 dự án vướng mắc bồi thường, giải phóng mặt bằng chưa xử lý dứt điểm (vốn 2.185,94 tỷ đồng) - Chủ đầu tư (Ban QLDA tỉnh, Ban QLDA ĐTXD-Giao thông, UBND Phường Vĩnh Thông) và UBND các xã, phường, đặc khu liên quan (Tân Hội, Vĩnh Hòa Hưng, Tân Hiệp, An Biên, Tây Yên, Vĩnh Bình, Đông Hòa, Hòn Đất, Bình Sơn, Hội An, Núi Cấm, Thới Sơn.)</w:t>
      </w:r>
    </w:p>
    <w:p>
      <w:pPr>
        <w:pStyle w:val="ListParagraph"/>
        <w:numPr>
          <w:ilvl w:val="0"/>
          <w:numId w:val="1"/>
        </w:numPr>
        <w:spacing w:after="30"/>
      </w:pPr>
      <w:r>
        <w:rPr>
          <w:rFonts w:ascii="Times New Roman" w:cs="Times New Roman" w:eastAsia="Times New Roman" w:hAnsi="Times New Roman"/>
          <w:color w:val="334155"/>
          <w:sz w:val="20"/>
          <w:szCs w:val="20"/>
        </w:rPr>
        <w:t xml:space="preserve">07 dự án vướng mắc về quy hoạch xây dựng, hết hạn hợp đồng và chưa xác định chủ đầu tư sau 01/7 - Ban QLDA tỉnh (05 dự án trường học), Ban QLDA ĐTXD-Giao thông, Phường Rạch Giá, UBND các xã: Vĩnh Hanh, Nhơn Mỹ, Hội An, Châu Phú</w:t>
      </w:r>
    </w:p>
    <w:p>
      <w:pPr>
        <w:pStyle w:val="ListParagraph"/>
        <w:numPr>
          <w:ilvl w:val="0"/>
          <w:numId w:val="1"/>
        </w:numPr>
        <w:spacing w:after="30"/>
      </w:pPr>
      <w:r>
        <w:rPr>
          <w:rFonts w:ascii="Times New Roman" w:cs="Times New Roman" w:eastAsia="Times New Roman" w:hAnsi="Times New Roman"/>
          <w:color w:val="334155"/>
          <w:sz w:val="20"/>
          <w:szCs w:val="20"/>
        </w:rPr>
        <w:t xml:space="preserve">Tỷ lệ giải ngân nhóm dự án phục vụ Hội nghị APEC đạt thấp (48,93%) - Các chủ đầu tư dự án APEC</w:t>
      </w:r>
    </w:p>
    <w:p>
      <w:pPr>
        <w:pStyle w:val="ListParagraph"/>
        <w:numPr>
          <w:ilvl w:val="0"/>
          <w:numId w:val="1"/>
        </w:numPr>
        <w:spacing w:after="30"/>
      </w:pPr>
      <w:r>
        <w:rPr>
          <w:rFonts w:ascii="Times New Roman" w:cs="Times New Roman" w:eastAsia="Times New Roman" w:hAnsi="Times New Roman"/>
          <w:color w:val="334155"/>
          <w:sz w:val="20"/>
          <w:szCs w:val="20"/>
        </w:rPr>
        <w:t xml:space="preserve">12 chủ đầu tư chưa thực hiện chế độ báo cáo tuần theo hướng dẫn của Sở Tài chính - 12 chủ đầu tư vi phạm (Sở Xây dựng, Công an tỉnh, Sở KH&amp;CN, BVĐK Trung tâm An Giang, Ban QLDA di tích Óc Eo, Chi cục Kiểm lâm, Sở VHTT, Sở NN&amp;MT, Văn phòng Tỉnh ủy, Hội Nông dân, BCH BĐBP tỉnh,.)</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kế hoạch vốn đầu tư công năm 2025 được giao chi tiết</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23749993</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23749993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Kế hoạch vốn sau điều chỉnh giảm so với trước điều chỉnh (26.445.129 triệu đồng)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Kế hoạch vốn ngân sách trung ương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11245890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11245890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Bao gồm vốn Chương trình MTQG là 506.243 triệu đồng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Kế hoạch vốn ngân sách địa phương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12504103</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12504103</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Lũy kế giải ngân vốn đầu tư công năm 2025 đến ngày 24/12/2025 (Tuần 52)</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23749993</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14263139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Tăng 621.785 triệu đồng (+2,62%) so với tuần 51 (17/12/2025)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giải ngân so với Kế hoạch Thủ tướng Chính phủ giao đầu năm (18.521.413 triệu đồng)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77.01%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77.01%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giải ngân so với Kế hoạch Thủ tướng Chính phủ giao bổ sung (21.678.770 triệu đồng)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65.79%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65.79%</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31 dự án vướng mắc bồi thường, giải phóng mặt bằng chưa xử lý dứt điểm (vốn 2.185,94 tỷ đồng) </w:t>
      </w:r>
      <w:r>
        <w:rPr>
          <w:rFonts w:ascii="Times New Roman" w:cs="Times New Roman" w:eastAsia="Times New Roman" w:hAnsi="Times New Roman"/>
          <w:b/>
          <w:bCs/>
          <w:color w:val="BE123C"/>
          <w:sz w:val="19"/>
          <w:szCs w:val="19"/>
        </w:rPr>
        <w:t xml:space="preserve">[Mức độ: Đặc biệt cấp bách]</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Chưa phê duyệt phương án bồi thường bổ sung, chưa hoàn thành chi trả tiền bồi thường, sự phối hợp giữa chính quyền địa phương và chủ đầu tư chưa chặt chẽ.</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ảnh hưởng nghiêm trọng đến tỷ lệ giải ngân chung của các dự án trọng điểm quy mô vốn lớn, tiến độ hoàn thành năm 2025 bị chậm.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Bí thư, Chủ tịch UBND cấp xã/phường/đặc khu khẩn trương phối hợp chủ đầu tư rà soát, xử lý dứt điểm theo thẩm quyền theo đúng chỉ đạo tại Văn bản số 1826/UBND-KT và CV số 4383/STC-KHĐT; bàn giao ngay mặt bằng thi công.</w:t>
      </w:r>
    </w:p>
    <w:p>
      <w:pPr>
        <w:pStyle w:val="Heading3"/>
        <w:spacing w:after="40" w:before="100"/>
      </w:pPr>
      <w:r>
        <w:rPr>
          <w:rFonts w:ascii="Times New Roman" w:cs="Times New Roman" w:eastAsia="Times New Roman" w:hAnsi="Times New Roman"/>
          <w:b/>
          <w:bCs/>
          <w:color w:val="1E293B"/>
          <w:sz w:val="21"/>
          <w:szCs w:val="21"/>
        </w:rPr>
        <w:t xml:space="preserve">2. 07 dự án vướng mắc về quy hoạch xây dựng, hết hạn hợp đồng và chưa xác định chủ đầu tư sau 01/7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Phải điều chỉnh quy hoạch, xác định lại vị trí thực hiện; hợp đồng hết thời gian thực hiện trong giai đoạn chuyển tiếp tổ chức bộ máy.</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Tồn đọng 19,595 tỷ đồng vốn không thể giải ngân dứt điểm.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UBND tỉnh xem xét kết thúc dự án đối với DA Trường Trung cấp nghề vùng Tứ Giác Long Xuyên (CV 4435/STC-KHĐT) và hướng xử lý DA đường Trần Văn Giàu (CV 4735/STC-KHĐT); UBND các xã chủ trì phối hợp Sở chuyên ngành điều chỉnh quy hoạch 05 dự án trường học.</w:t>
      </w:r>
    </w:p>
    <w:p>
      <w:pPr>
        <w:pStyle w:val="Heading3"/>
        <w:spacing w:after="40" w:before="100"/>
      </w:pPr>
      <w:r>
        <w:rPr>
          <w:rFonts w:ascii="Times New Roman" w:cs="Times New Roman" w:eastAsia="Times New Roman" w:hAnsi="Times New Roman"/>
          <w:b/>
          <w:bCs/>
          <w:color w:val="1E293B"/>
          <w:sz w:val="21"/>
          <w:szCs w:val="21"/>
        </w:rPr>
        <w:t xml:space="preserve">3. Tỷ lệ giải ngân nhóm dự án phục vụ Hội nghị APEC đạt thấp (48,93%)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Khối lượng thi công và hoàn thiện thủ tục hồ sơ thanh toán chưa kịp thời.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Còn tồn đọng 2.162,08 tỷ đồng chưa giải ngân, tạo áp lực lớn lên mục tiêu giải ngân toàn tỉnh.</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Phân công cán bộ trực tiếp tại hiện trường hàng ngày, đôn đốc nhà thầu thi công 3 ca, hoàn thiện hồ sơ gửi KBNN thanh toán khối lượng hoàn thành.</w:t>
      </w:r>
    </w:p>
    <w:p>
      <w:pPr>
        <w:pStyle w:val="Heading3"/>
        <w:spacing w:after="40" w:before="100"/>
      </w:pPr>
      <w:r>
        <w:rPr>
          <w:rFonts w:ascii="Times New Roman" w:cs="Times New Roman" w:eastAsia="Times New Roman" w:hAnsi="Times New Roman"/>
          <w:b/>
          <w:bCs/>
          <w:color w:val="1E293B"/>
          <w:sz w:val="21"/>
          <w:szCs w:val="21"/>
        </w:rPr>
        <w:t xml:space="preserve">4. 12 chủ đầu tư chưa thực hiện chế độ báo cáo tuần theo hướng dẫn của Sở Tài chính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Người đứng đầu các đơn vị chưa quyết liệt đôn đốc bộ phận chuyên môn tổng hợp báo cáo.</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Thiếu dữ liệu chi tiết phục vụ công tác chỉ đạo, điều hành của UBND tỉnh và Tổ công tác kiểm tra.</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Nghiêm túc kiểm điểm, khẩn trương cập nhật gửi đầy đủ báo cáo theo đúng hướng dẫn tại CV 1430/STC-ĐTGS&amp;QTVĐT và CV 3248/STC-KHĐT kèm báo cáo tuần tiếp theo.</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Quán triệt nhiệm vụ chính trị trọng tâm hàng đầu về giải ngân vốn đầu tư công năm 2025: </w:t>
      </w:r>
      <w:r>
        <w:rPr>
          <w:rFonts w:ascii="Times New Roman" w:cs="Times New Roman" w:eastAsia="Times New Roman" w:hAnsi="Times New Roman"/>
          <w:color w:val="1E293B"/>
          <w:sz w:val="20"/>
          <w:szCs w:val="20"/>
        </w:rPr>
        <w:t xml:space="preserve">Tập trung lãnh đạo, chỉ đạo điều hành quyết liệt theo Thông báo số 354/TB-VP. (Chủ trì: Tất cả các Sở, ban, ngành, CĐT, UBND các xã/phường/đặc khu,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Rà soát, xử lý dứt điểm các khó khăn vướng mắc theo tinh thần '6 rõ': </w:t>
      </w:r>
      <w:r>
        <w:rPr>
          <w:rFonts w:ascii="Times New Roman" w:cs="Times New Roman" w:eastAsia="Times New Roman" w:hAnsi="Times New Roman"/>
          <w:color w:val="1E293B"/>
          <w:sz w:val="20"/>
          <w:szCs w:val="20"/>
        </w:rPr>
        <w:t xml:space="preserve">Báo cáo tình hình giải quyết khó khăn vướng mắc gửi Sở Tài chính tổng hợp trong báo cáo tuần tiếp theo. (Chủ trì: Các chủ đầu tư có dự án vướng mắc,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Tăng cường trách nhiệm người đứng đầu, bổ sung nhân lực, thiết bị thi công: </w:t>
      </w:r>
      <w:r>
        <w:rPr>
          <w:rFonts w:ascii="Times New Roman" w:cs="Times New Roman" w:eastAsia="Times New Roman" w:hAnsi="Times New Roman"/>
          <w:color w:val="1E293B"/>
          <w:sz w:val="20"/>
          <w:szCs w:val="20"/>
        </w:rPr>
        <w:t xml:space="preserve">Thi công đảm bảo tiến độ hợp đồng, hoàn thành khối lượng để nghiệm thu giải ngân 100% vốn giao. (Chủ trì: Người đứng đầu các Chủ đầu tư,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Ủy ban nhân dân tỉnh An Giang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UBND tỉnh xem xét, chỉ đạo UBND các xã, phường, đặc khu phối hợp xử lý dứt điểm vướng mắc GPMB và quy hoạch để hỗ trợ các chủ đầu tư đẩy nhanh tiến độ giải ngân.".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Ủy ban nhân dân tỉnh An Giang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"Trình UBND tỉnh xem xét kết thúc dự án Cải tạo, sửa chữa, xây mới và mua sắm thiết bị dạy nghề Trường trung cấp nghề vùng Tứ Giác Long Xuyên.".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Ủy ban nhân dân tỉnh An Giang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"Trình UBND tỉnh xem xét phương án xử lý đối với dự án Đường Trần Văn Giàu (KDC Nam An Hòa – đường Phan Thị Ràng).".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các Bí thư, Chủ tịch UBND cấp xã/phường/đặc khu phối hợp chủ đầu tư xử lý dứt điểm GPMB cho 31 dự án (vốn 2.185,9 tỷ đồng); tháo gỡ quy hoạch cho 07 dự án; phê duyệt kết thúc dự án Trường Trung cấp nghề Tứ Giác Long Xuyên và đôn đốc cán bộ bám sát hiện trường giải ngân tối thiểu 75% trước 31/12/2025." (Hạn xử lý: 2025-12-31).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2026-08-22T13:42:04.664Z</dcterms:created>
  <dcterms:modified xsi:type="dcterms:W3CDTF">2026-08-22T13:42:04.664Z</dcterms:modified>
</cp:coreProperties>
</file>

<file path=docProps/custom.xml><?xml version="1.0" encoding="utf-8"?>
<Properties xmlns="http://schemas.openxmlformats.org/officeDocument/2006/custom-properties" xmlns:vt="http://schemas.openxmlformats.org/officeDocument/2006/docPropsVTypes"/>
</file>