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KẾT QUẢ HOẠT ĐỘNG PHONG TRÀO “TOÀN DÂN ĐOÀN KẾT XÂY DỰNG ĐỜI SỐNG VĂN HÓA” NĂM 2025 VÀ PHƯƠNG HƯỚNG, NHIỆM VỤ NĂM 2026 TRÊN ĐỊA BÀN XÃ</w:t>
      </w:r>
    </w:p>
    <w:p>
      <w:pPr>
        <w:spacing w:after="160"/>
        <w:jc w:val="center"/>
      </w:pPr>
      <w:r>
        <w:rPr>
          <w:rFonts w:ascii="Times New Roman" w:cs="Times New Roman" w:eastAsia="Times New Roman" w:hAnsi="Times New Roman"/>
          <w:i/>
          <w:iCs/>
          <w:color w:val="64748B"/>
          <w:sz w:val="18"/>
          <w:szCs w:val="18"/>
        </w:rPr>
        <w:t xml:space="preserve">Tài liệu gốc: Báo cáo Kết quả hoạt động Phong trào “Toàn dân đoàn kết xây dựng đời sống văn hóa” năm 2025 và phương hướng, nhiệm vụ năm 2026 trên địa bàn xã.pdf | Quy mô: 6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Năm 2025, xã Minh Long đạt tỷ lệ 90,2% Gia đình văn hóa và 100% Thôn văn hóa; tuy nhiên cần tháo gỡ điểm nghẽn về cơ chế chính quyền 2 cấp và 5/19 tiêu chí NTM chưa đạt tại xã Long Môn cũ.</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Minh Long. Bối cảnh điều hành tập trung vào tháo gỡ điểm nghẽn và tăng tốc hoàn thành chỉ tiêu kỳ Năm 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6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Diện tích tự nhiên toàn xã: 124739 ha, Tổng số thôn: 16 thôn, Quy mô dân số: 9964 người, Tỷ lệ đồng bào dân tộc thiểu số: 70 %.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Kiện toàn Ban Chỉ đạo phong trào theo mô hình chính quyền 2 cấp</w:t>
      </w:r>
    </w:p>
    <w:p>
      <w:pPr>
        <w:pStyle w:val="ListParagraph"/>
        <w:numPr>
          <w:ilvl w:val="0"/>
          <w:numId w:val="1"/>
        </w:numPr>
        <w:spacing w:after="30"/>
      </w:pPr>
      <w:r>
        <w:rPr>
          <w:rFonts w:ascii="Times New Roman" w:cs="Times New Roman" w:eastAsia="Times New Roman" w:hAnsi="Times New Roman"/>
          <w:color w:val="334155"/>
          <w:sz w:val="20"/>
          <w:szCs w:val="20"/>
        </w:rPr>
        <w:t xml:space="preserve">Kết quả bình xét danh hiệu văn hóa năm 2025 đạt tỷ lệ cao</w:t>
      </w:r>
    </w:p>
    <w:p>
      <w:pPr>
        <w:pStyle w:val="ListParagraph"/>
        <w:numPr>
          <w:ilvl w:val="0"/>
          <w:numId w:val="1"/>
        </w:numPr>
        <w:spacing w:after="30"/>
      </w:pPr>
      <w:r>
        <w:rPr>
          <w:rFonts w:ascii="Times New Roman" w:cs="Times New Roman" w:eastAsia="Times New Roman" w:hAnsi="Times New Roman"/>
          <w:color w:val="334155"/>
          <w:sz w:val="20"/>
          <w:szCs w:val="20"/>
        </w:rPr>
        <w:t xml:space="preserve">Tổ chức sâu rộng Ngày hội Đại đoàn kết và đổi mới công tác tuyên truyền</w:t>
      </w:r>
    </w:p>
    <w:p>
      <w:pPr>
        <w:pStyle w:val="ListParagraph"/>
        <w:numPr>
          <w:ilvl w:val="0"/>
          <w:numId w:val="1"/>
        </w:numPr>
        <w:spacing w:after="30"/>
      </w:pPr>
      <w:r>
        <w:rPr>
          <w:rFonts w:ascii="Times New Roman" w:cs="Times New Roman" w:eastAsia="Times New Roman" w:hAnsi="Times New Roman"/>
          <w:color w:val="334155"/>
          <w:sz w:val="20"/>
          <w:szCs w:val="20"/>
        </w:rPr>
        <w:t xml:space="preserve">Quản lý và giải ngân ngân sách hoạt động đúng quy định</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Xã Long Môn (cũ) chưa đạt chuẩn NTM, hiện mới hoàn thành 14/19 tiêu chí sau sáp nhập (Cấp thiết); Hệ thống văn bản QPPL và hướng dẫn thực hiện phong trào không còn tương thích với mô hình chính quyền địa phương 2 cấp (Cấp thiết); Công tác bình xét danh hiệu văn hóa còn mang tính hình thức; sự phối hợp giữa các ban ngành chưa thực sự chặt chẽ (Cần lưu ý); Công tác xã hội hóa đầu tư thiết chế văn hóa, văn nghệ, thể dục thể thao còn hạn chế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Xã Long Môn (cũ) chưa đạt chuẩn NTM, hiện mới hoàn thành 14/19 tiêu chí sau sáp nhập - UBND xã Minh Long, Ban Chỉ đạo phong trào xã</w:t>
      </w:r>
    </w:p>
    <w:p>
      <w:pPr>
        <w:pStyle w:val="ListParagraph"/>
        <w:numPr>
          <w:ilvl w:val="0"/>
          <w:numId w:val="1"/>
        </w:numPr>
        <w:spacing w:after="30"/>
      </w:pPr>
      <w:r>
        <w:rPr>
          <w:rFonts w:ascii="Times New Roman" w:cs="Times New Roman" w:eastAsia="Times New Roman" w:hAnsi="Times New Roman"/>
          <w:color w:val="334155"/>
          <w:sz w:val="20"/>
          <w:szCs w:val="20"/>
        </w:rPr>
        <w:t xml:space="preserve">Hệ thống văn bản QPPL và hướng dẫn thực hiện phong trào không còn tương thích với mô hình chính quyền địa phương 2 cấp - BCĐ Phong trào tỉnh Quảng Ngãi, Sở VHTTDL tỉnh</w:t>
      </w:r>
    </w:p>
    <w:p>
      <w:pPr>
        <w:pStyle w:val="ListParagraph"/>
        <w:numPr>
          <w:ilvl w:val="0"/>
          <w:numId w:val="1"/>
        </w:numPr>
        <w:spacing w:after="30"/>
      </w:pPr>
      <w:r>
        <w:rPr>
          <w:rFonts w:ascii="Times New Roman" w:cs="Times New Roman" w:eastAsia="Times New Roman" w:hAnsi="Times New Roman"/>
          <w:color w:val="334155"/>
          <w:sz w:val="20"/>
          <w:szCs w:val="20"/>
        </w:rPr>
        <w:t xml:space="preserve">Công tác bình xét danh hiệu văn hóa còn mang tính hình thức; sự phối hợp giữa các ban ngành chưa thực sự chặt chẽ - Các thành viên BCĐ phong trào xã Minh Long</w:t>
      </w:r>
    </w:p>
    <w:p>
      <w:pPr>
        <w:pStyle w:val="ListParagraph"/>
        <w:numPr>
          <w:ilvl w:val="0"/>
          <w:numId w:val="1"/>
        </w:numPr>
        <w:spacing w:after="30"/>
      </w:pPr>
      <w:r>
        <w:rPr>
          <w:rFonts w:ascii="Times New Roman" w:cs="Times New Roman" w:eastAsia="Times New Roman" w:hAnsi="Times New Roman"/>
          <w:color w:val="334155"/>
          <w:sz w:val="20"/>
          <w:szCs w:val="20"/>
        </w:rPr>
        <w:t xml:space="preserve">Công tác xã hội hóa đầu tư thiết chế văn hóa, văn nghệ, thể dục thể thao còn hạn chế - Phòng Văn hóa - Xã hội xã, UBND xã Minh Long</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đồng bào dân tộc thiểu số</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70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70%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hộ nghèo</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10.15</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Thời điểm cuối năm 2024</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hộ cận nghèo</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2.9</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Thời điểm cuối năm 2024</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hộ đạt danh hiệu Gia đình văn hóa</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2426</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2.426 trên tổng số 2.689 hộ</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thôn đạt danh hiệu Thôn văn hóa</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16/16 thôn đạt chuẩn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tiêu chí NTM đạt chuẩn tại xã Long Môn cũ</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19</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14</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Chưa hoàn thành 5/19 tiêu chí NTM</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Xã Long Môn (cũ) chưa đạt chuẩn NTM, hiện mới hoàn thành 14/19 tiêu chí sau sáp nhập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Biến động các tiêu chí sau khi thực hiện mô hình chính quyền 2 cấp và sáp nhập địa giới hành chính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Làm ảnh hưởng đến tiến độ hoàn thành chỉ tiêu xây dựng Nông thôn mới toàn diện trên phạm vi toàn xã</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Tập trung lồng ghép nguồn lực, gắn kết phong trào TDĐKXDĐSVH với hoàn thiện 5 tiêu chí NTM còn thiếu tại khu vực Long Môn</w:t>
      </w:r>
    </w:p>
    <w:p>
      <w:pPr>
        <w:pStyle w:val="Heading3"/>
        <w:spacing w:after="40" w:before="100"/>
      </w:pPr>
      <w:r>
        <w:rPr>
          <w:rFonts w:ascii="Times New Roman" w:cs="Times New Roman" w:eastAsia="Times New Roman" w:hAnsi="Times New Roman"/>
          <w:b/>
          <w:bCs/>
          <w:color w:val="1E293B"/>
          <w:sz w:val="21"/>
          <w:szCs w:val="21"/>
        </w:rPr>
        <w:t xml:space="preserve">2. Hệ thống văn bản QPPL và hướng dẫn thực hiện phong trào không còn tương thích với mô hình chính quyền địa phương 2 cấp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Văn bản cấp trên chưa kịp thời sửa đổi, bổ sung theo cơ cấu tổ chức bộ máy mới</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Tạo khoảng trống pháp lý và lúng túng trong quy trình đăng ký, bình xét, chấm điểm danh hiệu văn hóa cơ sở</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Kiến nghị BCĐ tỉnh rà soát, điều chỉnh, bổ sung hoặc ban hành mới hệ thống văn bản hướng dẫn thực hiện</w:t>
      </w:r>
    </w:p>
    <w:p>
      <w:pPr>
        <w:pStyle w:val="Heading3"/>
        <w:spacing w:after="40" w:before="100"/>
      </w:pPr>
      <w:r>
        <w:rPr>
          <w:rFonts w:ascii="Times New Roman" w:cs="Times New Roman" w:eastAsia="Times New Roman" w:hAnsi="Times New Roman"/>
          <w:b/>
          <w:bCs/>
          <w:color w:val="1E293B"/>
          <w:sz w:val="21"/>
          <w:szCs w:val="21"/>
        </w:rPr>
        <w:t xml:space="preserve">3. Công tác bình xét danh hiệu văn hóa còn mang tính hình thức; sự phối hợp giữa các ban ngành chưa thực sự chặt chẽ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Một số thành viên BCĐ chưa nêu cao tinh thần trách nhiệm; công tác kiểm tra, giám sát định kỳ chưa thường xuyên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Làm giảm tính thực chất và chất lượng bền vững của danh hiệu Gia đình văn hóa, Thôn văn hóa</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Nâng cao trách nhiệm người đứng đầu, tăng cường kiểm tra, giám sát và chuẩn hóa quy trình chấm điểm thực chất</w:t>
      </w:r>
    </w:p>
    <w:p>
      <w:pPr>
        <w:pStyle w:val="Heading3"/>
        <w:spacing w:after="40" w:before="100"/>
      </w:pPr>
      <w:r>
        <w:rPr>
          <w:rFonts w:ascii="Times New Roman" w:cs="Times New Roman" w:eastAsia="Times New Roman" w:hAnsi="Times New Roman"/>
          <w:b/>
          <w:bCs/>
          <w:color w:val="1E293B"/>
          <w:sz w:val="21"/>
          <w:szCs w:val="21"/>
        </w:rPr>
        <w:t xml:space="preserve">4. Công tác xã hội hóa đầu tư thiết chế văn hóa, văn nghệ, thể dục thể thao còn hạn chế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Nguồn lực địa phương hạn hẹp, tỷ lệ hộ nghèo còn ở mức 10,15%, cơ chế huy động đóng góp chưa linh hoạt</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Hệ thống thiết chế văn hóa cơ sở chưa đồng bộ, hạn chế mức hưởng thụ văn hóa của nhân dân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Đẩy mạnh xã hội hóa, tranh thủ các nguồn vốn lồng ghép từ các chương trình mục tiêu quốc gia để nâng cấp thiết chế</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Tích hợp chỉ tiêu phát triển văn hóa vào Nghị quyết Đại hội Đảng bộ các cấp nhiệm kỳ 2026-2030: </w:t>
      </w:r>
      <w:r>
        <w:rPr>
          <w:rFonts w:ascii="Times New Roman" w:cs="Times New Roman" w:eastAsia="Times New Roman" w:hAnsi="Times New Roman"/>
          <w:color w:val="1E293B"/>
          <w:sz w:val="20"/>
          <w:szCs w:val="20"/>
        </w:rPr>
        <w:t xml:space="preserve">Các chỉ tiêu xây dựng đời sống văn hóa được thể chế hóa trong Nghị quyết Đại hội Đảng bộ xã (Chủ trì: Đảng ủy - UBND xã Minh Long,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Củng cố, kiện toàn Ban Chỉ đạo và quy chế làm việc phù hợp mô hình chính quyền 2 cấp: </w:t>
      </w:r>
      <w:r>
        <w:rPr>
          <w:rFonts w:ascii="Times New Roman" w:cs="Times New Roman" w:eastAsia="Times New Roman" w:hAnsi="Times New Roman"/>
          <w:color w:val="1E293B"/>
          <w:sz w:val="20"/>
          <w:szCs w:val="20"/>
        </w:rPr>
        <w:t xml:space="preserve">Quy chế phối hợp rõ ràng, gắn trách nhiệm cá nhân thành viên BCĐ phụ trách từng thôn (Chủ trì: UBND xã Minh Long,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Gắn kết phong trào TDĐKXDĐSVH với mục tiêu xóa thôn chưa đạt NTM (hoàn thành 5 tiêu chí tại Long Môn cũ): </w:t>
      </w:r>
      <w:r>
        <w:rPr>
          <w:rFonts w:ascii="Times New Roman" w:cs="Times New Roman" w:eastAsia="Times New Roman" w:hAnsi="Times New Roman"/>
          <w:color w:val="1E293B"/>
          <w:sz w:val="20"/>
          <w:szCs w:val="20"/>
        </w:rPr>
        <w:t xml:space="preserve">Nâng tỷ lệ tiêu chí NTM xã Long Môn cũ từ 14/19 lên 19/19 tiêu chí (Chủ trì: Ban Chỉ đạo xây dựng NTM xã,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Ban Chỉ đạo Phong trào TDĐKXDĐSVH tỉnh Quảng Ngãi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"Ban hành văn bản quy phạm pháp luật và hướng dẫn mới về thực hiện phong trào nhằm điều chỉnh, bổ sung cho phù hợp với mô hình chính quyền địa phương 2 cấp.".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UBND tỉnh Quảng Ngãi, Sở Tài chính, Sở VHTTDL tỉnh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"Bố trí kinh phí thường xuyên và kinh phí hỗ trợ hoạt động cho Ban Chỉ đạo xã; ưu tiên phân bổ nguồn lực đầu tư cho các mô hình điểm, khu dân cư văn hóa tiêu biểu.".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Căn cứ pháp lý và tính cấp thiết đối với kiến nghị gửi Sở Văn hóa, Thể thao và Du lịch tỉnh Quảng Ngãi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"Thường xuyên mở các lớp đào tạo, tập huấn chuyên môn nghiệp vụ về công tác văn hóa và phong trào TDĐKXDĐSVH cho cán bộ, công chức, BCĐ xã và ban nhân dân các thôn.".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4: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"Kiến nghị BCĐ tỉnh và Sở VHTTDL tỉnh điều chỉnh/bổ sung văn bản hướng dẫn phù hợp mô hình chính quyền 2 cấp, bổ sung kinh phí hỗ trợ hoạt động/mô hình điểm và tổ chức tập huấn chuyên môn nghiệp vụ."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2026-08-22T13:39:54.232Z</dcterms:created>
  <dcterms:modified xsi:type="dcterms:W3CDTF">2026-08-22T13:39:54.232Z</dcterms:modified>
</cp:coreProperties>
</file>

<file path=docProps/custom.xml><?xml version="1.0" encoding="utf-8"?>
<Properties xmlns="http://schemas.openxmlformats.org/officeDocument/2006/custom-properties" xmlns:vt="http://schemas.openxmlformats.org/officeDocument/2006/docPropsVTypes"/>
</file>