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CÔNG TÁC PHÒNG, CHỐNG THAM NHŨNG, LÃNG PHÍ, TIÊU CỰC [KỲ BÁO CÁO]</w:t>
      </w:r>
    </w:p>
    <w:p>
      <w:pPr>
        <w:spacing w:after="160"/>
        <w:jc w:val="center"/>
      </w:pPr>
      <w:r>
        <w:rPr>
          <w:rFonts w:ascii="Times New Roman" w:cs="Times New Roman" w:eastAsia="Times New Roman" w:hAnsi="Times New Roman"/>
          <w:i/>
          <w:iCs/>
          <w:color w:val="64748B"/>
          <w:sz w:val="18"/>
          <w:szCs w:val="18"/>
        </w:rPr>
        <w:t xml:space="preserve">Tài liệu gốc: BÁO CÁO CÔNG TÁC PHÒNG, CHỐNG THAM NHŨNG, LÃNG PHÍ, TIÊU CỰC [KỲ BÁO CÁO].pdf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Khung biểu mẫu master báo cáo công tác phòng, chống tham nhũng, lãng phí, tiêu cực chuẩn hóa theo quy định tại Thông tư số 06/2025/TT-TTCP của Thanh tra Chính phủ.</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Bối cảnh điều hành tập trung vào tháo gỡ điểm nghẽn và tăng tốc hoàn thành chỉ tiêu kỳ [KỲ BÁO CÁO].</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Giải quyết các kiến nghị nóng của cơ sở: </w:t>
      </w:r>
      <w:r>
        <w:rPr>
          <w:rFonts w:ascii="Times New Roman" w:cs="Times New Roman" w:eastAsia="Times New Roman" w:hAnsi="Times New Roman"/>
          <w:color w:val="1E293B"/>
          <w:sz w:val="20"/>
          <w:szCs w:val="20"/>
        </w:rPr>
        <w:t xml:space="preserve">Rà soát và chỉ đạo xử lý dứt điểm các vướng mắc ưu tiên (Chủ trì: Các phòng ban chuyên môn, Mục tiêu: 100% kiến nghị được xem xét xử lý)</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2026-08-22T13:40:44.695Z</dcterms:created>
  <dcterms:modified xsi:type="dcterms:W3CDTF">2026-08-22T13:40:44.695Z</dcterms:modified>
</cp:coreProperties>
</file>

<file path=docProps/custom.xml><?xml version="1.0" encoding="utf-8"?>
<Properties xmlns="http://schemas.openxmlformats.org/officeDocument/2006/custom-properties" xmlns:vt="http://schemas.openxmlformats.org/officeDocument/2006/docPropsVTypes"/>
</file>