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2"/>
          <w:szCs w:val="32"/>
          <w:shd w:fill="auto" w:val="clear"/>
        </w:rPr>
      </w:pPr>
      <w:r w:rsidDel="00000000" w:rsidR="00000000" w:rsidRPr="00000000">
        <w:rPr>
          <w:rFonts w:ascii="Times New Roman" w:cs="Times New Roman" w:eastAsia="Times New Roman" w:hAnsi="Times New Roman"/>
          <w:b w:val="1"/>
          <w:bCs w:val="1"/>
          <w:sz w:val="32"/>
          <w:szCs w:val="32"/>
          <w:rtl w:val="0"/>
        </w:rPr>
        <w:t xml:space="preserve">CÂU HỎI THƯỜNG GẶP (PHẦN 2)</w:t>
      </w:r>
      <w:r w:rsidDel="00000000" w:rsidR="00000000" w:rsidRPr="00000000">
        <w:rPr>
          <w:rtl w:val="0"/>
        </w:rPr>
      </w:r>
    </w:p>
    <w:p w:rsidR="00000000" w:rsidDel="00000000" w:rsidP="00000000" w:rsidRDefault="00000000" w:rsidRPr="00000000" w14:paraId="00000002">
      <w:pPr>
        <w:shd w:fill="auto" w:val="clea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 Kiến thức cơ bản về Hàng hóa phái sinh (10 câu)</w:t>
      </w:r>
    </w:p>
    <w:p w:rsidR="00000000" w:rsidDel="00000000" w:rsidP="00000000" w:rsidRDefault="00000000" w:rsidRPr="00000000" w14:paraId="00000004">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II. Kiến thức cơ bản về Phân tích &amp; Giao dịch (7 câu)</w:t>
      </w:r>
    </w:p>
    <w:p w:rsidR="00000000" w:rsidDel="00000000" w:rsidP="00000000" w:rsidRDefault="00000000" w:rsidRPr="00000000" w14:paraId="00000005">
      <w:pPr>
        <w:pBdr>
          <w:top w:color="000000" w:space="0" w:sz="0" w:val="none"/>
          <w:left w:color="000000" w:space="0" w:sz="0" w:val="none"/>
          <w:bottom w:color="000000" w:space="0" w:sz="0" w:val="none"/>
          <w:right w:color="000000" w:space="0" w:sz="0" w:val="none"/>
        </w:pBd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III. Hướng dẫn sử dụng nền tảng, mở tài khoản và nộp/rút tiền</w:t>
      </w:r>
      <w:r w:rsidDel="00000000" w:rsidR="00000000" w:rsidRPr="00000000">
        <w:rPr>
          <w:rFonts w:ascii="Times New Roman" w:cs="Times New Roman" w:eastAsia="Times New Roman" w:hAnsi="Times New Roman"/>
          <w:b w:val="1"/>
          <w:bCs w:val="1"/>
          <w:sz w:val="26"/>
          <w:szCs w:val="26"/>
          <w:rtl w:val="0"/>
        </w:rPr>
        <w:t xml:space="preserve"> (15 câu)</w:t>
      </w:r>
    </w:p>
    <w:p w:rsidR="00000000" w:rsidDel="00000000" w:rsidP="00000000" w:rsidRDefault="00000000" w:rsidRPr="00000000" w14:paraId="00000006">
      <w:pPr>
        <w:pBdr>
          <w:top w:color="000000" w:space="0" w:sz="0" w:val="none"/>
          <w:left w:color="000000" w:space="0" w:sz="0" w:val="none"/>
          <w:bottom w:color="000000" w:space="0" w:sz="0" w:val="none"/>
          <w:right w:color="000000" w:space="0" w:sz="0" w:val="none"/>
        </w:pBd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IV. Phí giao dịch và các khoản chi phí</w:t>
      </w:r>
      <w:r w:rsidDel="00000000" w:rsidR="00000000" w:rsidRPr="00000000">
        <w:rPr>
          <w:rtl w:val="0"/>
        </w:rPr>
      </w:r>
    </w:p>
    <w:p w:rsidR="00000000" w:rsidDel="00000000" w:rsidP="00000000" w:rsidRDefault="00000000" w:rsidRPr="00000000" w14:paraId="00000007">
      <w:pPr>
        <w:pBdr>
          <w:top w:color="000000" w:space="0" w:sz="0" w:val="none"/>
          <w:left w:color="000000" w:space="0" w:sz="0" w:val="none"/>
          <w:bottom w:color="000000" w:space="0" w:sz="0" w:val="none"/>
          <w:right w:color="000000" w:space="0" w:sz="0" w:val="none"/>
        </w:pBdr>
        <w:jc w:val="both"/>
        <w:rPr>
          <w:rFonts w:ascii="Times New Roman" w:cs="Times New Roman" w:eastAsia="Times New Roman" w:hAnsi="Times New Roman"/>
          <w:b w:val="1"/>
          <w:bCs w:val="1"/>
          <w:color w:val="000000"/>
          <w:sz w:val="26"/>
          <w:szCs w:val="26"/>
          <w:shd w:fill="auto" w:val="clear"/>
        </w:rPr>
      </w:pPr>
      <w:r w:rsidDel="00000000" w:rsidR="00000000" w:rsidRPr="00000000">
        <w:rPr>
          <w:rFonts w:ascii="Times New Roman" w:cs="Times New Roman" w:eastAsia="Times New Roman" w:hAnsi="Times New Roman"/>
          <w:b w:val="1"/>
          <w:bCs w:val="1"/>
          <w:color w:val="000000"/>
          <w:sz w:val="26"/>
          <w:szCs w:val="26"/>
          <w:rtl w:val="0"/>
        </w:rPr>
        <w:t xml:space="preserve">V. Quản trị Rủi ro (9 câu)</w:t>
      </w:r>
      <w:r w:rsidDel="00000000" w:rsidR="00000000" w:rsidRPr="00000000">
        <w:rPr>
          <w:rtl w:val="0"/>
        </w:rPr>
      </w:r>
    </w:p>
    <w:p w:rsidR="00000000" w:rsidDel="00000000" w:rsidP="00000000" w:rsidRDefault="00000000" w:rsidRPr="00000000" w14:paraId="00000008">
      <w:pPr>
        <w:pBdr>
          <w:top w:color="000000" w:space="0" w:sz="0" w:val="none"/>
          <w:left w:color="000000" w:space="0" w:sz="0" w:val="none"/>
          <w:bottom w:color="000000" w:space="0" w:sz="0" w:val="none"/>
          <w:right w:color="000000" w:space="0" w:sz="0" w:val="none"/>
        </w:pBdr>
        <w:jc w:val="both"/>
        <w:rPr>
          <w:rFonts w:ascii="Times New Roman" w:cs="Times New Roman" w:eastAsia="Times New Roman" w:hAnsi="Times New Roman"/>
          <w:b w:val="1"/>
          <w:bCs w:val="1"/>
          <w:color w:val="000000"/>
          <w:sz w:val="26"/>
          <w:szCs w:val="26"/>
          <w:shd w:fill="auto" w:val="clear"/>
        </w:rPr>
      </w:pPr>
      <w:r w:rsidDel="00000000" w:rsidR="00000000" w:rsidRPr="00000000">
        <w:rPr>
          <w:rFonts w:ascii="Times New Roman" w:cs="Times New Roman" w:eastAsia="Times New Roman" w:hAnsi="Times New Roman"/>
          <w:b w:val="1"/>
          <w:bCs w:val="1"/>
          <w:color w:val="000000"/>
          <w:sz w:val="26"/>
          <w:szCs w:val="26"/>
          <w:shd w:fill="auto" w:val="clear"/>
          <w:rtl w:val="0"/>
        </w:rPr>
        <w:t xml:space="preserve">VI. Chăm sóc khách hàng và quản lý sự cố</w:t>
      </w:r>
    </w:p>
    <w:p w:rsidR="00000000" w:rsidDel="00000000" w:rsidP="00000000" w:rsidRDefault="00000000" w:rsidRPr="00000000" w14:paraId="00000009">
      <w:pPr>
        <w:pBdr>
          <w:top w:color="000000" w:space="0" w:sz="0" w:val="none"/>
          <w:left w:color="000000" w:space="0" w:sz="0" w:val="none"/>
          <w:bottom w:color="000000" w:space="0" w:sz="0" w:val="none"/>
          <w:right w:color="000000" w:space="0" w:sz="0" w:val="none"/>
        </w:pBdr>
        <w:jc w:val="both"/>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shd w:fill="auto" w:val="clear"/>
          <w:rtl w:val="0"/>
        </w:rPr>
        <w:t xml:space="preserve">Tổng 41 câu</w:t>
      </w:r>
      <w:r w:rsidDel="00000000" w:rsidR="00000000" w:rsidRPr="00000000">
        <w:rPr>
          <w:rtl w:val="0"/>
        </w:rPr>
      </w:r>
    </w:p>
    <w:p w:rsidR="00000000" w:rsidDel="00000000" w:rsidP="00000000" w:rsidRDefault="00000000" w:rsidRPr="00000000" w14:paraId="0000000A">
      <w:pPr>
        <w:shd w:fill="auto" w:val="clear"/>
        <w:rPr>
          <w:rFonts w:ascii="Times New Roman" w:cs="Times New Roman" w:eastAsia="Times New Roman" w:hAnsi="Times New Roman"/>
          <w:b w:val="1"/>
          <w:bCs w:val="1"/>
          <w:sz w:val="26"/>
          <w:szCs w:val="26"/>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b w:val="1"/>
          <w:bCs w:val="1"/>
          <w:sz w:val="26"/>
          <w:szCs w:val="26"/>
          <w:shd w:fill="auto" w:val="clear"/>
        </w:rPr>
      </w:pPr>
      <w:r w:rsidDel="00000000" w:rsidR="00000000" w:rsidRPr="00000000">
        <w:rPr>
          <w:rFonts w:ascii="Times New Roman" w:cs="Times New Roman" w:eastAsia="Times New Roman" w:hAnsi="Times New Roman"/>
          <w:b w:val="1"/>
          <w:bCs w:val="1"/>
          <w:sz w:val="26"/>
          <w:szCs w:val="26"/>
          <w:shd w:fill="auto" w:val="clear"/>
          <w:rtl w:val="0"/>
        </w:rPr>
        <w:t xml:space="preserve">I. KIẾN THỨC CƠ BẢN VỀ HÀNG HÓA</w:t>
      </w:r>
    </w:p>
    <w:p w:rsidR="00000000" w:rsidDel="00000000" w:rsidP="00000000" w:rsidRDefault="00000000" w:rsidRPr="00000000" w14:paraId="0000000C">
      <w:pPr>
        <w:jc w:val="both"/>
        <w:rPr>
          <w:rFonts w:ascii="Times New Roman" w:cs="Times New Roman" w:eastAsia="Times New Roman" w:hAnsi="Times New Roman"/>
          <w:b w:val="1"/>
          <w:bCs w:val="1"/>
          <w:sz w:val="26"/>
          <w:szCs w:val="26"/>
          <w:shd w:fill="auto" w:val="clear"/>
        </w:rPr>
      </w:pPr>
      <w:r w:rsidDel="00000000" w:rsidR="00000000" w:rsidRPr="00000000">
        <w:rPr>
          <w:rFonts w:ascii="Times New Roman" w:cs="Times New Roman" w:eastAsia="Times New Roman" w:hAnsi="Times New Roman"/>
          <w:b w:val="1"/>
          <w:bCs w:val="1"/>
          <w:sz w:val="26"/>
          <w:szCs w:val="26"/>
          <w:shd w:fill="auto" w:val="clear"/>
          <w:rtl w:val="0"/>
        </w:rPr>
        <w:t xml:space="preserve">1. Tôi muốn tìm hiểu thông tin chi tiết về các sản phẩm hàng hóa phái sinh.</w:t>
      </w:r>
    </w:p>
    <w:p w:rsidR="00000000" w:rsidDel="00000000" w:rsidP="00000000" w:rsidRDefault="00000000" w:rsidRPr="00000000" w14:paraId="0000000D">
      <w:pPr>
        <w:jc w:val="both"/>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 Khách hàng có thể tham khảo các thông tin chi tiết về sản phẩm hàng hóa phái sinh trên website:dongdopartners.com</w:t>
      </w:r>
    </w:p>
    <w:p w:rsidR="00000000" w:rsidDel="00000000" w:rsidP="00000000" w:rsidRDefault="00000000" w:rsidRPr="00000000" w14:paraId="0000000E">
      <w:pPr>
        <w:jc w:val="both"/>
        <w:rPr>
          <w:rFonts w:ascii="Times New Roman" w:cs="Times New Roman" w:eastAsia="Times New Roman" w:hAnsi="Times New Roman"/>
          <w:b w:val="1"/>
          <w:bCs w:val="1"/>
          <w:sz w:val="26"/>
          <w:szCs w:val="26"/>
          <w:shd w:fill="auto" w:val="clear"/>
        </w:rPr>
      </w:pPr>
      <w:r w:rsidDel="00000000" w:rsidR="00000000" w:rsidRPr="00000000">
        <w:rPr>
          <w:rFonts w:ascii="Times New Roman" w:cs="Times New Roman" w:eastAsia="Times New Roman" w:hAnsi="Times New Roman"/>
          <w:b w:val="1"/>
          <w:bCs w:val="1"/>
          <w:sz w:val="26"/>
          <w:szCs w:val="26"/>
          <w:shd w:fill="auto" w:val="clear"/>
          <w:rtl w:val="0"/>
        </w:rPr>
        <w:t xml:space="preserve">2. Khi thực hiện đặt lệnh, có yêu cầu gì về độ lớn hợp đồng không?</w:t>
      </w:r>
    </w:p>
    <w:p w:rsidR="00000000" w:rsidDel="00000000" w:rsidP="00000000" w:rsidRDefault="00000000" w:rsidRPr="00000000" w14:paraId="0000000F">
      <w:pPr>
        <w:jc w:val="both"/>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 </w:t>
      </w:r>
      <w:r w:rsidDel="00000000" w:rsidR="00000000" w:rsidRPr="00000000">
        <w:rPr>
          <w:rFonts w:ascii="Times New Roman" w:cs="Times New Roman" w:eastAsia="Times New Roman" w:hAnsi="Times New Roman"/>
          <w:b w:val="0"/>
          <w:bCs w:val="0"/>
          <w:color w:val="000000"/>
          <w:sz w:val="26"/>
          <w:szCs w:val="26"/>
          <w:rtl w:val="0"/>
        </w:rPr>
        <w:t xml:space="preserve">Khách hàng chỉ được đặt lệnh với khối lượng là số nguyên Lot. Mỗi lệnh phải có khối lượng tối thiểu là 1 Lot và không thể đặt lệnh với khối lượng lẻ (ví dụ: 0,5 Lot; 1,5 Lot).</w:t>
      </w:r>
      <w:r w:rsidDel="00000000" w:rsidR="00000000" w:rsidRPr="00000000">
        <w:rPr>
          <w:rtl w:val="0"/>
        </w:rPr>
      </w:r>
    </w:p>
    <w:p w:rsidR="00000000" w:rsidDel="00000000" w:rsidP="00000000" w:rsidRDefault="00000000" w:rsidRPr="00000000" w14:paraId="00000010">
      <w:pPr>
        <w:jc w:val="both"/>
        <w:rPr>
          <w:rFonts w:ascii="Times New Roman" w:cs="Times New Roman" w:eastAsia="Times New Roman" w:hAnsi="Times New Roman"/>
          <w:b w:val="1"/>
          <w:bCs w:val="1"/>
          <w:sz w:val="26"/>
          <w:szCs w:val="26"/>
          <w:shd w:fill="auto" w:val="clear"/>
        </w:rPr>
      </w:pPr>
      <w:r w:rsidDel="00000000" w:rsidR="00000000" w:rsidRPr="00000000">
        <w:rPr>
          <w:rFonts w:ascii="Times New Roman" w:cs="Times New Roman" w:eastAsia="Times New Roman" w:hAnsi="Times New Roman"/>
          <w:b w:val="1"/>
          <w:bCs w:val="1"/>
          <w:sz w:val="26"/>
          <w:szCs w:val="26"/>
          <w:shd w:fill="auto" w:val="clear"/>
          <w:rtl w:val="0"/>
        </w:rPr>
        <w:t xml:space="preserve">3. Biên độ giá là gì? Mục đích của biên độ giá?</w:t>
      </w:r>
    </w:p>
    <w:p w:rsidR="00000000" w:rsidDel="00000000" w:rsidP="00000000" w:rsidRDefault="00000000" w:rsidRPr="00000000" w14:paraId="00000011">
      <w:pPr>
        <w:jc w:val="both"/>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 – Khái niệm: Biên độ giá là biên độ tối đa mà giá được biến động đối với một hợp đồng kỳ hạn tiêu chuẩn trong mỗi phiên giao dịch.</w:t>
      </w:r>
    </w:p>
    <w:p w:rsidR="00000000" w:rsidDel="00000000" w:rsidP="00000000" w:rsidRDefault="00000000" w:rsidRPr="00000000" w14:paraId="00000012">
      <w:pPr>
        <w:jc w:val="both"/>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 – Mục đích:</w:t>
      </w:r>
    </w:p>
    <w:p w:rsidR="00000000" w:rsidDel="00000000" w:rsidP="00000000" w:rsidRDefault="00000000" w:rsidRPr="00000000" w14:paraId="00000013">
      <w:pPr>
        <w:jc w:val="both"/>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  + Hạn chế việc giá thị trường biến động quá xa hoặc quá nhanh trong một khoảng thời gian nhất định.</w:t>
      </w:r>
    </w:p>
    <w:p w:rsidR="00000000" w:rsidDel="00000000" w:rsidP="00000000" w:rsidRDefault="00000000" w:rsidRPr="00000000" w14:paraId="00000014">
      <w:pPr>
        <w:jc w:val="both"/>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  + Bảo đảm thị trường tiếp tục vận hành một cách hiệu quả và có trật tự trong điều kiện thị trường biến động mạnh.</w:t>
      </w:r>
    </w:p>
    <w:p w:rsidR="00000000" w:rsidDel="00000000" w:rsidP="00000000" w:rsidRDefault="00000000" w:rsidRPr="00000000" w14:paraId="00000015">
      <w:pPr>
        <w:jc w:val="both"/>
        <w:rPr>
          <w:rFonts w:ascii="Times New Roman" w:cs="Times New Roman" w:eastAsia="Times New Roman" w:hAnsi="Times New Roman"/>
          <w:b w:val="1"/>
          <w:bCs w:val="1"/>
          <w:sz w:val="26"/>
          <w:szCs w:val="26"/>
          <w:shd w:fill="auto" w:val="clear"/>
        </w:rPr>
      </w:pPr>
      <w:r w:rsidDel="00000000" w:rsidR="00000000" w:rsidRPr="00000000">
        <w:rPr>
          <w:rFonts w:ascii="Times New Roman" w:cs="Times New Roman" w:eastAsia="Times New Roman" w:hAnsi="Times New Roman"/>
          <w:b w:val="1"/>
          <w:bCs w:val="1"/>
          <w:sz w:val="26"/>
          <w:szCs w:val="26"/>
          <w:shd w:fill="auto" w:val="clear"/>
          <w:rtl w:val="0"/>
        </w:rPr>
        <w:t xml:space="preserve">4. So sánh thị trường tập trung và thị trường phi tập trung</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A0"/>
      </w:tblPr>
      <w:tblGrid>
        <w:gridCol w:w="1536"/>
        <w:gridCol w:w="3827"/>
        <w:gridCol w:w="3997"/>
        <w:tblGridChange w:id="0">
          <w:tblGrid>
            <w:gridCol w:w="1536"/>
            <w:gridCol w:w="3827"/>
            <w:gridCol w:w="3997"/>
          </w:tblGrid>
        </w:tblGridChange>
      </w:tblGrid>
      <w:tr>
        <w:trPr>
          <w:cantSplit w:val="0"/>
          <w:tblHeader w:val="0"/>
        </w:trPr>
        <w:tc>
          <w:tcPr/>
          <w:p w:rsidR="00000000" w:rsidDel="00000000" w:rsidP="00000000" w:rsidRDefault="00000000" w:rsidRPr="00000000" w14:paraId="00000016">
            <w:pPr>
              <w:jc w:val="center"/>
              <w:rPr>
                <w:rFonts w:ascii="Times New Roman" w:cs="Times New Roman" w:eastAsia="Times New Roman" w:hAnsi="Times New Roman"/>
                <w:b w:val="0"/>
                <w:bCs w:val="0"/>
                <w:sz w:val="26"/>
                <w:szCs w:val="26"/>
                <w:shd w:fill="auto" w:val="clear"/>
              </w:rPr>
            </w:pPr>
            <w:r w:rsidDel="00000000" w:rsidR="00000000" w:rsidRPr="00000000">
              <w:rPr>
                <w:rtl w:val="0"/>
              </w:rPr>
            </w:r>
          </w:p>
        </w:tc>
        <w:tc>
          <w:tcPr/>
          <w:p w:rsidR="00000000" w:rsidDel="00000000" w:rsidP="00000000" w:rsidRDefault="00000000" w:rsidRPr="00000000" w14:paraId="00000017">
            <w:pPr>
              <w:jc w:val="center"/>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Thị trường tập trung</w:t>
            </w:r>
          </w:p>
        </w:tc>
        <w:tc>
          <w:tcPr/>
          <w:p w:rsidR="00000000" w:rsidDel="00000000" w:rsidP="00000000" w:rsidRDefault="00000000" w:rsidRPr="00000000" w14:paraId="00000018">
            <w:pPr>
              <w:jc w:val="center"/>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Thị trường phi tập trung</w:t>
            </w:r>
          </w:p>
        </w:tc>
      </w:tr>
      <w:tr>
        <w:trPr>
          <w:cantSplit w:val="0"/>
          <w:tblHeader w:val="0"/>
        </w:trPr>
        <w:tc>
          <w:tcPr/>
          <w:p w:rsidR="00000000" w:rsidDel="00000000" w:rsidP="00000000" w:rsidRDefault="00000000" w:rsidRPr="00000000" w14:paraId="00000019">
            <w:pPr>
              <w:jc w:val="center"/>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Khái niệm</w:t>
            </w:r>
          </w:p>
        </w:tc>
        <w:tc>
          <w:tcPr/>
          <w:p w:rsidR="00000000" w:rsidDel="00000000" w:rsidP="00000000" w:rsidRDefault="00000000" w:rsidRPr="00000000" w14:paraId="0000001A">
            <w:pPr>
              <w:jc w:val="both"/>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sz w:val="26"/>
                <w:szCs w:val="26"/>
                <w:shd w:fill="auto" w:val="clear"/>
                <w:rtl w:val="0"/>
              </w:rPr>
              <w:t xml:space="preserve">Là thị trường mua đi bán lại liên tục hợp đồng hàng hóa phái sinh, được niêm yết bởi Sở Giao dịch hàng hóa tập trung</w:t>
            </w:r>
            <w:r w:rsidDel="00000000" w:rsidR="00000000" w:rsidRPr="00000000">
              <w:rPr>
                <w:rtl w:val="0"/>
              </w:rPr>
            </w:r>
          </w:p>
        </w:tc>
        <w:tc>
          <w:tcPr/>
          <w:p w:rsidR="00000000" w:rsidDel="00000000" w:rsidP="00000000" w:rsidRDefault="00000000" w:rsidRPr="00000000" w14:paraId="0000001B">
            <w:pPr>
              <w:jc w:val="both"/>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sz w:val="26"/>
                <w:szCs w:val="26"/>
                <w:shd w:fill="auto" w:val="clear"/>
                <w:rtl w:val="0"/>
              </w:rPr>
              <w:t xml:space="preserve">Là thị trường trong đó những người tham gia thị trường giao dịch trực tiếp với nhau, không thông qua sàn giao dịch hoặc trung tâm môi giới</w:t>
            </w:r>
            <w:r w:rsidDel="00000000" w:rsidR="00000000" w:rsidRPr="00000000">
              <w:rPr>
                <w:rtl w:val="0"/>
              </w:rPr>
            </w:r>
          </w:p>
        </w:tc>
      </w:tr>
      <w:tr>
        <w:trPr>
          <w:cantSplit w:val="0"/>
          <w:tblHeader w:val="0"/>
        </w:trPr>
        <w:tc>
          <w:tcPr/>
          <w:p w:rsidR="00000000" w:rsidDel="00000000" w:rsidP="00000000" w:rsidRDefault="00000000" w:rsidRPr="00000000" w14:paraId="0000001C">
            <w:pPr>
              <w:jc w:val="center"/>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Đặc điểm</w:t>
            </w:r>
          </w:p>
        </w:tc>
        <w:tc>
          <w:tcPr/>
          <w:p w:rsidR="00000000" w:rsidDel="00000000" w:rsidP="00000000" w:rsidRDefault="00000000" w:rsidRPr="00000000" w14:paraId="0000001D">
            <w:pPr>
              <w:jc w:val="both"/>
              <w:rPr>
                <w:rFonts w:ascii="Times New Roman" w:cs="Times New Roman" w:eastAsia="Times New Roman" w:hAnsi="Times New Roman"/>
                <w:sz w:val="26"/>
                <w:szCs w:val="26"/>
                <w:shd w:fill="auto" w:val="clear"/>
              </w:rPr>
            </w:pPr>
            <w:r w:rsidDel="00000000" w:rsidR="00000000" w:rsidRPr="00000000">
              <w:rPr>
                <w:rFonts w:ascii="Times New Roman" w:cs="Times New Roman" w:eastAsia="Times New Roman" w:hAnsi="Times New Roman"/>
                <w:sz w:val="26"/>
                <w:szCs w:val="26"/>
                <w:shd w:fill="auto" w:val="clear"/>
                <w:rtl w:val="0"/>
              </w:rPr>
              <w:t xml:space="preserve"> – Được tiêu chuẩn hóa về khối lượng, chất lượng</w:t>
            </w:r>
          </w:p>
          <w:p w:rsidR="00000000" w:rsidDel="00000000" w:rsidP="00000000" w:rsidRDefault="00000000" w:rsidRPr="00000000" w14:paraId="0000001E">
            <w:pPr>
              <w:jc w:val="both"/>
              <w:rPr/>
            </w:pPr>
            <w:r w:rsidDel="00000000" w:rsidR="00000000" w:rsidRPr="00000000">
              <w:rPr>
                <w:rFonts w:ascii="Times New Roman" w:cs="Times New Roman" w:eastAsia="Times New Roman" w:hAnsi="Times New Roman"/>
                <w:sz w:val="26"/>
                <w:szCs w:val="26"/>
                <w:shd w:fill="auto" w:val="clear"/>
                <w:rtl w:val="0"/>
              </w:rPr>
              <w:t xml:space="preserve"> – Được niêm yết giá công khai</w:t>
            </w:r>
            <w:r w:rsidDel="00000000" w:rsidR="00000000" w:rsidRPr="00000000">
              <w:rPr>
                <w:rtl w:val="0"/>
              </w:rPr>
            </w:r>
          </w:p>
          <w:p w:rsidR="00000000" w:rsidDel="00000000" w:rsidP="00000000" w:rsidRDefault="00000000" w:rsidRPr="00000000" w14:paraId="0000001F">
            <w:pPr>
              <w:jc w:val="both"/>
              <w:rPr/>
            </w:pPr>
            <w:r w:rsidDel="00000000" w:rsidR="00000000" w:rsidRPr="00000000">
              <w:rPr>
                <w:rFonts w:ascii="Times New Roman" w:cs="Times New Roman" w:eastAsia="Times New Roman" w:hAnsi="Times New Roman"/>
                <w:sz w:val="26"/>
                <w:szCs w:val="26"/>
                <w:shd w:fill="auto" w:val="clear"/>
                <w:rtl w:val="0"/>
              </w:rPr>
              <w:t xml:space="preserve"> – Sở giao dịch hàng hóa có vai trò trung gian</w:t>
            </w:r>
            <w:r w:rsidDel="00000000" w:rsidR="00000000" w:rsidRPr="00000000">
              <w:rPr>
                <w:rtl w:val="0"/>
              </w:rPr>
            </w:r>
          </w:p>
          <w:p w:rsidR="00000000" w:rsidDel="00000000" w:rsidP="00000000" w:rsidRDefault="00000000" w:rsidRPr="00000000" w14:paraId="00000020">
            <w:pPr>
              <w:jc w:val="both"/>
              <w:rPr>
                <w:rFonts w:ascii="Times New Roman" w:cs="Times New Roman" w:eastAsia="Times New Roman" w:hAnsi="Times New Roman"/>
                <w:sz w:val="26"/>
                <w:szCs w:val="26"/>
                <w:shd w:fill="auto" w:val="clear"/>
              </w:rPr>
            </w:pPr>
            <w:r w:rsidDel="00000000" w:rsidR="00000000" w:rsidRPr="00000000">
              <w:rPr>
                <w:rFonts w:ascii="Times New Roman" w:cs="Times New Roman" w:eastAsia="Times New Roman" w:hAnsi="Times New Roman"/>
                <w:sz w:val="26"/>
                <w:szCs w:val="26"/>
                <w:shd w:fill="auto" w:val="clear"/>
                <w:rtl w:val="0"/>
              </w:rPr>
              <w:t xml:space="preserve"> – Có tính liên tục cao</w:t>
            </w:r>
          </w:p>
        </w:tc>
        <w:tc>
          <w:tcPr/>
          <w:p w:rsidR="00000000" w:rsidDel="00000000" w:rsidP="00000000" w:rsidRDefault="00000000" w:rsidRPr="00000000" w14:paraId="00000021">
            <w:pPr>
              <w:jc w:val="both"/>
              <w:rPr/>
            </w:pPr>
            <w:r w:rsidDel="00000000" w:rsidR="00000000" w:rsidRPr="00000000">
              <w:rPr>
                <w:rFonts w:ascii="Times New Roman" w:cs="Times New Roman" w:eastAsia="Times New Roman" w:hAnsi="Times New Roman"/>
                <w:sz w:val="26"/>
                <w:szCs w:val="26"/>
                <w:shd w:fill="auto" w:val="clear"/>
                <w:rtl w:val="0"/>
              </w:rPr>
              <w:t xml:space="preserve"> – Mức giá có thể bị chi phối bởi một số ít những chủ thể tham gia thị trường</w:t>
            </w:r>
            <w:r w:rsidDel="00000000" w:rsidR="00000000" w:rsidRPr="00000000">
              <w:rPr>
                <w:rtl w:val="0"/>
              </w:rPr>
            </w:r>
          </w:p>
          <w:p w:rsidR="00000000" w:rsidDel="00000000" w:rsidP="00000000" w:rsidRDefault="00000000" w:rsidRPr="00000000" w14:paraId="00000022">
            <w:pPr>
              <w:jc w:val="both"/>
              <w:rPr/>
            </w:pPr>
            <w:r w:rsidDel="00000000" w:rsidR="00000000" w:rsidRPr="00000000">
              <w:rPr>
                <w:rFonts w:ascii="Times New Roman" w:cs="Times New Roman" w:eastAsia="Times New Roman" w:hAnsi="Times New Roman"/>
                <w:sz w:val="26"/>
                <w:szCs w:val="26"/>
                <w:shd w:fill="auto" w:val="clear"/>
                <w:rtl w:val="0"/>
              </w:rPr>
              <w:t xml:space="preserve"> – Rủi ro đối tác, rủi ro thanh khoản</w:t>
            </w:r>
            <w:r w:rsidDel="00000000" w:rsidR="00000000" w:rsidRPr="00000000">
              <w:rPr>
                <w:rtl w:val="0"/>
              </w:rPr>
            </w:r>
          </w:p>
          <w:p w:rsidR="00000000" w:rsidDel="00000000" w:rsidP="00000000" w:rsidRDefault="00000000" w:rsidRPr="00000000" w14:paraId="00000023">
            <w:pPr>
              <w:jc w:val="both"/>
              <w:rPr/>
            </w:pPr>
            <w:r w:rsidDel="00000000" w:rsidR="00000000" w:rsidRPr="00000000">
              <w:rPr>
                <w:rFonts w:ascii="Times New Roman" w:cs="Times New Roman" w:eastAsia="Times New Roman" w:hAnsi="Times New Roman"/>
                <w:sz w:val="26"/>
                <w:szCs w:val="26"/>
                <w:shd w:fill="auto" w:val="clear"/>
                <w:rtl w:val="0"/>
              </w:rPr>
              <w:t xml:space="preserve"> – Mất nhiều chi phí cơ hội, chi phí tìm kiếm đối tác</w:t>
            </w:r>
            <w:r w:rsidDel="00000000" w:rsidR="00000000" w:rsidRPr="00000000">
              <w:rPr>
                <w:rtl w:val="0"/>
              </w:rPr>
            </w:r>
          </w:p>
          <w:p w:rsidR="00000000" w:rsidDel="00000000" w:rsidP="00000000" w:rsidRDefault="00000000" w:rsidRPr="00000000" w14:paraId="00000024">
            <w:pPr>
              <w:jc w:val="both"/>
              <w:rPr>
                <w:rFonts w:ascii="Times New Roman" w:cs="Times New Roman" w:eastAsia="Times New Roman" w:hAnsi="Times New Roman"/>
                <w:sz w:val="26"/>
                <w:szCs w:val="26"/>
                <w:shd w:fill="auto" w:val="clear"/>
              </w:rPr>
            </w:pPr>
            <w:r w:rsidDel="00000000" w:rsidR="00000000" w:rsidRPr="00000000">
              <w:rPr>
                <w:rFonts w:ascii="Times New Roman" w:cs="Times New Roman" w:eastAsia="Times New Roman" w:hAnsi="Times New Roman"/>
                <w:sz w:val="26"/>
                <w:szCs w:val="26"/>
                <w:shd w:fill="auto" w:val="clear"/>
                <w:rtl w:val="0"/>
              </w:rPr>
              <w:t xml:space="preserve"> – Tính liên tục của hoạt động giao dịch trên thị trường không cao</w:t>
            </w:r>
          </w:p>
        </w:tc>
      </w:tr>
    </w:tbl>
    <w:p w:rsidR="00000000" w:rsidDel="00000000" w:rsidP="00000000" w:rsidRDefault="00000000" w:rsidRPr="00000000" w14:paraId="00000025">
      <w:pPr>
        <w:jc w:val="both"/>
        <w:rPr>
          <w:rFonts w:ascii="Times New Roman" w:cs="Times New Roman" w:eastAsia="Times New Roman" w:hAnsi="Times New Roman"/>
          <w:b w:val="1"/>
          <w:bCs w:val="1"/>
          <w:sz w:val="26"/>
          <w:szCs w:val="26"/>
          <w:shd w:fill="auto" w:val="clear"/>
        </w:rPr>
      </w:pPr>
      <w:r w:rsidDel="00000000" w:rsidR="00000000" w:rsidRPr="00000000">
        <w:rPr>
          <w:rFonts w:ascii="Times New Roman" w:cs="Times New Roman" w:eastAsia="Times New Roman" w:hAnsi="Times New Roman"/>
          <w:b w:val="1"/>
          <w:bCs w:val="1"/>
          <w:sz w:val="26"/>
          <w:szCs w:val="26"/>
          <w:shd w:fill="auto" w:val="clear"/>
          <w:rtl w:val="0"/>
        </w:rPr>
        <w:t xml:space="preserve">5. Có các đối tượng nào tham gia thị trường giao dịch?</w:t>
      </w:r>
    </w:p>
    <w:p w:rsidR="00000000" w:rsidDel="00000000" w:rsidP="00000000" w:rsidRDefault="00000000" w:rsidRPr="00000000" w14:paraId="00000026">
      <w:pPr>
        <w:jc w:val="both"/>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 a. Nhà Phòng vệ giá (Hedgers) </w:t>
      </w:r>
    </w:p>
    <w:p w:rsidR="00000000" w:rsidDel="00000000" w:rsidP="00000000" w:rsidRDefault="00000000" w:rsidRPr="00000000" w14:paraId="00000027">
      <w:pPr>
        <w:jc w:val="both"/>
        <w:rPr/>
      </w:pPr>
      <w:r w:rsidDel="00000000" w:rsidR="00000000" w:rsidRPr="00000000">
        <w:rPr>
          <w:rFonts w:ascii="Times New Roman" w:cs="Times New Roman" w:eastAsia="Times New Roman" w:hAnsi="Times New Roman"/>
          <w:b w:val="0"/>
          <w:bCs w:val="0"/>
          <w:sz w:val="26"/>
          <w:szCs w:val="26"/>
          <w:shd w:fill="auto" w:val="clear"/>
          <w:rtl w:val="0"/>
        </w:rPr>
        <w:t xml:space="preserve">   + Là bên tham gia có nhu cầu mua bán hàng hóa vật chất</w:t>
      </w:r>
      <w:r w:rsidDel="00000000" w:rsidR="00000000" w:rsidRPr="00000000">
        <w:rPr>
          <w:rtl w:val="0"/>
        </w:rPr>
      </w:r>
    </w:p>
    <w:p w:rsidR="00000000" w:rsidDel="00000000" w:rsidP="00000000" w:rsidRDefault="00000000" w:rsidRPr="00000000" w14:paraId="00000028">
      <w:pPr>
        <w:jc w:val="both"/>
        <w:rPr/>
      </w:pPr>
      <w:r w:rsidDel="00000000" w:rsidR="00000000" w:rsidRPr="00000000">
        <w:rPr>
          <w:rFonts w:ascii="Times New Roman" w:cs="Times New Roman" w:eastAsia="Times New Roman" w:hAnsi="Times New Roman"/>
          <w:b w:val="0"/>
          <w:bCs w:val="0"/>
          <w:sz w:val="26"/>
          <w:szCs w:val="26"/>
          <w:shd w:fill="auto" w:val="clear"/>
          <w:rtl w:val="0"/>
        </w:rPr>
        <w:t xml:space="preserve">   + Có nhu cầu phòng vệ sự biến động của giá cả</w:t>
      </w:r>
      <w:r w:rsidDel="00000000" w:rsidR="00000000" w:rsidRPr="00000000">
        <w:rPr>
          <w:rtl w:val="0"/>
        </w:rPr>
      </w:r>
    </w:p>
    <w:p w:rsidR="00000000" w:rsidDel="00000000" w:rsidP="00000000" w:rsidRDefault="00000000" w:rsidRPr="00000000" w14:paraId="00000029">
      <w:pPr>
        <w:jc w:val="both"/>
        <w:rPr/>
      </w:pPr>
      <w:r w:rsidDel="00000000" w:rsidR="00000000" w:rsidRPr="00000000">
        <w:rPr>
          <w:rFonts w:ascii="Times New Roman" w:cs="Times New Roman" w:eastAsia="Times New Roman" w:hAnsi="Times New Roman"/>
          <w:b w:val="0"/>
          <w:bCs w:val="0"/>
          <w:sz w:val="26"/>
          <w:szCs w:val="26"/>
          <w:shd w:fill="auto" w:val="clear"/>
          <w:rtl w:val="0"/>
        </w:rPr>
        <w:t xml:space="preserve">   + Ổn định sản xuất kinh doanh và phát triển doanh nghiệp</w:t>
      </w:r>
      <w:r w:rsidDel="00000000" w:rsidR="00000000" w:rsidRPr="00000000">
        <w:rPr>
          <w:rtl w:val="0"/>
        </w:rPr>
      </w:r>
    </w:p>
    <w:p w:rsidR="00000000" w:rsidDel="00000000" w:rsidP="00000000" w:rsidRDefault="00000000" w:rsidRPr="00000000" w14:paraId="0000002A">
      <w:pPr>
        <w:jc w:val="both"/>
        <w:rPr/>
      </w:pPr>
      <w:r w:rsidDel="00000000" w:rsidR="00000000" w:rsidRPr="00000000">
        <w:rPr>
          <w:rFonts w:ascii="Times New Roman" w:cs="Times New Roman" w:eastAsia="Times New Roman" w:hAnsi="Times New Roman"/>
          <w:b w:val="0"/>
          <w:bCs w:val="0"/>
          <w:sz w:val="26"/>
          <w:szCs w:val="26"/>
          <w:shd w:fill="auto" w:val="clear"/>
          <w:rtl w:val="0"/>
        </w:rPr>
        <w:t xml:space="preserve">   + Bảo vệ lợi nhuận</w:t>
      </w:r>
      <w:r w:rsidDel="00000000" w:rsidR="00000000" w:rsidRPr="00000000">
        <w:rPr>
          <w:rtl w:val="0"/>
        </w:rPr>
      </w:r>
    </w:p>
    <w:p w:rsidR="00000000" w:rsidDel="00000000" w:rsidP="00000000" w:rsidRDefault="00000000" w:rsidRPr="00000000" w14:paraId="0000002B">
      <w:pPr>
        <w:jc w:val="both"/>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 Nhà phòng vệ giá có thể là: nhà sản xuất, nông dân, thương gia, nhà xuất khẩu, nhà nhập khẩu,...</w:t>
      </w:r>
    </w:p>
    <w:p w:rsidR="00000000" w:rsidDel="00000000" w:rsidP="00000000" w:rsidRDefault="00000000" w:rsidRPr="00000000" w14:paraId="0000002C">
      <w:pPr>
        <w:jc w:val="both"/>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 b. Nhà Đầu cơ (Speculator):</w:t>
      </w:r>
    </w:p>
    <w:p w:rsidR="00000000" w:rsidDel="00000000" w:rsidP="00000000" w:rsidRDefault="00000000" w:rsidRPr="00000000" w14:paraId="0000002D">
      <w:pPr>
        <w:jc w:val="both"/>
        <w:rPr/>
      </w:pPr>
      <w:r w:rsidDel="00000000" w:rsidR="00000000" w:rsidRPr="00000000">
        <w:rPr>
          <w:rFonts w:ascii="Times New Roman" w:cs="Times New Roman" w:eastAsia="Times New Roman" w:hAnsi="Times New Roman"/>
          <w:b w:val="0"/>
          <w:bCs w:val="0"/>
          <w:sz w:val="26"/>
          <w:szCs w:val="26"/>
          <w:shd w:fill="auto" w:val="clear"/>
          <w:rtl w:val="0"/>
        </w:rPr>
        <w:t xml:space="preserve">   + Là bên tham gia có mục đích tìm kiếm lợi nhuận từ sự biến động giá</w:t>
      </w:r>
      <w:r w:rsidDel="00000000" w:rsidR="00000000" w:rsidRPr="00000000">
        <w:rPr>
          <w:rtl w:val="0"/>
        </w:rPr>
      </w:r>
    </w:p>
    <w:p w:rsidR="00000000" w:rsidDel="00000000" w:rsidP="00000000" w:rsidRDefault="00000000" w:rsidRPr="00000000" w14:paraId="0000002E">
      <w:pPr>
        <w:jc w:val="both"/>
        <w:rPr/>
      </w:pPr>
      <w:r w:rsidDel="00000000" w:rsidR="00000000" w:rsidRPr="00000000">
        <w:rPr>
          <w:rFonts w:ascii="Times New Roman" w:cs="Times New Roman" w:eastAsia="Times New Roman" w:hAnsi="Times New Roman"/>
          <w:b w:val="0"/>
          <w:bCs w:val="0"/>
          <w:sz w:val="26"/>
          <w:szCs w:val="26"/>
          <w:shd w:fill="auto" w:val="clear"/>
          <w:rtl w:val="0"/>
        </w:rPr>
        <w:t xml:space="preserve">   + Có khả năng kiếm lời khi thị trường có xu hướng tăng hoặc xu hướng giảm</w:t>
      </w:r>
      <w:r w:rsidDel="00000000" w:rsidR="00000000" w:rsidRPr="00000000">
        <w:rPr>
          <w:rtl w:val="0"/>
        </w:rPr>
      </w:r>
    </w:p>
    <w:p w:rsidR="00000000" w:rsidDel="00000000" w:rsidP="00000000" w:rsidRDefault="00000000" w:rsidRPr="00000000" w14:paraId="0000002F">
      <w:pPr>
        <w:jc w:val="both"/>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 Nhà đầu cơ có thể là: Nhà giao dịch cá nhân, quỹ giao dịch, nhà tạo lập thị trường,...</w:t>
      </w:r>
    </w:p>
    <w:p w:rsidR="00000000" w:rsidDel="00000000" w:rsidP="00000000" w:rsidRDefault="00000000" w:rsidRPr="00000000" w14:paraId="00000030">
      <w:pPr>
        <w:jc w:val="both"/>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 c. Nhà đầu tư chênh lệch giá (Arbitrageurs):</w:t>
      </w:r>
    </w:p>
    <w:p w:rsidR="00000000" w:rsidDel="00000000" w:rsidP="00000000" w:rsidRDefault="00000000" w:rsidRPr="00000000" w14:paraId="00000031">
      <w:pPr>
        <w:jc w:val="both"/>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   + Là bên tham gia có mục đích tìm kiếm cơ hội kinh doanh chênh lệch giá bằng cách tạo các giao dịch đồng thời trên các thị trường khác nhau.</w:t>
      </w:r>
    </w:p>
    <w:p w:rsidR="00000000" w:rsidDel="00000000" w:rsidP="00000000" w:rsidRDefault="00000000" w:rsidRPr="00000000" w14:paraId="00000032">
      <w:pPr>
        <w:jc w:val="both"/>
        <w:rPr>
          <w:rFonts w:ascii="Times New Roman" w:cs="Times New Roman" w:eastAsia="Times New Roman" w:hAnsi="Times New Roman"/>
          <w:b w:val="1"/>
          <w:bCs w:val="1"/>
          <w:sz w:val="26"/>
          <w:szCs w:val="26"/>
          <w:shd w:fill="auto" w:val="clear"/>
        </w:rPr>
      </w:pPr>
      <w:r w:rsidDel="00000000" w:rsidR="00000000" w:rsidRPr="00000000">
        <w:rPr>
          <w:rFonts w:ascii="Times New Roman" w:cs="Times New Roman" w:eastAsia="Times New Roman" w:hAnsi="Times New Roman"/>
          <w:b w:val="1"/>
          <w:bCs w:val="1"/>
          <w:sz w:val="26"/>
          <w:szCs w:val="26"/>
          <w:shd w:fill="auto" w:val="clear"/>
          <w:rtl w:val="0"/>
        </w:rPr>
        <w:t xml:space="preserve">6. Nhóm đối tượng tổ chức thị trường bao gồm các đơn vị nào?</w:t>
      </w:r>
    </w:p>
    <w:p w:rsidR="00000000" w:rsidDel="00000000" w:rsidP="00000000" w:rsidRDefault="00000000" w:rsidRPr="00000000" w14:paraId="00000033">
      <w:pPr>
        <w:jc w:val="both"/>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 a. Sở giao dịch hàng hóa</w:t>
      </w:r>
    </w:p>
    <w:p w:rsidR="00000000" w:rsidDel="00000000" w:rsidP="00000000" w:rsidRDefault="00000000" w:rsidRPr="00000000" w14:paraId="00000034">
      <w:pPr>
        <w:jc w:val="both"/>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   + Là một pháp nhân đóng vai trò tổ chức thực thi các quy tắc và thủ tục giao dịch các hợp đồng, hàng hóa được niêm yết.</w:t>
      </w:r>
    </w:p>
    <w:p w:rsidR="00000000" w:rsidDel="00000000" w:rsidP="00000000" w:rsidRDefault="00000000" w:rsidRPr="00000000" w14:paraId="00000035">
      <w:pPr>
        <w:jc w:val="both"/>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 b. Trung tâm thanh toán bù trừ: </w:t>
      </w:r>
    </w:p>
    <w:p w:rsidR="00000000" w:rsidDel="00000000" w:rsidP="00000000" w:rsidRDefault="00000000" w:rsidRPr="00000000" w14:paraId="00000036">
      <w:pPr>
        <w:jc w:val="both"/>
        <w:rPr/>
      </w:pPr>
      <w:r w:rsidDel="00000000" w:rsidR="00000000" w:rsidRPr="00000000">
        <w:rPr>
          <w:rFonts w:ascii="Times New Roman" w:cs="Times New Roman" w:eastAsia="Times New Roman" w:hAnsi="Times New Roman"/>
          <w:b w:val="0"/>
          <w:bCs w:val="0"/>
          <w:sz w:val="26"/>
          <w:szCs w:val="26"/>
          <w:shd w:fill="auto" w:val="clear"/>
          <w:rtl w:val="0"/>
        </w:rPr>
        <w:t xml:space="preserve">   + Là pháp nhân riêng đóng vai trò trung gian giữa người mua mà người bán</w:t>
      </w:r>
      <w:r w:rsidDel="00000000" w:rsidR="00000000" w:rsidRPr="00000000">
        <w:rPr>
          <w:rtl w:val="0"/>
        </w:rPr>
      </w:r>
    </w:p>
    <w:p w:rsidR="00000000" w:rsidDel="00000000" w:rsidP="00000000" w:rsidRDefault="00000000" w:rsidRPr="00000000" w14:paraId="00000037">
      <w:pPr>
        <w:jc w:val="both"/>
        <w:rPr/>
      </w:pPr>
      <w:r w:rsidDel="00000000" w:rsidR="00000000" w:rsidRPr="00000000">
        <w:rPr>
          <w:rFonts w:ascii="Times New Roman" w:cs="Times New Roman" w:eastAsia="Times New Roman" w:hAnsi="Times New Roman"/>
          <w:b w:val="0"/>
          <w:bCs w:val="0"/>
          <w:sz w:val="26"/>
          <w:szCs w:val="26"/>
          <w:shd w:fill="auto" w:val="clear"/>
          <w:rtl w:val="0"/>
        </w:rPr>
        <w:t xml:space="preserve">   + Thực hiện bù trừ và thanh toán các nghĩa vụ tài chính, loại bỏ và giảm thiểu tối đa các rủi ro thanh toán</w:t>
      </w:r>
      <w:r w:rsidDel="00000000" w:rsidR="00000000" w:rsidRPr="00000000">
        <w:rPr>
          <w:rtl w:val="0"/>
        </w:rPr>
      </w:r>
    </w:p>
    <w:p w:rsidR="00000000" w:rsidDel="00000000" w:rsidP="00000000" w:rsidRDefault="00000000" w:rsidRPr="00000000" w14:paraId="00000038">
      <w:pPr>
        <w:jc w:val="both"/>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   + Đánh giá trạng thái theo thời gian thực</w:t>
      </w:r>
    </w:p>
    <w:p w:rsidR="00000000" w:rsidDel="00000000" w:rsidP="00000000" w:rsidRDefault="00000000" w:rsidRPr="00000000" w14:paraId="00000039">
      <w:pPr>
        <w:jc w:val="both"/>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 c. Nhà quản lý thị trường</w:t>
      </w:r>
    </w:p>
    <w:p w:rsidR="00000000" w:rsidDel="00000000" w:rsidP="00000000" w:rsidRDefault="00000000" w:rsidRPr="00000000" w14:paraId="0000003A">
      <w:pPr>
        <w:jc w:val="both"/>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   + Là các cơ quan được thành lập bởi Chính phủ hoặc các tổ chức khác để giám sát các hoạt động thị trường và các công ty tham gia vào hoạt động tài chính</w:t>
      </w:r>
    </w:p>
    <w:p w:rsidR="00000000" w:rsidDel="00000000" w:rsidP="00000000" w:rsidRDefault="00000000" w:rsidRPr="00000000" w14:paraId="0000003B">
      <w:pPr>
        <w:jc w:val="both"/>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 d. Thành viên kinh doanh:</w:t>
      </w:r>
    </w:p>
    <w:p w:rsidR="00000000" w:rsidDel="00000000" w:rsidP="00000000" w:rsidRDefault="00000000" w:rsidRPr="00000000" w14:paraId="0000003C">
      <w:pPr>
        <w:jc w:val="both"/>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  + Thành viên kinh doanh được thực hiện các giao dịch tự doanh và môi giới mua bán hàng hóa qua Sở giao dịch hàng hóa</w:t>
      </w:r>
    </w:p>
    <w:p w:rsidR="00000000" w:rsidDel="00000000" w:rsidP="00000000" w:rsidRDefault="00000000" w:rsidRPr="00000000" w14:paraId="0000003D">
      <w:pPr>
        <w:jc w:val="both"/>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 e. Thành viên môi giới:</w:t>
      </w:r>
    </w:p>
    <w:p w:rsidR="00000000" w:rsidDel="00000000" w:rsidP="00000000" w:rsidRDefault="00000000" w:rsidRPr="00000000" w14:paraId="0000003E">
      <w:pPr>
        <w:jc w:val="both"/>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   + Thành viên môi giới chỉ được thực hiện các giao dịch môi giới hàng hóa qua Sở giao dịch hàng hóa</w:t>
      </w:r>
    </w:p>
    <w:p w:rsidR="00000000" w:rsidDel="00000000" w:rsidP="00000000" w:rsidRDefault="00000000" w:rsidRPr="00000000" w14:paraId="0000003F">
      <w:pPr>
        <w:jc w:val="both"/>
        <w:rPr>
          <w:rFonts w:ascii="Times New Roman" w:cs="Times New Roman" w:eastAsia="Times New Roman" w:hAnsi="Times New Roman"/>
          <w:b w:val="1"/>
          <w:bCs w:val="1"/>
          <w:sz w:val="26"/>
          <w:szCs w:val="26"/>
          <w:shd w:fill="auto" w:val="clear"/>
        </w:rPr>
      </w:pPr>
      <w:r w:rsidDel="00000000" w:rsidR="00000000" w:rsidRPr="00000000">
        <w:rPr>
          <w:rFonts w:ascii="Times New Roman" w:cs="Times New Roman" w:eastAsia="Times New Roman" w:hAnsi="Times New Roman"/>
          <w:b w:val="1"/>
          <w:bCs w:val="1"/>
          <w:sz w:val="26"/>
          <w:szCs w:val="26"/>
          <w:shd w:fill="auto" w:val="clear"/>
          <w:rtl w:val="0"/>
        </w:rPr>
        <w:t xml:space="preserve">7. Hợp đồng đặc biệt </w:t>
      </w:r>
      <w:r w:rsidDel="00000000" w:rsidR="00000000" w:rsidRPr="00000000">
        <w:rPr>
          <w:rFonts w:ascii="Times New Roman" w:cs="Times New Roman" w:eastAsia="Times New Roman" w:hAnsi="Times New Roman"/>
          <w:b w:val="1"/>
          <w:bCs w:val="1"/>
          <w:i w:val="0"/>
          <w:iCs w:val="0"/>
          <w:sz w:val="26"/>
          <w:szCs w:val="26"/>
          <w:shd w:fill="auto" w:val="clear"/>
          <w:rtl w:val="0"/>
        </w:rPr>
        <w:t xml:space="preserve">3-mounth/LME</w:t>
      </w:r>
      <w:r w:rsidDel="00000000" w:rsidR="00000000" w:rsidRPr="00000000">
        <w:rPr>
          <w:rFonts w:ascii="Times New Roman" w:cs="Times New Roman" w:eastAsia="Times New Roman" w:hAnsi="Times New Roman"/>
          <w:b w:val="1"/>
          <w:bCs w:val="1"/>
          <w:sz w:val="26"/>
          <w:szCs w:val="26"/>
          <w:shd w:fill="auto" w:val="clear"/>
          <w:rtl w:val="0"/>
        </w:rPr>
        <w:t xml:space="preserve"> là gì? Khác biệt giữa hợp đồng </w:t>
      </w:r>
      <w:r w:rsidDel="00000000" w:rsidR="00000000" w:rsidRPr="00000000">
        <w:rPr>
          <w:rFonts w:ascii="Times New Roman" w:cs="Times New Roman" w:eastAsia="Times New Roman" w:hAnsi="Times New Roman"/>
          <w:b w:val="1"/>
          <w:bCs w:val="1"/>
          <w:i w:val="0"/>
          <w:iCs w:val="0"/>
          <w:sz w:val="26"/>
          <w:szCs w:val="26"/>
          <w:shd w:fill="auto" w:val="clear"/>
          <w:rtl w:val="0"/>
        </w:rPr>
        <w:t xml:space="preserve">3-mounth/LME</w:t>
      </w:r>
      <w:r w:rsidDel="00000000" w:rsidR="00000000" w:rsidRPr="00000000">
        <w:rPr>
          <w:rFonts w:ascii="Times New Roman" w:cs="Times New Roman" w:eastAsia="Times New Roman" w:hAnsi="Times New Roman"/>
          <w:b w:val="1"/>
          <w:bCs w:val="1"/>
          <w:sz w:val="26"/>
          <w:szCs w:val="26"/>
          <w:shd w:fill="auto" w:val="clear"/>
          <w:rtl w:val="0"/>
        </w:rPr>
        <w:t xml:space="preserve"> và các hợp đồng khác là gì?</w:t>
      </w:r>
    </w:p>
    <w:p w:rsidR="00000000" w:rsidDel="00000000" w:rsidP="00000000" w:rsidRDefault="00000000" w:rsidRPr="00000000" w14:paraId="00000040">
      <w:pPr>
        <w:jc w:val="both"/>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 a. Khái niệm</w:t>
      </w:r>
    </w:p>
    <w:p w:rsidR="00000000" w:rsidDel="00000000" w:rsidP="00000000" w:rsidRDefault="00000000" w:rsidRPr="00000000" w14:paraId="00000041">
      <w:pPr>
        <w:jc w:val="both"/>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   Là hợp đồng kỳ hạn tiêu chuẩn được niêm yết giao dịch hàng ngày. Ngày đáo hạn được xác định là 3 tháng (90 ngày) kể từ ngày hợp đồng được niêm yết và chủ yếu được giao dịch trên nên tảng giao dịch điện tử của LME (LMEselect). </w:t>
      </w:r>
    </w:p>
    <w:p w:rsidR="00000000" w:rsidDel="00000000" w:rsidP="00000000" w:rsidRDefault="00000000" w:rsidRPr="00000000" w14:paraId="00000042">
      <w:pPr>
        <w:jc w:val="both"/>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 b. Khác biệt so với hợp đồng 3M:</w:t>
      </w:r>
    </w:p>
    <w:p w:rsidR="00000000" w:rsidDel="00000000" w:rsidP="00000000" w:rsidRDefault="00000000" w:rsidRPr="00000000" w14:paraId="00000043">
      <w:pPr>
        <w:jc w:val="both"/>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   + Hợp đồng kỳ hạn tháng</w:t>
      </w:r>
    </w:p>
    <w:p w:rsidR="00000000" w:rsidDel="00000000" w:rsidP="00000000" w:rsidRDefault="00000000" w:rsidRPr="00000000" w14:paraId="00000044">
      <w:pPr>
        <w:jc w:val="both"/>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   + Giá realtime</w:t>
      </w:r>
    </w:p>
    <w:p w:rsidR="00000000" w:rsidDel="00000000" w:rsidP="00000000" w:rsidRDefault="00000000" w:rsidRPr="00000000" w14:paraId="00000045">
      <w:pPr>
        <w:jc w:val="both"/>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   + Khách hàng có thể chủ động đặt lệnh qua trading platform, không cần thông qua MXV để đặt lệnh.</w:t>
      </w:r>
    </w:p>
    <w:p w:rsidR="00000000" w:rsidDel="00000000" w:rsidP="00000000" w:rsidRDefault="00000000" w:rsidRPr="00000000" w14:paraId="00000046">
      <w:pPr>
        <w:jc w:val="both"/>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   + Hợp đồng mounthly 3rd Wednesday futures (3W) – đáo hạn vào ngày thứ tư Thứ 3 hàng tháng.</w:t>
      </w:r>
    </w:p>
    <w:p w:rsidR="00000000" w:rsidDel="00000000" w:rsidP="00000000" w:rsidRDefault="00000000" w:rsidRPr="00000000" w14:paraId="00000047">
      <w:pPr>
        <w:jc w:val="both"/>
        <w:rPr>
          <w:rFonts w:ascii="Times New Roman" w:cs="Times New Roman" w:eastAsia="Times New Roman" w:hAnsi="Times New Roman"/>
          <w:b w:val="1"/>
          <w:bCs w:val="1"/>
          <w:sz w:val="26"/>
          <w:szCs w:val="26"/>
          <w:shd w:fill="auto" w:val="clear"/>
        </w:rPr>
      </w:pPr>
      <w:r w:rsidDel="00000000" w:rsidR="00000000" w:rsidRPr="00000000">
        <w:rPr>
          <w:rFonts w:ascii="Times New Roman" w:cs="Times New Roman" w:eastAsia="Times New Roman" w:hAnsi="Times New Roman"/>
          <w:b w:val="1"/>
          <w:bCs w:val="1"/>
          <w:sz w:val="26"/>
          <w:szCs w:val="26"/>
          <w:shd w:fill="auto" w:val="clear"/>
          <w:rtl w:val="0"/>
        </w:rPr>
        <w:t xml:space="preserve">8. Hợp đồng </w:t>
      </w:r>
      <w:r w:rsidDel="00000000" w:rsidR="00000000" w:rsidRPr="00000000">
        <w:rPr>
          <w:rFonts w:ascii="Times New Roman" w:cs="Times New Roman" w:eastAsia="Times New Roman" w:hAnsi="Times New Roman"/>
          <w:b w:val="1"/>
          <w:bCs w:val="1"/>
          <w:i w:val="0"/>
          <w:iCs w:val="0"/>
          <w:sz w:val="26"/>
          <w:szCs w:val="26"/>
          <w:shd w:fill="auto" w:val="clear"/>
          <w:rtl w:val="0"/>
        </w:rPr>
        <w:t xml:space="preserve">3-mounth/LME</w:t>
      </w:r>
      <w:r w:rsidDel="00000000" w:rsidR="00000000" w:rsidRPr="00000000">
        <w:rPr>
          <w:rFonts w:ascii="Times New Roman" w:cs="Times New Roman" w:eastAsia="Times New Roman" w:hAnsi="Times New Roman"/>
          <w:b w:val="1"/>
          <w:bCs w:val="1"/>
          <w:sz w:val="26"/>
          <w:szCs w:val="26"/>
          <w:shd w:fill="auto" w:val="clear"/>
          <w:rtl w:val="0"/>
        </w:rPr>
        <w:t xml:space="preserve"> bao gồm những sản phẩm gì?</w:t>
      </w:r>
    </w:p>
    <w:p w:rsidR="00000000" w:rsidDel="00000000" w:rsidP="00000000" w:rsidRDefault="00000000" w:rsidRPr="00000000" w14:paraId="00000048">
      <w:pPr>
        <w:jc w:val="both"/>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  – Các sản phẩm LME theo kỳ hạn tháng:</w:t>
      </w:r>
    </w:p>
    <w:p w:rsidR="00000000" w:rsidDel="00000000" w:rsidP="00000000" w:rsidRDefault="00000000" w:rsidRPr="00000000" w14:paraId="00000049">
      <w:pPr>
        <w:jc w:val="both"/>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   + Thép cuộn cán nóng FOB Trung Quốc</w:t>
      </w:r>
    </w:p>
    <w:p w:rsidR="00000000" w:rsidDel="00000000" w:rsidP="00000000" w:rsidRDefault="00000000" w:rsidRPr="00000000" w14:paraId="0000004A">
      <w:pPr>
        <w:jc w:val="both"/>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   + Thép thanh vằn FOB Thổ Nhĩ Kỳ</w:t>
      </w:r>
    </w:p>
    <w:p w:rsidR="00000000" w:rsidDel="00000000" w:rsidP="00000000" w:rsidRDefault="00000000" w:rsidRPr="00000000" w14:paraId="0000004B">
      <w:pPr>
        <w:jc w:val="both"/>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   + Thép phế liệu CFR Thổ Nhĩ Kỳ</w:t>
      </w:r>
    </w:p>
    <w:p w:rsidR="00000000" w:rsidDel="00000000" w:rsidP="00000000" w:rsidRDefault="00000000" w:rsidRPr="00000000" w14:paraId="0000004C">
      <w:pPr>
        <w:jc w:val="both"/>
        <w:rPr>
          <w:rFonts w:ascii="Times New Roman" w:cs="Times New Roman" w:eastAsia="Times New Roman" w:hAnsi="Times New Roman"/>
          <w:b w:val="1"/>
          <w:bCs w:val="1"/>
          <w:sz w:val="26"/>
          <w:szCs w:val="26"/>
          <w:shd w:fill="auto" w:val="clear"/>
        </w:rPr>
      </w:pPr>
      <w:r w:rsidDel="00000000" w:rsidR="00000000" w:rsidRPr="00000000">
        <w:rPr>
          <w:rFonts w:ascii="Times New Roman" w:cs="Times New Roman" w:eastAsia="Times New Roman" w:hAnsi="Times New Roman"/>
          <w:b w:val="1"/>
          <w:bCs w:val="1"/>
          <w:sz w:val="26"/>
          <w:szCs w:val="26"/>
          <w:shd w:fill="auto" w:val="clear"/>
          <w:rtl w:val="0"/>
        </w:rPr>
        <w:t xml:space="preserve">9. Lãi/Lỗ dự kiến là gì?</w:t>
      </w:r>
    </w:p>
    <w:p w:rsidR="00000000" w:rsidDel="00000000" w:rsidP="00000000" w:rsidRDefault="00000000" w:rsidRPr="00000000" w14:paraId="0000004D">
      <w:pPr>
        <w:jc w:val="both"/>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 – Lãi/lỗ dự kiến là khoản chênh lệch giữa giá trị các vị thế mở, được xác định theo 2 trường hợp:</w:t>
      </w:r>
    </w:p>
    <w:p w:rsidR="00000000" w:rsidDel="00000000" w:rsidP="00000000" w:rsidRDefault="00000000" w:rsidRPr="00000000" w14:paraId="0000004E">
      <w:pPr>
        <w:jc w:val="both"/>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   + Trong thời gian diễn ra phiên giao dịch: là chênh lệch giá trị giữa các vị thế mở tính theo giá mở vị thế và khớp gần nhất trong ngày giao dịch.</w:t>
      </w:r>
    </w:p>
    <w:p w:rsidR="00000000" w:rsidDel="00000000" w:rsidP="00000000" w:rsidRDefault="00000000" w:rsidRPr="00000000" w14:paraId="0000004F">
      <w:pPr>
        <w:jc w:val="both"/>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   + Khi kết thúc phiên giao dịch hoặc trước khi phiên giao dịch bắt đầu: là chênh lệch giá trị giữa các vị thế mở tính theo giá mở vị thế và giá thanh toán cuối ngày của hợp đồng</w:t>
      </w:r>
    </w:p>
    <w:p w:rsidR="00000000" w:rsidDel="00000000" w:rsidP="00000000" w:rsidRDefault="00000000" w:rsidRPr="00000000" w14:paraId="00000050">
      <w:pPr>
        <w:jc w:val="both"/>
        <w:rPr>
          <w:rFonts w:ascii="Times New Roman" w:cs="Times New Roman" w:eastAsia="Times New Roman" w:hAnsi="Times New Roman"/>
          <w:b w:val="1"/>
          <w:bCs w:val="1"/>
          <w:sz w:val="26"/>
          <w:szCs w:val="26"/>
          <w:shd w:fill="auto" w:val="clear"/>
        </w:rPr>
      </w:pPr>
      <w:r w:rsidDel="00000000" w:rsidR="00000000" w:rsidRPr="00000000">
        <w:rPr>
          <w:rFonts w:ascii="Times New Roman" w:cs="Times New Roman" w:eastAsia="Times New Roman" w:hAnsi="Times New Roman"/>
          <w:b w:val="1"/>
          <w:bCs w:val="1"/>
          <w:sz w:val="26"/>
          <w:szCs w:val="26"/>
          <w:shd w:fill="auto" w:val="clear"/>
          <w:rtl w:val="0"/>
        </w:rPr>
        <w:t xml:space="preserve">10. Lãi/Lỗ thực tế là gì?</w:t>
      </w:r>
    </w:p>
    <w:p w:rsidR="00000000" w:rsidDel="00000000" w:rsidP="00000000" w:rsidRDefault="00000000" w:rsidRPr="00000000" w14:paraId="00000051">
      <w:pPr>
        <w:jc w:val="both"/>
        <w:rPr>
          <w:rFonts w:ascii="Times New Roman" w:cs="Times New Roman" w:eastAsia="Times New Roman" w:hAnsi="Times New Roman"/>
          <w:b w:val="0"/>
          <w:bCs w:val="0"/>
          <w:i w:val="0"/>
          <w:i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 – Lãi/lỗ thực tế là chênh lệch giá trị các vị thế mở, được xác định dựa trên giá mở vị thế và giá tất toán vị thế (giá đóng vị thế thực tế). Đây là khoản lãi hoặc lỗ đã được ghi nhận khi vị thế được đóng.</w:t>
      </w:r>
      <w:r w:rsidDel="00000000" w:rsidR="00000000" w:rsidRPr="00000000">
        <w:rPr>
          <w:rtl w:val="0"/>
        </w:rPr>
      </w:r>
    </w:p>
    <w:p w:rsidR="00000000" w:rsidDel="00000000" w:rsidP="00000000" w:rsidRDefault="00000000" w:rsidRPr="00000000" w14:paraId="00000052">
      <w:pPr>
        <w:jc w:val="both"/>
        <w:rPr>
          <w:rFonts w:ascii="Times New Roman" w:cs="Times New Roman" w:eastAsia="Times New Roman" w:hAnsi="Times New Roman"/>
          <w:b w:val="1"/>
          <w:bCs w:val="1"/>
          <w:sz w:val="26"/>
          <w:szCs w:val="26"/>
          <w:shd w:fill="auto" w:val="clear"/>
        </w:rPr>
      </w:pPr>
      <w:r w:rsidDel="00000000" w:rsidR="00000000" w:rsidRPr="00000000">
        <w:rPr>
          <w:rFonts w:ascii="Times New Roman" w:cs="Times New Roman" w:eastAsia="Times New Roman" w:hAnsi="Times New Roman"/>
          <w:b w:val="1"/>
          <w:bCs w:val="1"/>
          <w:sz w:val="26"/>
          <w:szCs w:val="26"/>
          <w:shd w:fill="auto" w:val="clear"/>
          <w:rtl w:val="0"/>
        </w:rPr>
        <w:t xml:space="preserve">II. KIẾN THỨC CƠ BẢN VỀ PHÂN TÍCH</w:t>
      </w:r>
    </w:p>
    <w:p w:rsidR="00000000" w:rsidDel="00000000" w:rsidP="00000000" w:rsidRDefault="00000000" w:rsidRPr="00000000" w14:paraId="00000053">
      <w:pPr>
        <w:jc w:val="both"/>
        <w:rPr>
          <w:rFonts w:ascii="Times New Roman" w:cs="Times New Roman" w:eastAsia="Times New Roman" w:hAnsi="Times New Roman"/>
          <w:b w:val="1"/>
          <w:bCs w:val="1"/>
          <w:sz w:val="26"/>
          <w:szCs w:val="26"/>
          <w:shd w:fill="auto" w:val="clear"/>
        </w:rPr>
      </w:pPr>
      <w:r w:rsidDel="00000000" w:rsidR="00000000" w:rsidRPr="00000000">
        <w:rPr>
          <w:rFonts w:ascii="Times New Roman" w:cs="Times New Roman" w:eastAsia="Times New Roman" w:hAnsi="Times New Roman"/>
          <w:b w:val="1"/>
          <w:bCs w:val="1"/>
          <w:sz w:val="26"/>
          <w:szCs w:val="26"/>
          <w:rtl w:val="0"/>
        </w:rPr>
        <w:t xml:space="preserve">1. Phân tích kỹ thuật và phân tích cơ bản khác nhau như thế nào?</w:t>
      </w:r>
      <w:r w:rsidDel="00000000" w:rsidR="00000000" w:rsidRPr="00000000">
        <w:rPr>
          <w:rtl w:val="0"/>
        </w:rPr>
      </w:r>
    </w:p>
    <w:tbl>
      <w:tblPr>
        <w:tblStyle w:val="Table2"/>
        <w:tblW w:w="935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A0"/>
      </w:tblPr>
      <w:tblGrid>
        <w:gridCol w:w="2103"/>
        <w:gridCol w:w="3543"/>
        <w:gridCol w:w="3713"/>
        <w:tblGridChange w:id="0">
          <w:tblGrid>
            <w:gridCol w:w="2103"/>
            <w:gridCol w:w="3543"/>
            <w:gridCol w:w="3713"/>
          </w:tblGrid>
        </w:tblGridChange>
      </w:tblGrid>
      <w:tr>
        <w:trPr>
          <w:cantSplit w:val="0"/>
          <w:tblHeader w:val="0"/>
        </w:trPr>
        <w:tc>
          <w:tcPr>
            <w:vAlign w:val="center"/>
          </w:tcPr>
          <w:p w:rsidR="00000000" w:rsidDel="00000000" w:rsidP="00000000" w:rsidRDefault="00000000" w:rsidRPr="00000000" w14:paraId="00000054">
            <w:pPr>
              <w:jc w:val="center"/>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Tiêu chí</w:t>
            </w:r>
          </w:p>
        </w:tc>
        <w:tc>
          <w:tcPr>
            <w:vAlign w:val="center"/>
          </w:tcPr>
          <w:p w:rsidR="00000000" w:rsidDel="00000000" w:rsidP="00000000" w:rsidRDefault="00000000" w:rsidRPr="00000000" w14:paraId="00000055">
            <w:pPr>
              <w:jc w:val="center"/>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Phân tích kỹ thuật</w:t>
            </w:r>
          </w:p>
        </w:tc>
        <w:tc>
          <w:tcPr>
            <w:vAlign w:val="center"/>
          </w:tcPr>
          <w:p w:rsidR="00000000" w:rsidDel="00000000" w:rsidP="00000000" w:rsidRDefault="00000000" w:rsidRPr="00000000" w14:paraId="00000056">
            <w:pPr>
              <w:jc w:val="center"/>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Phân tích cơ bản</w:t>
            </w:r>
          </w:p>
        </w:tc>
      </w:tr>
      <w:tr>
        <w:trPr>
          <w:cantSplit w:val="0"/>
          <w:tblHeader w:val="0"/>
        </w:trPr>
        <w:tc>
          <w:tcPr>
            <w:vAlign w:val="center"/>
          </w:tcPr>
          <w:p w:rsidR="00000000" w:rsidDel="00000000" w:rsidP="00000000" w:rsidRDefault="00000000" w:rsidRPr="00000000" w14:paraId="00000057">
            <w:pPr>
              <w:jc w:val="left"/>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Tập trung vào</w:t>
            </w:r>
          </w:p>
        </w:tc>
        <w:tc>
          <w:tcPr>
            <w:vAlign w:val="center"/>
          </w:tcPr>
          <w:p w:rsidR="00000000" w:rsidDel="00000000" w:rsidP="00000000" w:rsidRDefault="00000000" w:rsidRPr="00000000" w14:paraId="00000058">
            <w:pPr>
              <w:jc w:val="left"/>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Diễn biến giá và khối lượng giao dịch</w:t>
            </w:r>
          </w:p>
        </w:tc>
        <w:tc>
          <w:tcPr>
            <w:vAlign w:val="center"/>
          </w:tcPr>
          <w:p w:rsidR="00000000" w:rsidDel="00000000" w:rsidP="00000000" w:rsidRDefault="00000000" w:rsidRPr="00000000" w14:paraId="00000059">
            <w:pPr>
              <w:jc w:val="left"/>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Cung – cầu và các yếu tố kinh tế ảnh hưởng đến hàng hóa</w:t>
            </w:r>
          </w:p>
        </w:tc>
      </w:tr>
      <w:tr>
        <w:trPr>
          <w:cantSplit w:val="0"/>
          <w:tblHeader w:val="0"/>
        </w:trPr>
        <w:tc>
          <w:tcPr>
            <w:vAlign w:val="center"/>
          </w:tcPr>
          <w:p w:rsidR="00000000" w:rsidDel="00000000" w:rsidP="00000000" w:rsidRDefault="00000000" w:rsidRPr="00000000" w14:paraId="0000005A">
            <w:pPr>
              <w:jc w:val="left"/>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Dữ liệu sử dụng</w:t>
            </w:r>
          </w:p>
        </w:tc>
        <w:tc>
          <w:tcPr>
            <w:vAlign w:val="center"/>
          </w:tcPr>
          <w:p w:rsidR="00000000" w:rsidDel="00000000" w:rsidP="00000000" w:rsidRDefault="00000000" w:rsidRPr="00000000" w14:paraId="0000005B">
            <w:pPr>
              <w:jc w:val="left"/>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Biểu đồ giá, khối lượng, các chỉ báo</w:t>
            </w:r>
          </w:p>
        </w:tc>
        <w:tc>
          <w:tcPr>
            <w:vAlign w:val="center"/>
          </w:tcPr>
          <w:p w:rsidR="00000000" w:rsidDel="00000000" w:rsidP="00000000" w:rsidRDefault="00000000" w:rsidRPr="00000000" w14:paraId="0000005C">
            <w:pPr>
              <w:jc w:val="left"/>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Sản lượng, tồn kho, thời tiết, xuất nhập khẩu, lãi suất, tỷ giá, chính sách,...</w:t>
            </w:r>
          </w:p>
        </w:tc>
      </w:tr>
      <w:tr>
        <w:trPr>
          <w:cantSplit w:val="0"/>
          <w:tblHeader w:val="0"/>
        </w:trPr>
        <w:tc>
          <w:tcPr>
            <w:vAlign w:val="center"/>
          </w:tcPr>
          <w:p w:rsidR="00000000" w:rsidDel="00000000" w:rsidP="00000000" w:rsidRDefault="00000000" w:rsidRPr="00000000" w14:paraId="0000005D">
            <w:pPr>
              <w:jc w:val="left"/>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Công cụ</w:t>
            </w:r>
          </w:p>
        </w:tc>
        <w:tc>
          <w:tcPr>
            <w:vAlign w:val="center"/>
          </w:tcPr>
          <w:p w:rsidR="00000000" w:rsidDel="00000000" w:rsidP="00000000" w:rsidRDefault="00000000" w:rsidRPr="00000000" w14:paraId="0000005E">
            <w:pPr>
              <w:jc w:val="left"/>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MA, RSI, MACD, Bollinger Bands, Fibonacci, Trendline,...</w:t>
            </w:r>
          </w:p>
        </w:tc>
        <w:tc>
          <w:tcPr>
            <w:vAlign w:val="center"/>
          </w:tcPr>
          <w:p w:rsidR="00000000" w:rsidDel="00000000" w:rsidP="00000000" w:rsidRDefault="00000000" w:rsidRPr="00000000" w14:paraId="0000005F">
            <w:pPr>
              <w:jc w:val="left"/>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Báo cáo USDA, WASDE, EIA, OPEC, dữ liệu tồn kho, sản lượng,...</w:t>
            </w:r>
          </w:p>
        </w:tc>
      </w:tr>
      <w:tr>
        <w:trPr>
          <w:cantSplit w:val="0"/>
          <w:tblHeader w:val="0"/>
        </w:trPr>
        <w:tc>
          <w:tcPr>
            <w:vAlign w:val="center"/>
          </w:tcPr>
          <w:p w:rsidR="00000000" w:rsidDel="00000000" w:rsidP="00000000" w:rsidRDefault="00000000" w:rsidRPr="00000000" w14:paraId="00000060">
            <w:pPr>
              <w:jc w:val="left"/>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Mục tiêu chính</w:t>
            </w:r>
          </w:p>
        </w:tc>
        <w:tc>
          <w:tcPr>
            <w:vAlign w:val="center"/>
          </w:tcPr>
          <w:p w:rsidR="00000000" w:rsidDel="00000000" w:rsidP="00000000" w:rsidRDefault="00000000" w:rsidRPr="00000000" w14:paraId="00000061">
            <w:pPr>
              <w:jc w:val="left"/>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Xác định xu hướng, điểm vào/ra và thời điểm giao dịch</w:t>
            </w:r>
          </w:p>
        </w:tc>
        <w:tc>
          <w:tcPr>
            <w:vAlign w:val="center"/>
          </w:tcPr>
          <w:p w:rsidR="00000000" w:rsidDel="00000000" w:rsidP="00000000" w:rsidRDefault="00000000" w:rsidRPr="00000000" w14:paraId="00000062">
            <w:pPr>
              <w:jc w:val="left"/>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Đánh giá triển vọng và các yếu tố có thể tác động đến giá</w:t>
            </w:r>
          </w:p>
        </w:tc>
      </w:tr>
      <w:tr>
        <w:trPr>
          <w:cantSplit w:val="0"/>
          <w:tblHeader w:val="0"/>
        </w:trPr>
        <w:tc>
          <w:tcPr>
            <w:vAlign w:val="center"/>
          </w:tcPr>
          <w:p w:rsidR="00000000" w:rsidDel="00000000" w:rsidP="00000000" w:rsidRDefault="00000000" w:rsidRPr="00000000" w14:paraId="00000063">
            <w:pPr>
              <w:jc w:val="left"/>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Thời gian phù hợp</w:t>
            </w:r>
          </w:p>
        </w:tc>
        <w:tc>
          <w:tcPr>
            <w:vAlign w:val="center"/>
          </w:tcPr>
          <w:p w:rsidR="00000000" w:rsidDel="00000000" w:rsidP="00000000" w:rsidRDefault="00000000" w:rsidRPr="00000000" w14:paraId="00000064">
            <w:pPr>
              <w:jc w:val="left"/>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Thường hữu ích cho ngắn hạn và trung hạn</w:t>
            </w:r>
          </w:p>
        </w:tc>
        <w:tc>
          <w:tcPr>
            <w:vAlign w:val="center"/>
          </w:tcPr>
          <w:p w:rsidR="00000000" w:rsidDel="00000000" w:rsidP="00000000" w:rsidRDefault="00000000" w:rsidRPr="00000000" w14:paraId="00000065">
            <w:pPr>
              <w:jc w:val="left"/>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Thường hữu ích cho trung hạn và dài hạn, nhưng cũng có thể tác động ngắn hạn</w:t>
            </w:r>
          </w:p>
        </w:tc>
      </w:tr>
    </w:tbl>
    <w:p w:rsidR="00000000" w:rsidDel="00000000" w:rsidP="00000000" w:rsidRDefault="00000000" w:rsidRPr="00000000" w14:paraId="00000066">
      <w:pPr>
        <w:jc w:val="both"/>
        <w:rPr>
          <w:rFonts w:ascii="Times New Roman" w:cs="Times New Roman" w:eastAsia="Times New Roman" w:hAnsi="Times New Roman"/>
          <w:b w:val="1"/>
          <w:bCs w:val="1"/>
          <w:sz w:val="26"/>
          <w:szCs w:val="26"/>
          <w:shd w:fill="auto" w:val="clear"/>
        </w:rPr>
      </w:pPr>
      <w:r w:rsidDel="00000000" w:rsidR="00000000" w:rsidRPr="00000000">
        <w:rPr>
          <w:rtl w:val="0"/>
        </w:rPr>
      </w:r>
    </w:p>
    <w:p w:rsidR="00000000" w:rsidDel="00000000" w:rsidP="00000000" w:rsidRDefault="00000000" w:rsidRPr="00000000" w14:paraId="00000067">
      <w:pPr>
        <w:jc w:val="both"/>
        <w:rPr>
          <w:rFonts w:ascii="Times New Roman" w:cs="Times New Roman" w:eastAsia="Times New Roman" w:hAnsi="Times New Roman"/>
          <w:b w:val="1"/>
          <w:bCs w:val="1"/>
          <w:sz w:val="26"/>
          <w:szCs w:val="26"/>
          <w:shd w:fill="auto" w:val="clear"/>
        </w:rPr>
      </w:pPr>
      <w:r w:rsidDel="00000000" w:rsidR="00000000" w:rsidRPr="00000000">
        <w:rPr>
          <w:rFonts w:ascii="Times New Roman" w:cs="Times New Roman" w:eastAsia="Times New Roman" w:hAnsi="Times New Roman"/>
          <w:b w:val="1"/>
          <w:bCs w:val="1"/>
          <w:sz w:val="26"/>
          <w:szCs w:val="26"/>
          <w:rtl w:val="0"/>
        </w:rPr>
        <w:t xml:space="preserve">2. Nên sử dụng phân tích kỹ thuật hay phân tích cơ bản khi giao dịch hàng hóa?</w:t>
      </w:r>
      <w:r w:rsidDel="00000000" w:rsidR="00000000" w:rsidRPr="00000000">
        <w:rPr>
          <w:rtl w:val="0"/>
        </w:rPr>
      </w:r>
    </w:p>
    <w:p w:rsidR="00000000" w:rsidDel="00000000" w:rsidP="00000000" w:rsidRDefault="00000000" w:rsidRPr="00000000" w14:paraId="00000068">
      <w:pPr>
        <w:pBdr>
          <w:top w:color="000000" w:space="0" w:sz="0" w:val="none"/>
          <w:left w:color="000000" w:space="0" w:sz="0" w:val="none"/>
          <w:bottom w:color="000000" w:space="0" w:sz="0" w:val="none"/>
          <w:right w:color="000000" w:space="0" w:sz="0" w:val="none"/>
        </w:pBdr>
        <w:ind w:left="0" w:right="0" w:firstLine="0"/>
        <w:rPr>
          <w:b w:val="0"/>
          <w:bCs w:val="0"/>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Nhà đầu tư nên cân nhắc kết hợp cả phân tích cơ bản và phân tích kỹ thuật thay vì chỉ sử dụng một phương pháp:</w:t>
      </w:r>
      <w:r w:rsidDel="00000000" w:rsidR="00000000" w:rsidRPr="00000000">
        <w:rPr>
          <w:rtl w:val="0"/>
        </w:rPr>
      </w:r>
    </w:p>
    <w:p w:rsidR="00000000" w:rsidDel="00000000" w:rsidP="00000000" w:rsidRDefault="00000000" w:rsidRPr="00000000" w14:paraId="00000069">
      <w:pPr>
        <w:pBdr>
          <w:top w:color="000000" w:space="0" w:sz="0" w:val="none"/>
          <w:left w:color="000000" w:space="0" w:sz="0" w:val="none"/>
          <w:bottom w:color="000000" w:space="0" w:sz="0" w:val="none"/>
          <w:right w:color="000000" w:space="0" w:sz="0" w:val="none"/>
        </w:pBdr>
        <w:ind w:left="0" w:right="0" w:firstLine="0"/>
        <w:rPr>
          <w:b w:val="0"/>
          <w:bCs w:val="0"/>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 – Phân tích cơ bản giúp đánh giá bối cảnh và động lực của thị trường, thông qua các yếu tố như cung – cầu, tồn kho, sản lượng, thời tiết, mùa vụ, xuất nhập khẩu, lãi suất, tỷ giá, chính sách và các báo cáo chuyên ngành. </w:t>
      </w:r>
      <w:r w:rsidDel="00000000" w:rsidR="00000000" w:rsidRPr="00000000">
        <w:rPr>
          <w:rtl w:val="0"/>
        </w:rPr>
      </w:r>
    </w:p>
    <w:p w:rsidR="00000000" w:rsidDel="00000000" w:rsidP="00000000" w:rsidRDefault="00000000" w:rsidRPr="00000000" w14:paraId="0000006A">
      <w:pPr>
        <w:pBdr>
          <w:top w:color="000000" w:space="0" w:sz="0" w:val="none"/>
          <w:left w:color="000000" w:space="0" w:sz="0" w:val="none"/>
          <w:bottom w:color="000000" w:space="0" w:sz="0" w:val="none"/>
          <w:right w:color="000000" w:space="0" w:sz="0" w:val="none"/>
        </w:pBdr>
        <w:ind w:left="0" w:right="0" w:firstLine="0"/>
        <w:rPr>
          <w:b w:val="0"/>
          <w:bCs w:val="0"/>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 – Phân tích kỹ thuật giúp đánh giá diễn biến giá và thời điểm giao dịch, thông qua xu hướng, vùng hỗ trợ/kháng cự, mô hình giá, khối lượng và các chỉ báo như MA, RSI, MACD, Bollinger Bands...</w:t>
      </w:r>
      <w:r w:rsidDel="00000000" w:rsidR="00000000" w:rsidRPr="00000000">
        <w:rPr>
          <w:rtl w:val="0"/>
        </w:rPr>
      </w:r>
    </w:p>
    <w:p w:rsidR="00000000" w:rsidDel="00000000" w:rsidP="00000000" w:rsidRDefault="00000000" w:rsidRPr="00000000" w14:paraId="0000006B">
      <w:pPr>
        <w:jc w:val="both"/>
        <w:rPr>
          <w:rFonts w:ascii="Times New Roman" w:cs="Times New Roman" w:eastAsia="Times New Roman" w:hAnsi="Times New Roman"/>
          <w:b w:val="1"/>
          <w:bCs w:val="1"/>
          <w:sz w:val="26"/>
          <w:szCs w:val="26"/>
          <w:shd w:fill="auto" w:val="clear"/>
        </w:rPr>
      </w:pPr>
      <w:r w:rsidDel="00000000" w:rsidR="00000000" w:rsidRPr="00000000">
        <w:rPr>
          <w:rFonts w:ascii="Times New Roman" w:cs="Times New Roman" w:eastAsia="Times New Roman" w:hAnsi="Times New Roman"/>
          <w:b w:val="1"/>
          <w:bCs w:val="1"/>
          <w:sz w:val="26"/>
          <w:szCs w:val="26"/>
          <w:shd w:fill="auto" w:val="clear"/>
          <w:rtl w:val="0"/>
        </w:rPr>
        <w:t xml:space="preserve">3. Tôi có thể xem các báo cáo phân tích ở đâu?</w:t>
      </w:r>
    </w:p>
    <w:p w:rsidR="00000000" w:rsidDel="00000000" w:rsidP="00000000" w:rsidRDefault="00000000" w:rsidRPr="00000000" w14:paraId="0000006C">
      <w:pPr>
        <w:jc w:val="left"/>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 Khách hàng có thể tham khảo một số các báo cáo phân tích trên website:dongdopartners.com</w:t>
      </w:r>
    </w:p>
    <w:p w:rsidR="00000000" w:rsidDel="00000000" w:rsidP="00000000" w:rsidRDefault="00000000" w:rsidRPr="00000000" w14:paraId="0000006D">
      <w:pPr>
        <w:jc w:val="left"/>
        <w:rPr>
          <w:rFonts w:ascii="Times New Roman" w:cs="Times New Roman" w:eastAsia="Times New Roman" w:hAnsi="Times New Roman"/>
          <w:b w:val="1"/>
          <w:bCs w:val="1"/>
          <w:sz w:val="26"/>
          <w:szCs w:val="26"/>
          <w:shd w:fill="auto" w:val="clear"/>
        </w:rPr>
      </w:pPr>
      <w:r w:rsidDel="00000000" w:rsidR="00000000" w:rsidRPr="00000000">
        <w:rPr>
          <w:rFonts w:ascii="Times New Roman" w:cs="Times New Roman" w:eastAsia="Times New Roman" w:hAnsi="Times New Roman"/>
          <w:b w:val="1"/>
          <w:bCs w:val="1"/>
          <w:sz w:val="26"/>
          <w:szCs w:val="26"/>
          <w:shd w:fill="auto" w:val="clear"/>
          <w:rtl w:val="0"/>
        </w:rPr>
        <w:t xml:space="preserve">4. Các báo cáo do Đông Đô Partners cung cấp theo các mốc thời gian nào?</w:t>
      </w:r>
    </w:p>
    <w:p w:rsidR="00000000" w:rsidDel="00000000" w:rsidP="00000000" w:rsidRDefault="00000000" w:rsidRPr="00000000" w14:paraId="0000006E">
      <w:pPr>
        <w:jc w:val="left"/>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 Đông Đô Partners cung cấp đến khách hàng các chỉ báo 24/7 về biến động giá và khuyến nghị đầu tư; các báo cáo tuần, tháng, quý và năm giúp cung cấp các thông tin tổng quan tuần, phân tích thay đổi từng loại theo ngắn hạn, nhận định các biến động vĩ mô và dòng chảy thế giới.</w:t>
      </w:r>
    </w:p>
    <w:p w:rsidR="00000000" w:rsidDel="00000000" w:rsidP="00000000" w:rsidRDefault="00000000" w:rsidRPr="00000000" w14:paraId="0000006F">
      <w:pPr>
        <w:jc w:val="left"/>
        <w:rPr>
          <w:rFonts w:ascii="Times New Roman" w:cs="Times New Roman" w:eastAsia="Times New Roman" w:hAnsi="Times New Roman"/>
          <w:b w:val="1"/>
          <w:bCs w:val="1"/>
          <w:sz w:val="26"/>
          <w:szCs w:val="26"/>
          <w:shd w:fill="auto" w:val="clear"/>
        </w:rPr>
      </w:pPr>
      <w:r w:rsidDel="00000000" w:rsidR="00000000" w:rsidRPr="00000000">
        <w:rPr>
          <w:rFonts w:ascii="Times New Roman" w:cs="Times New Roman" w:eastAsia="Times New Roman" w:hAnsi="Times New Roman"/>
          <w:b w:val="1"/>
          <w:bCs w:val="1"/>
          <w:sz w:val="26"/>
          <w:szCs w:val="26"/>
          <w:shd w:fill="auto" w:val="clear"/>
          <w:rtl w:val="0"/>
        </w:rPr>
        <w:t xml:space="preserve">5. Nhà đầu tư nên sử dụng những công cụ phân tích kỹ thuật nào để hỗ trợ đặt lệnh giao dịch?</w:t>
      </w:r>
    </w:p>
    <w:p w:rsidR="00000000" w:rsidDel="00000000" w:rsidP="00000000" w:rsidRDefault="00000000" w:rsidRPr="00000000" w14:paraId="00000070">
      <w:pPr>
        <w:jc w:val="left"/>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sz w:val="26"/>
          <w:szCs w:val="26"/>
          <w:rtl w:val="0"/>
        </w:rPr>
        <w:t xml:space="preserve"> Nhà đầu tư có thể kết hợp nhiều công cụ phân tích kỹ thuật để xác định xu hướng, điểm vào lệnh, điểm chốt lời và mức cắt lỗ. Một số công cụ phổ biến gồm: đường trung bình động (MA/EMA), RSI, MACD, Bollinger Bands, Stochastic Oscillator, khối lượng giao dịch (Volume), đường hỗ trợ/kháng cự và các mô hình nến, mô hình giá. Việc kết hợp nhiều phương pháp phân tích cùng với quản trị rủi ro phù hợp có thể hỗ trợ nhà đầu tư đưa ra quyết định giao dịch hiệu quả hơn.</w:t>
      </w:r>
      <w:r w:rsidDel="00000000" w:rsidR="00000000" w:rsidRPr="00000000">
        <w:rPr>
          <w:rtl w:val="0"/>
        </w:rPr>
      </w:r>
    </w:p>
    <w:p w:rsidR="00000000" w:rsidDel="00000000" w:rsidP="00000000" w:rsidRDefault="00000000" w:rsidRPr="00000000" w14:paraId="00000071">
      <w:pPr>
        <w:jc w:val="left"/>
        <w:rPr>
          <w:rFonts w:ascii="Times New Roman" w:cs="Times New Roman" w:eastAsia="Times New Roman" w:hAnsi="Times New Roman"/>
          <w:b w:val="1"/>
          <w:bCs w:val="1"/>
          <w:sz w:val="26"/>
          <w:szCs w:val="26"/>
          <w:shd w:fill="auto" w:val="clear"/>
        </w:rPr>
      </w:pPr>
      <w:r w:rsidDel="00000000" w:rsidR="00000000" w:rsidRPr="00000000">
        <w:rPr>
          <w:rFonts w:ascii="Times New Roman" w:cs="Times New Roman" w:eastAsia="Times New Roman" w:hAnsi="Times New Roman"/>
          <w:b w:val="1"/>
          <w:bCs w:val="1"/>
          <w:sz w:val="26"/>
          <w:szCs w:val="26"/>
          <w:shd w:fill="auto" w:val="clear"/>
          <w:rtl w:val="0"/>
        </w:rPr>
        <w:t xml:space="preserve">6. </w:t>
      </w:r>
      <w:r w:rsidDel="00000000" w:rsidR="00000000" w:rsidRPr="00000000">
        <w:rPr>
          <w:rFonts w:ascii="Times New Roman" w:cs="Times New Roman" w:eastAsia="Times New Roman" w:hAnsi="Times New Roman"/>
          <w:b w:val="1"/>
          <w:bCs w:val="1"/>
          <w:sz w:val="26"/>
          <w:szCs w:val="26"/>
          <w:rtl w:val="0"/>
        </w:rPr>
        <w:t xml:space="preserve">Biểu đồ giá là gì và có những loại biểu đồ nào?  </w:t>
      </w:r>
      <w:r w:rsidDel="00000000" w:rsidR="00000000" w:rsidRPr="00000000">
        <w:rPr>
          <w:rtl w:val="0"/>
        </w:rPr>
      </w:r>
    </w:p>
    <w:p w:rsidR="00000000" w:rsidDel="00000000" w:rsidP="00000000" w:rsidRDefault="00000000" w:rsidRPr="00000000" w14:paraId="00000072">
      <w:pPr>
        <w:jc w:val="left"/>
        <w:rPr>
          <w:rFonts w:ascii="Times New Roman" w:cs="Times New Roman" w:eastAsia="Times New Roman" w:hAnsi="Times New Roman"/>
          <w:b w:val="0"/>
          <w:bCs w:val="0"/>
          <w:color w:val="000000"/>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a. Khái niệm</w:t>
      </w:r>
    </w:p>
    <w:p w:rsidR="00000000" w:rsidDel="00000000" w:rsidP="00000000" w:rsidRDefault="00000000" w:rsidRPr="00000000" w14:paraId="00000073">
      <w:pPr>
        <w:jc w:val="left"/>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color w:val="000000"/>
          <w:sz w:val="26"/>
          <w:szCs w:val="26"/>
          <w:rtl w:val="0"/>
        </w:rPr>
        <w:t xml:space="preserve"> Biểu đồ giá là công cụ trực quan dùng để thể hiện diễn biến giá của một sản phẩm hàng hóa theo thời gian. Thông qua biểu đồ, nhà đầu tư có thể quan sát xu hướng tăng, giảm hoặc đi ngang của giá, đồng thời phân tích các vùng hỗ trợ, kháng cự, mô hình giá và các tín hiệu kỹ thuật để hỗ trợ quyết định giao dịch.</w:t>
      </w:r>
      <w:r w:rsidDel="00000000" w:rsidR="00000000" w:rsidRPr="00000000">
        <w:rPr>
          <w:rtl w:val="0"/>
        </w:rPr>
      </w:r>
    </w:p>
    <w:p w:rsidR="00000000" w:rsidDel="00000000" w:rsidP="00000000" w:rsidRDefault="00000000" w:rsidRPr="00000000" w14:paraId="00000074">
      <w:pPr>
        <w:jc w:val="left"/>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b. Các loại biểu đồ giá</w:t>
      </w:r>
    </w:p>
    <w:p w:rsidR="00000000" w:rsidDel="00000000" w:rsidP="00000000" w:rsidRDefault="00000000" w:rsidRPr="00000000" w14:paraId="00000075">
      <w:pPr>
        <w:jc w:val="left"/>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 – Biểu đồ thanh</w:t>
      </w:r>
    </w:p>
    <w:p w:rsidR="00000000" w:rsidDel="00000000" w:rsidP="00000000" w:rsidRDefault="00000000" w:rsidRPr="00000000" w14:paraId="00000076">
      <w:pPr>
        <w:jc w:val="left"/>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 – Biểu đồ nến</w:t>
      </w:r>
    </w:p>
    <w:p w:rsidR="00000000" w:rsidDel="00000000" w:rsidP="00000000" w:rsidRDefault="00000000" w:rsidRPr="00000000" w14:paraId="00000077">
      <w:pPr>
        <w:jc w:val="left"/>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 – Biểu đồ Hollow</w:t>
      </w:r>
    </w:p>
    <w:p w:rsidR="00000000" w:rsidDel="00000000" w:rsidP="00000000" w:rsidRDefault="00000000" w:rsidRPr="00000000" w14:paraId="00000078">
      <w:pPr>
        <w:jc w:val="left"/>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 – Biểu đồ đường thẳng</w:t>
      </w:r>
    </w:p>
    <w:p w:rsidR="00000000" w:rsidDel="00000000" w:rsidP="00000000" w:rsidRDefault="00000000" w:rsidRPr="00000000" w14:paraId="00000079">
      <w:pPr>
        <w:jc w:val="left"/>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 – Biểu đồ đường thẳng có điểm đánh dấu</w:t>
      </w:r>
    </w:p>
    <w:p w:rsidR="00000000" w:rsidDel="00000000" w:rsidP="00000000" w:rsidRDefault="00000000" w:rsidRPr="00000000" w14:paraId="0000007A">
      <w:pPr>
        <w:jc w:val="left"/>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 – Biểu đồ đường bậc</w:t>
      </w:r>
    </w:p>
    <w:p w:rsidR="00000000" w:rsidDel="00000000" w:rsidP="00000000" w:rsidRDefault="00000000" w:rsidRPr="00000000" w14:paraId="0000007B">
      <w:pPr>
        <w:jc w:val="left"/>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 – Biểu đồ vùng</w:t>
      </w:r>
    </w:p>
    <w:p w:rsidR="00000000" w:rsidDel="00000000" w:rsidP="00000000" w:rsidRDefault="00000000" w:rsidRPr="00000000" w14:paraId="0000007C">
      <w:pPr>
        <w:jc w:val="left"/>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 – Biểu đồ vùng HLC</w:t>
      </w:r>
    </w:p>
    <w:p w:rsidR="00000000" w:rsidDel="00000000" w:rsidP="00000000" w:rsidRDefault="00000000" w:rsidRPr="00000000" w14:paraId="0000007D">
      <w:pPr>
        <w:jc w:val="left"/>
        <w:rPr>
          <w:rFonts w:ascii="Times New Roman" w:cs="Times New Roman" w:eastAsia="Times New Roman" w:hAnsi="Times New Roman"/>
          <w:b w:val="1"/>
          <w:bCs w:val="1"/>
          <w:sz w:val="26"/>
          <w:szCs w:val="26"/>
          <w:shd w:fill="auto" w:val="clear"/>
        </w:rPr>
      </w:pPr>
      <w:r w:rsidDel="00000000" w:rsidR="00000000" w:rsidRPr="00000000">
        <w:rPr>
          <w:rFonts w:ascii="Times New Roman" w:cs="Times New Roman" w:eastAsia="Times New Roman" w:hAnsi="Times New Roman"/>
          <w:b w:val="1"/>
          <w:bCs w:val="1"/>
          <w:sz w:val="26"/>
          <w:szCs w:val="26"/>
          <w:shd w:fill="auto" w:val="clear"/>
          <w:rtl w:val="0"/>
        </w:rPr>
        <w:t xml:space="preserve">7. Loại biểu đồ nào được sử dụng phổ biến nhất trong phân tích kỹ thuật?</w:t>
      </w:r>
    </w:p>
    <w:p w:rsidR="00000000" w:rsidDel="00000000" w:rsidP="00000000" w:rsidRDefault="00000000" w:rsidRPr="00000000" w14:paraId="0000007E">
      <w:pPr>
        <w:jc w:val="left"/>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 </w:t>
      </w:r>
      <w:r w:rsidDel="00000000" w:rsidR="00000000" w:rsidRPr="00000000">
        <w:rPr>
          <w:rFonts w:ascii="Times New Roman" w:cs="Times New Roman" w:eastAsia="Times New Roman" w:hAnsi="Times New Roman"/>
          <w:b w:val="0"/>
          <w:bCs w:val="0"/>
          <w:color w:val="000000"/>
          <w:sz w:val="26"/>
          <w:szCs w:val="26"/>
          <w:rtl w:val="0"/>
        </w:rPr>
        <w:t xml:space="preserve">Biểu đồ nến (Candlestick) là loại biểu đồ được sử dụng phổ biến trong phân tích kỹ thuật. Biểu đồ nến cung cấp đầy đủ thông tin về giá mở cửa, giá cao nhất, giá thấp nhất và giá đóng cửa trong từng khoảng thời gian. Nhờ đó, nhà giao dịch có thể dễ dàng quan sát xu hướng, mức độ biến động và nhận diện các mô hình nến có thể hỗ trợ đưa ra quyết định giao dịch.</w:t>
      </w:r>
      <w:r w:rsidDel="00000000" w:rsidR="00000000" w:rsidRPr="00000000">
        <w:rPr>
          <w:rtl w:val="0"/>
        </w:rPr>
      </w:r>
    </w:p>
    <w:p w:rsidR="00000000" w:rsidDel="00000000" w:rsidP="00000000" w:rsidRDefault="00000000" w:rsidRPr="00000000" w14:paraId="0000007F">
      <w:pPr>
        <w:jc w:val="both"/>
        <w:rPr>
          <w:rFonts w:ascii="Times New Roman" w:cs="Times New Roman" w:eastAsia="Times New Roman" w:hAnsi="Times New Roman"/>
          <w:b w:val="1"/>
          <w:bCs w:val="1"/>
          <w:sz w:val="26"/>
          <w:szCs w:val="26"/>
          <w:shd w:fill="auto" w:val="clear"/>
        </w:rPr>
      </w:pPr>
      <w:r w:rsidDel="00000000" w:rsidR="00000000" w:rsidRPr="00000000">
        <w:rPr>
          <w:rFonts w:ascii="Times New Roman" w:cs="Times New Roman" w:eastAsia="Times New Roman" w:hAnsi="Times New Roman"/>
          <w:b w:val="1"/>
          <w:bCs w:val="1"/>
          <w:sz w:val="26"/>
          <w:szCs w:val="26"/>
          <w:shd w:fill="auto" w:val="clear"/>
          <w:rtl w:val="0"/>
        </w:rPr>
        <w:t xml:space="preserve">III. HƯỚNG DẪN SỬ DỤNG</w:t>
      </w:r>
    </w:p>
    <w:p w:rsidR="00000000" w:rsidDel="00000000" w:rsidP="00000000" w:rsidRDefault="00000000" w:rsidRPr="00000000" w14:paraId="00000080">
      <w:pPr>
        <w:jc w:val="both"/>
        <w:rPr>
          <w:rFonts w:ascii="Times New Roman" w:cs="Times New Roman" w:eastAsia="Times New Roman" w:hAnsi="Times New Roman"/>
          <w:b w:val="1"/>
          <w:bCs w:val="1"/>
          <w:sz w:val="26"/>
          <w:szCs w:val="26"/>
          <w:shd w:fill="auto" w:val="clear"/>
        </w:rPr>
      </w:pPr>
      <w:r w:rsidDel="00000000" w:rsidR="00000000" w:rsidRPr="00000000">
        <w:rPr>
          <w:rFonts w:ascii="Times New Roman" w:cs="Times New Roman" w:eastAsia="Times New Roman" w:hAnsi="Times New Roman"/>
          <w:b w:val="1"/>
          <w:bCs w:val="1"/>
          <w:sz w:val="26"/>
          <w:szCs w:val="26"/>
          <w:shd w:fill="auto" w:val="clear"/>
          <w:rtl w:val="0"/>
        </w:rPr>
        <w:t xml:space="preserve">1. Tôi không có email, có thể gửi các thông tin về số điện thoại của tôi được không?</w:t>
      </w:r>
    </w:p>
    <w:p w:rsidR="00000000" w:rsidDel="00000000" w:rsidP="00000000" w:rsidRDefault="00000000" w:rsidRPr="00000000" w14:paraId="00000081">
      <w:pPr>
        <w:jc w:val="both"/>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  Để đảm bảo an toàn thông tin tài khoản khách hàng, hiện tại Đông Đô Partners sẽ gửi các thông tin: số tài khoản ,mật khẩu, mã PIN và các thông báo liên quan đến giao dịch tài khoản qua email. Khách hàng có thể mở email mới sử dụng để thuận tiện nhận các thông tin từ Đông Đô Partners.</w:t>
      </w:r>
    </w:p>
    <w:p w:rsidR="00000000" w:rsidDel="00000000" w:rsidP="00000000" w:rsidRDefault="00000000" w:rsidRPr="00000000" w14:paraId="00000082">
      <w:pPr>
        <w:jc w:val="both"/>
        <w:rPr>
          <w:rFonts w:ascii="Times New Roman" w:cs="Times New Roman" w:eastAsia="Times New Roman" w:hAnsi="Times New Roman"/>
          <w:b w:val="1"/>
          <w:bCs w:val="1"/>
          <w:sz w:val="26"/>
          <w:szCs w:val="26"/>
          <w:shd w:fill="auto" w:val="clear"/>
        </w:rPr>
      </w:pPr>
      <w:r w:rsidDel="00000000" w:rsidR="00000000" w:rsidRPr="00000000">
        <w:rPr>
          <w:rFonts w:ascii="Times New Roman" w:cs="Times New Roman" w:eastAsia="Times New Roman" w:hAnsi="Times New Roman"/>
          <w:b w:val="1"/>
          <w:bCs w:val="1"/>
          <w:sz w:val="26"/>
          <w:szCs w:val="26"/>
          <w:shd w:fill="auto" w:val="clear"/>
          <w:rtl w:val="0"/>
        </w:rPr>
        <w:t xml:space="preserve">2. Tôi đã có tài khoản tại Đông Đô Partners. Nếu CCCD của tôi hết hạn thì tôi có giao dịch được trên DDP Invest được không?</w:t>
      </w:r>
    </w:p>
    <w:p w:rsidR="00000000" w:rsidDel="00000000" w:rsidP="00000000" w:rsidRDefault="00000000" w:rsidRPr="00000000" w14:paraId="00000083">
      <w:pPr>
        <w:jc w:val="both"/>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 </w:t>
      </w:r>
      <w:r w:rsidDel="00000000" w:rsidR="00000000" w:rsidRPr="00000000">
        <w:rPr>
          <w:rFonts w:ascii="Times New Roman" w:cs="Times New Roman" w:eastAsia="Times New Roman" w:hAnsi="Times New Roman"/>
          <w:sz w:val="26"/>
          <w:szCs w:val="26"/>
          <w:rtl w:val="0"/>
        </w:rPr>
        <w:t xml:space="preserve">Hiện tại, Đông Đô Partners vẫn hỗ trợ tối ưu đối với các khách hàng có nhu cầu giao dịch trên DDP Invest nên chưa áp dụng quy định xử lý đối với tài khoản khách hàng trong trường hợp CCCD hết hạn. Tuy nhiên, để đảm bảo tài khoản được hoạt động thuận lợi và thông tin khách hàng luôn được cập nhật đầy đủ, khách hàng nên chủ động cập nhật CCCD mới khi giấy tờ cũ hết hạn.</w:t>
      </w:r>
      <w:r w:rsidDel="00000000" w:rsidR="00000000" w:rsidRPr="00000000">
        <w:rPr>
          <w:rtl w:val="0"/>
        </w:rPr>
      </w:r>
    </w:p>
    <w:p w:rsidR="00000000" w:rsidDel="00000000" w:rsidP="00000000" w:rsidRDefault="00000000" w:rsidRPr="00000000" w14:paraId="00000084">
      <w:pPr>
        <w:tabs>
          <w:tab w:val="center" w:leader="none" w:pos="4680"/>
        </w:tabs>
        <w:jc w:val="both"/>
        <w:rPr>
          <w:rFonts w:ascii="Times New Roman" w:cs="Times New Roman" w:eastAsia="Times New Roman" w:hAnsi="Times New Roman"/>
          <w:b w:val="1"/>
          <w:bCs w:val="1"/>
          <w:sz w:val="26"/>
          <w:szCs w:val="26"/>
          <w:shd w:fill="auto" w:val="clear"/>
        </w:rPr>
      </w:pPr>
      <w:r w:rsidDel="00000000" w:rsidR="00000000" w:rsidRPr="00000000">
        <w:rPr>
          <w:rFonts w:ascii="Times New Roman" w:cs="Times New Roman" w:eastAsia="Times New Roman" w:hAnsi="Times New Roman"/>
          <w:b w:val="1"/>
          <w:bCs w:val="1"/>
          <w:sz w:val="26"/>
          <w:szCs w:val="26"/>
          <w:shd w:fill="auto" w:val="clear"/>
          <w:rtl w:val="0"/>
        </w:rPr>
        <w:t xml:space="preserve">3. Ba tiểu khoản tại DDP Invest có gì khác nhau?</w:t>
      </w:r>
    </w:p>
    <w:tbl>
      <w:tblPr>
        <w:tblStyle w:val="Table3"/>
        <w:tblW w:w="933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A0"/>
      </w:tblPr>
      <w:tblGrid>
        <w:gridCol w:w="1536"/>
        <w:gridCol w:w="2126"/>
        <w:gridCol w:w="2268"/>
        <w:gridCol w:w="3402"/>
        <w:tblGridChange w:id="0">
          <w:tblGrid>
            <w:gridCol w:w="1536"/>
            <w:gridCol w:w="2126"/>
            <w:gridCol w:w="2268"/>
            <w:gridCol w:w="3402"/>
          </w:tblGrid>
        </w:tblGridChange>
      </w:tblGrid>
      <w:tr>
        <w:trPr>
          <w:cantSplit w:val="0"/>
          <w:tblHeader w:val="0"/>
        </w:trPr>
        <w:tc>
          <w:tcPr/>
          <w:p w:rsidR="00000000" w:rsidDel="00000000" w:rsidP="00000000" w:rsidRDefault="00000000" w:rsidRPr="00000000" w14:paraId="00000085">
            <w:pPr>
              <w:jc w:val="center"/>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Tiểu khoản</w:t>
            </w:r>
          </w:p>
        </w:tc>
        <w:tc>
          <w:tcPr/>
          <w:p w:rsidR="00000000" w:rsidDel="00000000" w:rsidP="00000000" w:rsidRDefault="00000000" w:rsidRPr="00000000" w14:paraId="00000086">
            <w:pPr>
              <w:jc w:val="center"/>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Định dạng mã tiểu khoản</w:t>
            </w:r>
          </w:p>
        </w:tc>
        <w:tc>
          <w:tcPr/>
          <w:p w:rsidR="00000000" w:rsidDel="00000000" w:rsidP="00000000" w:rsidRDefault="00000000" w:rsidRPr="00000000" w14:paraId="00000087">
            <w:pPr>
              <w:jc w:val="center"/>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Thị trường áp dụng</w:t>
            </w:r>
          </w:p>
        </w:tc>
        <w:tc>
          <w:tcPr/>
          <w:p w:rsidR="00000000" w:rsidDel="00000000" w:rsidP="00000000" w:rsidRDefault="00000000" w:rsidRPr="00000000" w14:paraId="00000088">
            <w:pPr>
              <w:jc w:val="center"/>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Mục đích và chức năng</w:t>
            </w:r>
          </w:p>
        </w:tc>
      </w:tr>
      <w:tr>
        <w:trPr>
          <w:cantSplit w:val="0"/>
          <w:tblHeader w:val="0"/>
        </w:trPr>
        <w:tc>
          <w:tcPr/>
          <w:p w:rsidR="00000000" w:rsidDel="00000000" w:rsidP="00000000" w:rsidRDefault="00000000" w:rsidRPr="00000000" w14:paraId="00000089">
            <w:pPr>
              <w:jc w:val="left"/>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Tiểu khoản MXV</w:t>
            </w:r>
          </w:p>
        </w:tc>
        <w:tc>
          <w:tcPr/>
          <w:p w:rsidR="00000000" w:rsidDel="00000000" w:rsidP="00000000" w:rsidRDefault="00000000" w:rsidRPr="00000000" w14:paraId="0000008A">
            <w:pPr>
              <w:jc w:val="left"/>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712Cxxxxxxx-M</w:t>
            </w:r>
          </w:p>
        </w:tc>
        <w:tc>
          <w:tcPr/>
          <w:p w:rsidR="00000000" w:rsidDel="00000000" w:rsidP="00000000" w:rsidRDefault="00000000" w:rsidRPr="00000000" w14:paraId="0000008B">
            <w:pPr>
              <w:jc w:val="left"/>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Sở giao dịch hàng hóa Việt Nam</w:t>
            </w:r>
          </w:p>
        </w:tc>
        <w:tc>
          <w:tcPr/>
          <w:p w:rsidR="00000000" w:rsidDel="00000000" w:rsidP="00000000" w:rsidRDefault="00000000" w:rsidRPr="00000000" w14:paraId="0000008C">
            <w:pPr>
              <w:jc w:val="left"/>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Giao dịch các hợp đồng tương lai hàng hóa chuẩn hóa được cấp phép bới MXV</w:t>
            </w:r>
          </w:p>
        </w:tc>
      </w:tr>
      <w:tr>
        <w:trPr>
          <w:cantSplit w:val="0"/>
          <w:tblHeader w:val="0"/>
        </w:trPr>
        <w:tc>
          <w:tcPr/>
          <w:p w:rsidR="00000000" w:rsidDel="00000000" w:rsidP="00000000" w:rsidRDefault="00000000" w:rsidRPr="00000000" w14:paraId="0000008D">
            <w:pPr>
              <w:jc w:val="left"/>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Tiểu khoản FUTURE</w:t>
            </w:r>
          </w:p>
        </w:tc>
        <w:tc>
          <w:tcPr/>
          <w:p w:rsidR="00000000" w:rsidDel="00000000" w:rsidP="00000000" w:rsidRDefault="00000000" w:rsidRPr="00000000" w14:paraId="0000008E">
            <w:pPr>
              <w:jc w:val="left"/>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712Cxxxxxxx</w:t>
            </w:r>
          </w:p>
        </w:tc>
        <w:tc>
          <w:tcPr/>
          <w:p w:rsidR="00000000" w:rsidDel="00000000" w:rsidP="00000000" w:rsidRDefault="00000000" w:rsidRPr="00000000" w14:paraId="0000008F">
            <w:pPr>
              <w:jc w:val="left"/>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Thị trường phái sinh quốc tế</w:t>
            </w:r>
          </w:p>
        </w:tc>
        <w:tc>
          <w:tcPr/>
          <w:p w:rsidR="00000000" w:rsidDel="00000000" w:rsidP="00000000" w:rsidRDefault="00000000" w:rsidRPr="00000000" w14:paraId="00000090">
            <w:pPr>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dịch phái sinh hợp đồng tương lai tiêu chuẩn liên thông sàn</w:t>
            </w:r>
          </w:p>
        </w:tc>
      </w:tr>
      <w:tr>
        <w:trPr>
          <w:cantSplit w:val="0"/>
          <w:tblHeader w:val="0"/>
        </w:trPr>
        <w:tc>
          <w:tcPr/>
          <w:p w:rsidR="00000000" w:rsidDel="00000000" w:rsidP="00000000" w:rsidRDefault="00000000" w:rsidRPr="00000000" w14:paraId="00000091">
            <w:pPr>
              <w:jc w:val="left"/>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Tiểu khoản ACM</w:t>
            </w:r>
          </w:p>
        </w:tc>
        <w:tc>
          <w:tcPr/>
          <w:p w:rsidR="00000000" w:rsidDel="00000000" w:rsidP="00000000" w:rsidRDefault="00000000" w:rsidRPr="00000000" w14:paraId="00000092">
            <w:pPr>
              <w:jc w:val="left"/>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712Cxxxxxxx-A</w:t>
            </w:r>
          </w:p>
        </w:tc>
        <w:tc>
          <w:tcPr/>
          <w:p w:rsidR="00000000" w:rsidDel="00000000" w:rsidP="00000000" w:rsidRDefault="00000000" w:rsidRPr="00000000" w14:paraId="00000093">
            <w:pPr>
              <w:jc w:val="left"/>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Thị trường Bạc đầu tư</w:t>
            </w:r>
          </w:p>
        </w:tc>
        <w:tc>
          <w:tcPr/>
          <w:p w:rsidR="00000000" w:rsidDel="00000000" w:rsidP="00000000" w:rsidRDefault="00000000" w:rsidRPr="00000000" w14:paraId="00000094">
            <w:pPr>
              <w:jc w:val="left"/>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Giao dịch các sản phẩm Bạc thỏi, Bạc đầu tư và phục vụ đăng ký giao nhận/lưu ký Bạc vật chất</w:t>
            </w:r>
          </w:p>
        </w:tc>
      </w:tr>
    </w:tbl>
    <w:p w:rsidR="00000000" w:rsidDel="00000000" w:rsidP="00000000" w:rsidRDefault="00000000" w:rsidRPr="00000000" w14:paraId="00000095">
      <w:pPr>
        <w:jc w:val="both"/>
        <w:rPr>
          <w:rFonts w:ascii="Times New Roman" w:cs="Times New Roman" w:eastAsia="Times New Roman" w:hAnsi="Times New Roman"/>
          <w:b w:val="0"/>
          <w:bCs w:val="0"/>
          <w:sz w:val="26"/>
          <w:szCs w:val="26"/>
          <w:shd w:fill="auto" w:val="clear"/>
        </w:rPr>
      </w:pPr>
      <w:r w:rsidDel="00000000" w:rsidR="00000000" w:rsidRPr="00000000">
        <w:rPr>
          <w:rtl w:val="0"/>
        </w:rPr>
      </w:r>
    </w:p>
    <w:p w:rsidR="00000000" w:rsidDel="00000000" w:rsidP="00000000" w:rsidRDefault="00000000" w:rsidRPr="00000000" w14:paraId="00000096">
      <w:pPr>
        <w:jc w:val="both"/>
        <w:rPr>
          <w:rFonts w:ascii="Times New Roman" w:cs="Times New Roman" w:eastAsia="Times New Roman" w:hAnsi="Times New Roman"/>
          <w:b w:val="1"/>
          <w:bCs w:val="1"/>
          <w:sz w:val="26"/>
          <w:szCs w:val="26"/>
          <w:shd w:fill="auto" w:val="clear"/>
        </w:rPr>
      </w:pPr>
      <w:r w:rsidDel="00000000" w:rsidR="00000000" w:rsidRPr="00000000">
        <w:rPr>
          <w:rFonts w:ascii="Times New Roman" w:cs="Times New Roman" w:eastAsia="Times New Roman" w:hAnsi="Times New Roman"/>
          <w:b w:val="1"/>
          <w:bCs w:val="1"/>
          <w:sz w:val="26"/>
          <w:szCs w:val="26"/>
          <w:shd w:fill="auto" w:val="clear"/>
          <w:rtl w:val="0"/>
        </w:rPr>
        <w:t xml:space="preserve">4. Làm sao chuyển đổi giữa ba tiểu khoản?</w:t>
      </w:r>
    </w:p>
    <w:p w:rsidR="00000000" w:rsidDel="00000000" w:rsidP="00000000" w:rsidRDefault="00000000" w:rsidRPr="00000000" w14:paraId="00000097">
      <w:pPr>
        <w:jc w:val="both"/>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 Khách hàng có thể chuyển đổi giữa ba tiểu khoản này hoàn toàn trực tiếp trên thanh Header của giao diện mà không cần phải đăng xuất tài khoản.</w:t>
      </w:r>
    </w:p>
    <w:p w:rsidR="00000000" w:rsidDel="00000000" w:rsidP="00000000" w:rsidRDefault="00000000" w:rsidRPr="00000000" w14:paraId="00000098">
      <w:pPr>
        <w:jc w:val="both"/>
        <w:rPr>
          <w:rFonts w:ascii="Times New Roman" w:cs="Times New Roman" w:eastAsia="Times New Roman" w:hAnsi="Times New Roman"/>
          <w:b w:val="1"/>
          <w:bCs w:val="1"/>
          <w:sz w:val="26"/>
          <w:szCs w:val="26"/>
          <w:shd w:fill="auto" w:val="clear"/>
        </w:rPr>
      </w:pPr>
      <w:r w:rsidDel="00000000" w:rsidR="00000000" w:rsidRPr="00000000">
        <w:rPr>
          <w:rFonts w:ascii="Times New Roman" w:cs="Times New Roman" w:eastAsia="Times New Roman" w:hAnsi="Times New Roman"/>
          <w:b w:val="1"/>
          <w:bCs w:val="1"/>
          <w:sz w:val="26"/>
          <w:szCs w:val="26"/>
          <w:shd w:fill="auto" w:val="clear"/>
          <w:rtl w:val="0"/>
        </w:rPr>
        <w:t xml:space="preserve">5. Hướng dẫn đăng nhập tài khoản</w:t>
      </w:r>
    </w:p>
    <w:p w:rsidR="00000000" w:rsidDel="00000000" w:rsidP="00000000" w:rsidRDefault="00000000" w:rsidRPr="00000000" w14:paraId="00000099">
      <w:pPr>
        <w:jc w:val="both"/>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 Khách hàng vui lòng thực hiện đăng nhập DDP Invest theo các bước sau:</w:t>
      </w:r>
    </w:p>
    <w:p w:rsidR="00000000" w:rsidDel="00000000" w:rsidP="00000000" w:rsidRDefault="00000000" w:rsidRPr="00000000" w14:paraId="0000009A">
      <w:pPr>
        <w:jc w:val="both"/>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  + Bước 1: Nhập các thông tin số tài khoản (số tài khoản bao gồm 10 ký tự được cấp) và mật khẩu. </w:t>
      </w:r>
    </w:p>
    <w:p w:rsidR="00000000" w:rsidDel="00000000" w:rsidP="00000000" w:rsidRDefault="00000000" w:rsidRPr="00000000" w14:paraId="0000009B">
      <w:pPr>
        <w:jc w:val="both"/>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  + Bước 2: Chọn ‘Đăng nhập’</w:t>
      </w:r>
    </w:p>
    <w:p w:rsidR="00000000" w:rsidDel="00000000" w:rsidP="00000000" w:rsidRDefault="00000000" w:rsidRPr="00000000" w14:paraId="0000009C">
      <w:pPr>
        <w:jc w:val="both"/>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  + Bước 3: Nhập mã PIN</w:t>
      </w:r>
    </w:p>
    <w:p w:rsidR="00000000" w:rsidDel="00000000" w:rsidP="00000000" w:rsidRDefault="00000000" w:rsidRPr="00000000" w14:paraId="0000009D">
      <w:pPr>
        <w:jc w:val="both"/>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=&gt; Hoàn thành đăng nhập</w:t>
      </w:r>
    </w:p>
    <w:p w:rsidR="00000000" w:rsidDel="00000000" w:rsidP="00000000" w:rsidRDefault="00000000" w:rsidRPr="00000000" w14:paraId="0000009E">
      <w:pPr>
        <w:jc w:val="both"/>
        <w:rPr>
          <w:rFonts w:ascii="Times New Roman" w:cs="Times New Roman" w:eastAsia="Times New Roman" w:hAnsi="Times New Roman"/>
          <w:b w:val="1"/>
          <w:bCs w:val="1"/>
          <w:sz w:val="26"/>
          <w:szCs w:val="26"/>
          <w:shd w:fill="auto" w:val="clear"/>
        </w:rPr>
      </w:pPr>
      <w:r w:rsidDel="00000000" w:rsidR="00000000" w:rsidRPr="00000000">
        <w:rPr>
          <w:rFonts w:ascii="Times New Roman" w:cs="Times New Roman" w:eastAsia="Times New Roman" w:hAnsi="Times New Roman"/>
          <w:b w:val="1"/>
          <w:bCs w:val="1"/>
          <w:sz w:val="26"/>
          <w:szCs w:val="26"/>
          <w:shd w:fill="auto" w:val="clear"/>
          <w:rtl w:val="0"/>
        </w:rPr>
        <w:t xml:space="preserve">6. Hướng dẫn cấp lại mật khẩu đăng nhập</w:t>
      </w:r>
    </w:p>
    <w:p w:rsidR="00000000" w:rsidDel="00000000" w:rsidP="00000000" w:rsidRDefault="00000000" w:rsidRPr="00000000" w14:paraId="0000009F">
      <w:pPr>
        <w:jc w:val="both"/>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 Khách hàng có thể cấp lại mật khẩu đăng nhập mới bằng cách chọn ‘Quên mật khẩu’ ngay tại màn hình đăng nhập DDP Invest. Khách hàng thực hiện theo các bước sau:</w:t>
      </w:r>
    </w:p>
    <w:p w:rsidR="00000000" w:rsidDel="00000000" w:rsidP="00000000" w:rsidRDefault="00000000" w:rsidRPr="00000000" w14:paraId="000000A0">
      <w:pPr>
        <w:jc w:val="both"/>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  + Bước 1: Chọn ‘Quên mật khẩu’</w:t>
      </w:r>
    </w:p>
    <w:p w:rsidR="00000000" w:rsidDel="00000000" w:rsidP="00000000" w:rsidRDefault="00000000" w:rsidRPr="00000000" w14:paraId="000000A1">
      <w:pPr>
        <w:jc w:val="both"/>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  + Bước 2: Nhập các trường thông tin ‘Số tài khoản’ và ‘Số điện thoại’, sau đó chọn ‘Tiếp tục’</w:t>
      </w:r>
    </w:p>
    <w:p w:rsidR="00000000" w:rsidDel="00000000" w:rsidP="00000000" w:rsidRDefault="00000000" w:rsidRPr="00000000" w14:paraId="000000A2">
      <w:pPr>
        <w:jc w:val="both"/>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  + Bước 3: Nhập mã OTP được gửi về email đăng ký và chọn ‘Xác nhận’</w:t>
      </w:r>
    </w:p>
    <w:p w:rsidR="00000000" w:rsidDel="00000000" w:rsidP="00000000" w:rsidRDefault="00000000" w:rsidRPr="00000000" w14:paraId="000000A3">
      <w:pPr>
        <w:jc w:val="both"/>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  + Bước 4: Khởi tạo mật khẩu mới (mật khẩu mới ít nhất 8 ký tự bao gồm: chữ in hoa, chữ in thường, số và ký tự đặc biệt)</w:t>
      </w:r>
    </w:p>
    <w:p w:rsidR="00000000" w:rsidDel="00000000" w:rsidP="00000000" w:rsidRDefault="00000000" w:rsidRPr="00000000" w14:paraId="000000A4">
      <w:pPr>
        <w:jc w:val="both"/>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  + Bước 5: Nhập lại mật khẩu vừa khởi tại và chọn ‘Tiếp tục’</w:t>
      </w:r>
    </w:p>
    <w:p w:rsidR="00000000" w:rsidDel="00000000" w:rsidP="00000000" w:rsidRDefault="00000000" w:rsidRPr="00000000" w14:paraId="000000A5">
      <w:pPr>
        <w:jc w:val="both"/>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=&gt; Đổi mật khẩu thành công</w:t>
      </w:r>
    </w:p>
    <w:p w:rsidR="00000000" w:rsidDel="00000000" w:rsidP="00000000" w:rsidRDefault="00000000" w:rsidRPr="00000000" w14:paraId="000000A6">
      <w:pPr>
        <w:jc w:val="both"/>
        <w:rPr>
          <w:rFonts w:ascii="Times New Roman" w:cs="Times New Roman" w:eastAsia="Times New Roman" w:hAnsi="Times New Roman"/>
          <w:b w:val="1"/>
          <w:bCs w:val="1"/>
          <w:sz w:val="26"/>
          <w:szCs w:val="26"/>
          <w:shd w:fill="auto" w:val="clear"/>
        </w:rPr>
      </w:pPr>
      <w:r w:rsidDel="00000000" w:rsidR="00000000" w:rsidRPr="00000000">
        <w:rPr>
          <w:rFonts w:ascii="Times New Roman" w:cs="Times New Roman" w:eastAsia="Times New Roman" w:hAnsi="Times New Roman"/>
          <w:b w:val="1"/>
          <w:bCs w:val="1"/>
          <w:sz w:val="26"/>
          <w:szCs w:val="26"/>
          <w:shd w:fill="auto" w:val="clear"/>
          <w:rtl w:val="0"/>
        </w:rPr>
        <w:t xml:space="preserve">7. Tôi có thể xem lịch sử giao dịch hàng hóa phái sinh ở đâu trên DDP Invest?</w:t>
      </w:r>
    </w:p>
    <w:p w:rsidR="00000000" w:rsidDel="00000000" w:rsidP="00000000" w:rsidRDefault="00000000" w:rsidRPr="00000000" w14:paraId="000000A7">
      <w:pPr>
        <w:jc w:val="both"/>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 Khách hàng có thể đăng nhập DDP Invest, chọn mục ‘Lệnh &amp; Vị thế’ để kiểm tra các giao dịch hàng hóa phái sinh.</w:t>
      </w:r>
    </w:p>
    <w:p w:rsidR="00000000" w:rsidDel="00000000" w:rsidP="00000000" w:rsidRDefault="00000000" w:rsidRPr="00000000" w14:paraId="000000A8">
      <w:pPr>
        <w:jc w:val="both"/>
        <w:rPr>
          <w:rFonts w:ascii="Times New Roman" w:cs="Times New Roman" w:eastAsia="Times New Roman" w:hAnsi="Times New Roman"/>
          <w:b w:val="1"/>
          <w:bCs w:val="1"/>
          <w:sz w:val="26"/>
          <w:szCs w:val="26"/>
          <w:shd w:fill="auto" w:val="clear"/>
        </w:rPr>
      </w:pPr>
      <w:r w:rsidDel="00000000" w:rsidR="00000000" w:rsidRPr="00000000">
        <w:rPr>
          <w:rFonts w:ascii="Times New Roman" w:cs="Times New Roman" w:eastAsia="Times New Roman" w:hAnsi="Times New Roman"/>
          <w:b w:val="1"/>
          <w:bCs w:val="1"/>
          <w:sz w:val="26"/>
          <w:szCs w:val="26"/>
          <w:shd w:fill="auto" w:val="clear"/>
          <w:rtl w:val="0"/>
        </w:rPr>
        <w:t xml:space="preserve">8. Có những hình thức thanh toán nào được sử dụng để nộp tiền vào tài khoản DDP Invest?</w:t>
      </w:r>
    </w:p>
    <w:p w:rsidR="00000000" w:rsidDel="00000000" w:rsidP="00000000" w:rsidRDefault="00000000" w:rsidRPr="00000000" w14:paraId="000000A9">
      <w:pPr>
        <w:tabs>
          <w:tab w:val="left" w:leader="none" w:pos="3677"/>
        </w:tabs>
        <w:jc w:val="both"/>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 </w:t>
      </w:r>
      <w:r w:rsidDel="00000000" w:rsidR="00000000" w:rsidRPr="00000000">
        <w:rPr>
          <w:rFonts w:ascii="Times New Roman" w:cs="Times New Roman" w:eastAsia="Times New Roman" w:hAnsi="Times New Roman"/>
          <w:sz w:val="26"/>
          <w:szCs w:val="26"/>
          <w:rtl w:val="0"/>
        </w:rPr>
        <w:t xml:space="preserve">Khách hàng có thể nộp tiền vào tài khoản DDP Invest bằng hình thức chuyển khoản ngân hàng từ tài khoản ngân hàng của khách hàng đến tài khoản nhận tiền của Đông Đô Partners theo thông tin được cung cấp trên nền tảng DDP Invest.</w:t>
      </w:r>
      <w:r w:rsidDel="00000000" w:rsidR="00000000" w:rsidRPr="00000000">
        <w:rPr>
          <w:rFonts w:ascii="Times New Roman" w:cs="Times New Roman" w:eastAsia="Times New Roman" w:hAnsi="Times New Roman"/>
          <w:b w:val="0"/>
          <w:bCs w:val="0"/>
          <w:sz w:val="26"/>
          <w:szCs w:val="26"/>
          <w:shd w:fill="auto" w:val="clear"/>
          <w:rtl w:val="0"/>
        </w:rPr>
        <w:t xml:space="preserve"> Hiện tại, Đông Đô Partners chỉ áp dụng một hình thức nộp tiền trên để thuận tiện giao dịch cho khách hàng.</w:t>
      </w:r>
    </w:p>
    <w:p w:rsidR="00000000" w:rsidDel="00000000" w:rsidP="00000000" w:rsidRDefault="00000000" w:rsidRPr="00000000" w14:paraId="000000AA">
      <w:pPr>
        <w:jc w:val="both"/>
        <w:rPr>
          <w:rFonts w:ascii="Times New Roman" w:cs="Times New Roman" w:eastAsia="Times New Roman" w:hAnsi="Times New Roman"/>
          <w:b w:val="1"/>
          <w:bCs w:val="1"/>
          <w:sz w:val="26"/>
          <w:szCs w:val="26"/>
          <w:shd w:fill="auto" w:val="clear"/>
        </w:rPr>
      </w:pPr>
      <w:r w:rsidDel="00000000" w:rsidR="00000000" w:rsidRPr="00000000">
        <w:rPr>
          <w:rFonts w:ascii="Times New Roman" w:cs="Times New Roman" w:eastAsia="Times New Roman" w:hAnsi="Times New Roman"/>
          <w:b w:val="1"/>
          <w:bCs w:val="1"/>
          <w:sz w:val="26"/>
          <w:szCs w:val="26"/>
          <w:shd w:fill="auto" w:val="clear"/>
          <w:rtl w:val="0"/>
        </w:rPr>
        <w:t xml:space="preserve">9. Khách hàng có thể xuất file dữ liệu lịch sử nộp rút tiền không?</w:t>
      </w:r>
    </w:p>
    <w:p w:rsidR="00000000" w:rsidDel="00000000" w:rsidP="00000000" w:rsidRDefault="00000000" w:rsidRPr="00000000" w14:paraId="000000AB">
      <w:pPr>
        <w:jc w:val="both"/>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 Hiện tại, DDP Invest chưa hỗ trợ khách hàng xuất file dữ liệu lịch sử nộp rút tiền. Tuy nhiên, khách hàng có thể kiểm tra toàn bộ giao dịch nộp rút tiền trên DDP Invest. </w:t>
      </w:r>
    </w:p>
    <w:p w:rsidR="00000000" w:rsidDel="00000000" w:rsidP="00000000" w:rsidRDefault="00000000" w:rsidRPr="00000000" w14:paraId="000000AC">
      <w:pPr>
        <w:jc w:val="both"/>
        <w:rPr>
          <w:rFonts w:ascii="Times New Roman" w:cs="Times New Roman" w:eastAsia="Times New Roman" w:hAnsi="Times New Roman"/>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 </w:t>
      </w:r>
      <w:r w:rsidDel="00000000" w:rsidR="00000000" w:rsidRPr="00000000">
        <w:rPr>
          <w:rFonts w:ascii="Times New Roman" w:cs="Times New Roman" w:eastAsia="Times New Roman" w:hAnsi="Times New Roman"/>
          <w:sz w:val="26"/>
          <w:szCs w:val="26"/>
          <w:shd w:fill="auto" w:val="clear"/>
          <w:rtl w:val="0"/>
        </w:rPr>
        <w:t xml:space="preserve">Khách hàng có thể đăng nhập DDP Invest -&gt; Chọn ‘Nộp&amp;Rút’ -&gt; Chọn ‘Lịch sử nộp rút’ để kiểm tra các giao dịch đã thực hiện.</w:t>
      </w:r>
    </w:p>
    <w:p w:rsidR="00000000" w:rsidDel="00000000" w:rsidP="00000000" w:rsidRDefault="00000000" w:rsidRPr="00000000" w14:paraId="000000AD">
      <w:pPr>
        <w:jc w:val="both"/>
        <w:rPr>
          <w:rFonts w:ascii="Times New Roman" w:cs="Times New Roman" w:eastAsia="Times New Roman" w:hAnsi="Times New Roman"/>
          <w:b w:val="1"/>
          <w:bCs w:val="1"/>
          <w:sz w:val="26"/>
          <w:szCs w:val="26"/>
          <w:shd w:fill="auto" w:val="clear"/>
        </w:rPr>
      </w:pPr>
      <w:r w:rsidDel="00000000" w:rsidR="00000000" w:rsidRPr="00000000">
        <w:rPr>
          <w:rFonts w:ascii="Times New Roman" w:cs="Times New Roman" w:eastAsia="Times New Roman" w:hAnsi="Times New Roman"/>
          <w:b w:val="1"/>
          <w:bCs w:val="1"/>
          <w:sz w:val="26"/>
          <w:szCs w:val="26"/>
          <w:shd w:fill="auto" w:val="clear"/>
          <w:rtl w:val="0"/>
        </w:rPr>
        <w:t xml:space="preserve">10. Có thể thiết lập lệnh tự động khi giá hàng hóa đạt mức mong muốn trên DDP Invest không?</w:t>
      </w:r>
    </w:p>
    <w:p w:rsidR="00000000" w:rsidDel="00000000" w:rsidP="00000000" w:rsidRDefault="00000000" w:rsidRPr="00000000" w14:paraId="000000AE">
      <w:pPr>
        <w:jc w:val="both"/>
        <w:rPr>
          <w:rFonts w:ascii="Times New Roman" w:cs="Times New Roman" w:eastAsia="Times New Roman" w:hAnsi="Times New Roman"/>
          <w:sz w:val="26"/>
          <w:szCs w:val="26"/>
          <w:shd w:fill="auto" w:val="clear"/>
        </w:rPr>
      </w:pPr>
      <w:r w:rsidDel="00000000" w:rsidR="00000000" w:rsidRPr="00000000">
        <w:rPr>
          <w:rFonts w:ascii="Times New Roman" w:cs="Times New Roman" w:eastAsia="Times New Roman" w:hAnsi="Times New Roman"/>
          <w:sz w:val="26"/>
          <w:szCs w:val="26"/>
          <w:shd w:fill="auto" w:val="clear"/>
          <w:rtl w:val="0"/>
        </w:rPr>
        <w:t xml:space="preserve"> Khách hàng có thể tích chọn mục ‘Chốt lời/Cắt lỗ’ và đặt mức giá mong muốn đạt được trong khoảng thời gian nhất định (trong ngày/đến khi hủy/đến ngày) khi thực hiện đặt lệnh trên DDP Invest.</w:t>
      </w:r>
    </w:p>
    <w:p w:rsidR="00000000" w:rsidDel="00000000" w:rsidP="00000000" w:rsidRDefault="00000000" w:rsidRPr="00000000" w14:paraId="000000AF">
      <w:pPr>
        <w:jc w:val="both"/>
        <w:rPr>
          <w:rFonts w:ascii="Times New Roman" w:cs="Times New Roman" w:eastAsia="Times New Roman" w:hAnsi="Times New Roman"/>
          <w:b w:val="1"/>
          <w:bCs w:val="1"/>
          <w:sz w:val="26"/>
          <w:szCs w:val="26"/>
          <w:shd w:fill="auto" w:val="clear"/>
        </w:rPr>
      </w:pPr>
      <w:r w:rsidDel="00000000" w:rsidR="00000000" w:rsidRPr="00000000">
        <w:rPr>
          <w:rFonts w:ascii="Times New Roman" w:cs="Times New Roman" w:eastAsia="Times New Roman" w:hAnsi="Times New Roman"/>
          <w:b w:val="1"/>
          <w:bCs w:val="1"/>
          <w:sz w:val="26"/>
          <w:szCs w:val="26"/>
          <w:shd w:fill="auto" w:val="clear"/>
          <w:rtl w:val="0"/>
        </w:rPr>
        <w:t xml:space="preserve">11. Tôi có thể kiểm tra biểu đồ giá thời gian thực cho hàng hóa phái sinh trên DDP Invest không?</w:t>
      </w:r>
    </w:p>
    <w:p w:rsidR="00000000" w:rsidDel="00000000" w:rsidP="00000000" w:rsidRDefault="00000000" w:rsidRPr="00000000" w14:paraId="000000B0">
      <w:pPr>
        <w:jc w:val="both"/>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 Khách hàng có thể kiểm tra biểu đồ gia thời gian thực ngay tại mục ‘Giao dịch’ trên App DDP Invest.</w:t>
      </w:r>
    </w:p>
    <w:p w:rsidR="00000000" w:rsidDel="00000000" w:rsidP="00000000" w:rsidRDefault="00000000" w:rsidRPr="00000000" w14:paraId="000000B1">
      <w:pPr>
        <w:jc w:val="both"/>
        <w:rPr>
          <w:rFonts w:ascii="Times New Roman" w:cs="Times New Roman" w:eastAsia="Times New Roman" w:hAnsi="Times New Roman"/>
          <w:b w:val="1"/>
          <w:bCs w:val="1"/>
          <w:sz w:val="26"/>
          <w:szCs w:val="26"/>
          <w:shd w:fill="auto" w:val="clear"/>
        </w:rPr>
      </w:pPr>
      <w:r w:rsidDel="00000000" w:rsidR="00000000" w:rsidRPr="00000000">
        <w:rPr>
          <w:rFonts w:ascii="Times New Roman" w:cs="Times New Roman" w:eastAsia="Times New Roman" w:hAnsi="Times New Roman"/>
          <w:b w:val="1"/>
          <w:bCs w:val="1"/>
          <w:sz w:val="26"/>
          <w:szCs w:val="26"/>
          <w:shd w:fill="auto" w:val="clear"/>
          <w:rtl w:val="0"/>
        </w:rPr>
        <w:t xml:space="preserve">12. Hướng dẫn đổi mật khẩu</w:t>
      </w:r>
    </w:p>
    <w:p w:rsidR="00000000" w:rsidDel="00000000" w:rsidP="00000000" w:rsidRDefault="00000000" w:rsidRPr="00000000" w14:paraId="000000B2">
      <w:pPr>
        <w:jc w:val="both"/>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 Bước 1: Chọn biểu tượng tài khoản tại góc phải trên cùng màn hình</w:t>
      </w:r>
    </w:p>
    <w:p w:rsidR="00000000" w:rsidDel="00000000" w:rsidP="00000000" w:rsidRDefault="00000000" w:rsidRPr="00000000" w14:paraId="000000B3">
      <w:pPr>
        <w:jc w:val="both"/>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 Bước 2: Chọn ‘Đổi mật khẩu’</w:t>
      </w:r>
    </w:p>
    <w:p w:rsidR="00000000" w:rsidDel="00000000" w:rsidP="00000000" w:rsidRDefault="00000000" w:rsidRPr="00000000" w14:paraId="000000B4">
      <w:pPr>
        <w:jc w:val="both"/>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 Bước 3: Nhập các trường thông tin: ‘Mật khẩu cũ’, ‘Mật khẩu mới’ và ‘Xác nhận mật khẩu mới’ (mật khẩu yêu cầu tối thiểu 8 kí tự bao gồm: chữ in hoa, chữ in thường, số và ký tự đặc biệt)</w:t>
      </w:r>
    </w:p>
    <w:p w:rsidR="00000000" w:rsidDel="00000000" w:rsidP="00000000" w:rsidRDefault="00000000" w:rsidRPr="00000000" w14:paraId="000000B5">
      <w:pPr>
        <w:jc w:val="both"/>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 Bước 4: Chọn ‘Đổi mật khẩu’</w:t>
      </w:r>
    </w:p>
    <w:p w:rsidR="00000000" w:rsidDel="00000000" w:rsidP="00000000" w:rsidRDefault="00000000" w:rsidRPr="00000000" w14:paraId="000000B6">
      <w:pPr>
        <w:jc w:val="both"/>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=&gt; Đổi mật khẩu thành công</w:t>
      </w:r>
    </w:p>
    <w:p w:rsidR="00000000" w:rsidDel="00000000" w:rsidP="00000000" w:rsidRDefault="00000000" w:rsidRPr="00000000" w14:paraId="000000B7">
      <w:pPr>
        <w:jc w:val="both"/>
        <w:rPr>
          <w:rFonts w:ascii="Times New Roman" w:cs="Times New Roman" w:eastAsia="Times New Roman" w:hAnsi="Times New Roman"/>
          <w:b w:val="1"/>
          <w:bCs w:val="1"/>
          <w:sz w:val="26"/>
          <w:szCs w:val="26"/>
          <w:shd w:fill="auto" w:val="clear"/>
        </w:rPr>
      </w:pPr>
      <w:r w:rsidDel="00000000" w:rsidR="00000000" w:rsidRPr="00000000">
        <w:rPr>
          <w:rFonts w:ascii="Times New Roman" w:cs="Times New Roman" w:eastAsia="Times New Roman" w:hAnsi="Times New Roman"/>
          <w:b w:val="1"/>
          <w:bCs w:val="1"/>
          <w:sz w:val="26"/>
          <w:szCs w:val="26"/>
          <w:shd w:fill="auto" w:val="clear"/>
          <w:rtl w:val="0"/>
        </w:rPr>
        <w:t xml:space="preserve">13. Hướng dẫn đổi mã PIN</w:t>
      </w:r>
    </w:p>
    <w:p w:rsidR="00000000" w:rsidDel="00000000" w:rsidP="00000000" w:rsidRDefault="00000000" w:rsidRPr="00000000" w14:paraId="000000B8">
      <w:pPr>
        <w:jc w:val="both"/>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 Bước 1: Chọn biểu tượng tài khoản tại góc phải trên cùng màn hình</w:t>
      </w:r>
    </w:p>
    <w:p w:rsidR="00000000" w:rsidDel="00000000" w:rsidP="00000000" w:rsidRDefault="00000000" w:rsidRPr="00000000" w14:paraId="000000B9">
      <w:pPr>
        <w:jc w:val="both"/>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 Bước 2: Chọn ‘Đổi mã PIN’</w:t>
      </w:r>
    </w:p>
    <w:p w:rsidR="00000000" w:rsidDel="00000000" w:rsidP="00000000" w:rsidRDefault="00000000" w:rsidRPr="00000000" w14:paraId="000000BA">
      <w:pPr>
        <w:jc w:val="both"/>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 Bước 3: Nhập các trường thông tin: ‘Mã PIN cũ’, ‘Mã PIN mới’ và ‘Xác nhận mã PIN mới’ (mã PIN bao gồm 6 chữ số)</w:t>
      </w:r>
    </w:p>
    <w:p w:rsidR="00000000" w:rsidDel="00000000" w:rsidP="00000000" w:rsidRDefault="00000000" w:rsidRPr="00000000" w14:paraId="000000BB">
      <w:pPr>
        <w:jc w:val="both"/>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 Bước 4: Chọn ‘Đổi mã PIN’</w:t>
      </w:r>
    </w:p>
    <w:p w:rsidR="00000000" w:rsidDel="00000000" w:rsidP="00000000" w:rsidRDefault="00000000" w:rsidRPr="00000000" w14:paraId="000000BC">
      <w:pPr>
        <w:jc w:val="both"/>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=&gt; Đổi mã PIN thành công</w:t>
      </w:r>
    </w:p>
    <w:p w:rsidR="00000000" w:rsidDel="00000000" w:rsidP="00000000" w:rsidRDefault="00000000" w:rsidRPr="00000000" w14:paraId="000000BD">
      <w:pPr>
        <w:jc w:val="both"/>
        <w:rPr>
          <w:rFonts w:ascii="Times New Roman" w:cs="Times New Roman" w:eastAsia="Times New Roman" w:hAnsi="Times New Roman"/>
          <w:b w:val="1"/>
          <w:bCs w:val="1"/>
          <w:sz w:val="26"/>
          <w:szCs w:val="26"/>
          <w:shd w:fill="auto" w:val="clear"/>
        </w:rPr>
      </w:pPr>
      <w:r w:rsidDel="00000000" w:rsidR="00000000" w:rsidRPr="00000000">
        <w:rPr>
          <w:rFonts w:ascii="Times New Roman" w:cs="Times New Roman" w:eastAsia="Times New Roman" w:hAnsi="Times New Roman"/>
          <w:b w:val="1"/>
          <w:bCs w:val="1"/>
          <w:sz w:val="26"/>
          <w:szCs w:val="26"/>
          <w:shd w:fill="auto" w:val="clear"/>
          <w:rtl w:val="0"/>
        </w:rPr>
        <w:t xml:space="preserve">14. Hướng dẫn đặt lệnh trên DDP Invest</w:t>
      </w:r>
    </w:p>
    <w:p w:rsidR="00000000" w:rsidDel="00000000" w:rsidP="00000000" w:rsidRDefault="00000000" w:rsidRPr="00000000" w14:paraId="000000BE">
      <w:pPr>
        <w:jc w:val="both"/>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 Khách hàng thực hiện đặt lệnh theo hướng dẫn sau:</w:t>
      </w:r>
    </w:p>
    <w:p w:rsidR="00000000" w:rsidDel="00000000" w:rsidP="00000000" w:rsidRDefault="00000000" w:rsidRPr="00000000" w14:paraId="000000BF">
      <w:pPr>
        <w:jc w:val="both"/>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 Bước 1: Đăng nhập DDP Invest và chọn ‘Giao dịch’</w:t>
      </w:r>
    </w:p>
    <w:p w:rsidR="00000000" w:rsidDel="00000000" w:rsidP="00000000" w:rsidRDefault="00000000" w:rsidRPr="00000000" w14:paraId="000000C0">
      <w:pPr>
        <w:jc w:val="both"/>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 Bước 2: Kiểm tra thông tin hợp đồng tại cột bên phải màn hình: xem mã hàng hóa, mức giá hiện tại và tỷ lệ tăng giảm</w:t>
      </w:r>
    </w:p>
    <w:p w:rsidR="00000000" w:rsidDel="00000000" w:rsidP="00000000" w:rsidRDefault="00000000" w:rsidRPr="00000000" w14:paraId="000000C1">
      <w:pPr>
        <w:jc w:val="both"/>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 Bước 3: Chọn loại lệnh: Chọn lệnh ‘Thị trường’ hoặc ‘Giới hạn’ hoặc ‘Dừng’</w:t>
      </w:r>
    </w:p>
    <w:p w:rsidR="00000000" w:rsidDel="00000000" w:rsidP="00000000" w:rsidRDefault="00000000" w:rsidRPr="00000000" w14:paraId="000000C2">
      <w:pPr>
        <w:jc w:val="both"/>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 Bước 4: Nhập độ lớn hợp đồng: Nhập khối lượng hợp đồng cần giao dịch (hệ thống gợi ý khối lượng mua/bán tối đa dựa trên ký quỹ khả dụng)</w:t>
      </w:r>
    </w:p>
    <w:p w:rsidR="00000000" w:rsidDel="00000000" w:rsidP="00000000" w:rsidRDefault="00000000" w:rsidRPr="00000000" w14:paraId="000000C3">
      <w:pPr>
        <w:jc w:val="both"/>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 Bước 5: Nhập mức giá đặt: nhập mức giá đặt mong muốn (đối với lệnh Giới hạn/Dừng)</w:t>
      </w:r>
    </w:p>
    <w:p w:rsidR="00000000" w:rsidDel="00000000" w:rsidP="00000000" w:rsidRDefault="00000000" w:rsidRPr="00000000" w14:paraId="000000C4">
      <w:pPr>
        <w:jc w:val="both"/>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 Bước 6: Thiết lập Chốt lời/Cắt lỗ: Tích chọn ô ‘Chốt lời/Cắt lỗ’, sau đó nhập ‘Giá chốt lời’ và ‘Giá cắt lỗ’</w:t>
      </w:r>
    </w:p>
    <w:p w:rsidR="00000000" w:rsidDel="00000000" w:rsidP="00000000" w:rsidRDefault="00000000" w:rsidRPr="00000000" w14:paraId="000000C5">
      <w:pPr>
        <w:jc w:val="both"/>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 Bước 7: Chọn Hiệu lực lệnh: Chọn ‘Trong ngày’(Lệnh tự hủy khi hết phiên nếu chưa khớp) hoặc ‘Đến khi hủy’ (Lệnh được giữ đến khi khớp lệnh hoặc thực hiện thao tác hủy) hoặc ‘Đến ngày’ (Lệnh tự hủy đến ngày đã cài đặt)</w:t>
      </w:r>
    </w:p>
    <w:p w:rsidR="00000000" w:rsidDel="00000000" w:rsidP="00000000" w:rsidRDefault="00000000" w:rsidRPr="00000000" w14:paraId="000000C6">
      <w:pPr>
        <w:jc w:val="both"/>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 Bước 8: Kiểm tra Ký quỹ và Phí: Kiểm tra Ký quỹ yêu cầu, Ký quỹ khả dụng và Phí giao dịch dự kiến</w:t>
      </w:r>
    </w:p>
    <w:p w:rsidR="00000000" w:rsidDel="00000000" w:rsidP="00000000" w:rsidRDefault="00000000" w:rsidRPr="00000000" w14:paraId="000000C7">
      <w:pPr>
        <w:jc w:val="both"/>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 Bước 9: Đặt lệnh: Chọn ‘Mua’ để mở vị thế mua hoặc ‘Bán’ để mở bị thế bán.</w:t>
      </w:r>
    </w:p>
    <w:p w:rsidR="00000000" w:rsidDel="00000000" w:rsidP="00000000" w:rsidRDefault="00000000" w:rsidRPr="00000000" w14:paraId="000000C8">
      <w:pPr>
        <w:jc w:val="both"/>
        <w:rPr>
          <w:rFonts w:ascii="Times New Roman" w:cs="Times New Roman" w:eastAsia="Times New Roman" w:hAnsi="Times New Roman"/>
          <w:b w:val="1"/>
          <w:bCs w:val="1"/>
          <w:sz w:val="26"/>
          <w:szCs w:val="26"/>
          <w:shd w:fill="auto" w:val="clear"/>
        </w:rPr>
      </w:pPr>
      <w:r w:rsidDel="00000000" w:rsidR="00000000" w:rsidRPr="00000000">
        <w:rPr>
          <w:rFonts w:ascii="Times New Roman" w:cs="Times New Roman" w:eastAsia="Times New Roman" w:hAnsi="Times New Roman"/>
          <w:b w:val="1"/>
          <w:bCs w:val="1"/>
          <w:sz w:val="26"/>
          <w:szCs w:val="26"/>
          <w:shd w:fill="auto" w:val="clear"/>
          <w:rtl w:val="0"/>
        </w:rPr>
        <w:t xml:space="preserve">15. Hướng dẫn đăng ký Giao nhận Bạc vật chất trực tuyến</w:t>
      </w:r>
    </w:p>
    <w:p w:rsidR="00000000" w:rsidDel="00000000" w:rsidP="00000000" w:rsidRDefault="00000000" w:rsidRPr="00000000" w14:paraId="000000C9">
      <w:pPr>
        <w:jc w:val="both"/>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 Bước 1: Đăng nhập DDP Invest, chọn ‘Giao nhận’ và chọn ‘Đăng ký giao nhận Bạc’</w:t>
      </w:r>
    </w:p>
    <w:p w:rsidR="00000000" w:rsidDel="00000000" w:rsidP="00000000" w:rsidRDefault="00000000" w:rsidRPr="00000000" w14:paraId="000000CA">
      <w:pPr>
        <w:jc w:val="both"/>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 Bước 2: Chọn ‘Nhận hàng’ (rút Bạc vật chất từ kho MXV về sở hữu) hoặc ‘Giao hàng’ (Nạp Bạc vào kho MXV)</w:t>
      </w:r>
    </w:p>
    <w:p w:rsidR="00000000" w:rsidDel="00000000" w:rsidP="00000000" w:rsidRDefault="00000000" w:rsidRPr="00000000" w14:paraId="000000CB">
      <w:pPr>
        <w:jc w:val="both"/>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 Bước 3: Nhập và chọn các trường thông tin: mã hợp đồng, khối lượng đăng ký, khu vực nhận hàng và kiểm tra vị thế khả dụng.</w:t>
      </w:r>
    </w:p>
    <w:p w:rsidR="00000000" w:rsidDel="00000000" w:rsidP="00000000" w:rsidRDefault="00000000" w:rsidRPr="00000000" w14:paraId="000000CC">
      <w:pPr>
        <w:jc w:val="both"/>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 Bước 4: Nhập các thông tin Người ủy quyền (nếu có). Chọn người ủy quyền có sẵn trên danh sách hoặc thêm mới tại mục ‘Thêm người ủy quyền mới’ (Họ tên, CCCD, Số điện thoại)</w:t>
      </w:r>
    </w:p>
    <w:p w:rsidR="00000000" w:rsidDel="00000000" w:rsidP="00000000" w:rsidRDefault="00000000" w:rsidRPr="00000000" w14:paraId="000000CD">
      <w:pPr>
        <w:jc w:val="both"/>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 Bước 5: Chọn ‘Đăng ký’ để gửi yêu cầu. </w:t>
      </w:r>
    </w:p>
    <w:p w:rsidR="00000000" w:rsidDel="00000000" w:rsidP="00000000" w:rsidRDefault="00000000" w:rsidRPr="00000000" w14:paraId="000000CE">
      <w:pPr>
        <w:jc w:val="both"/>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=&gt; Hoàn tất đăng ký (Cán bộ quản lý kho của Đông Đô sẽ liên hệ đặt lịch bàn giao Bạc tại kho chuẩn)</w:t>
      </w:r>
    </w:p>
    <w:p w:rsidR="00000000" w:rsidDel="00000000" w:rsidP="00000000" w:rsidRDefault="00000000" w:rsidRPr="00000000" w14:paraId="000000CF">
      <w:pPr>
        <w:jc w:val="both"/>
        <w:rPr>
          <w:rFonts w:ascii="Times New Roman" w:cs="Times New Roman" w:eastAsia="Times New Roman" w:hAnsi="Times New Roman"/>
          <w:b w:val="1"/>
          <w:bCs w:val="1"/>
          <w:sz w:val="26"/>
          <w:szCs w:val="26"/>
          <w:shd w:fill="auto" w:val="clear"/>
        </w:rPr>
      </w:pPr>
      <w:r w:rsidDel="00000000" w:rsidR="00000000" w:rsidRPr="00000000">
        <w:rPr>
          <w:rFonts w:ascii="Times New Roman" w:cs="Times New Roman" w:eastAsia="Times New Roman" w:hAnsi="Times New Roman"/>
          <w:b w:val="1"/>
          <w:bCs w:val="1"/>
          <w:sz w:val="26"/>
          <w:szCs w:val="26"/>
          <w:shd w:fill="auto" w:val="clear"/>
          <w:rtl w:val="0"/>
        </w:rPr>
        <w:t xml:space="preserve">IV. PHÍ GIAO DỊCH VÀ CÁC KHOẢN PHÍ</w:t>
      </w:r>
    </w:p>
    <w:p w:rsidR="00000000" w:rsidDel="00000000" w:rsidP="00000000" w:rsidRDefault="00000000" w:rsidRPr="00000000" w14:paraId="000000D0">
      <w:pPr>
        <w:jc w:val="both"/>
        <w:rPr>
          <w:rFonts w:ascii="Times New Roman" w:cs="Times New Roman" w:eastAsia="Times New Roman" w:hAnsi="Times New Roman"/>
          <w:b w:val="1"/>
          <w:bCs w:val="1"/>
          <w:sz w:val="26"/>
          <w:szCs w:val="26"/>
          <w:shd w:fill="auto" w:val="clear"/>
        </w:rPr>
      </w:pPr>
      <w:r w:rsidDel="00000000" w:rsidR="00000000" w:rsidRPr="00000000">
        <w:rPr>
          <w:rFonts w:ascii="Times New Roman" w:cs="Times New Roman" w:eastAsia="Times New Roman" w:hAnsi="Times New Roman"/>
          <w:b w:val="1"/>
          <w:bCs w:val="1"/>
          <w:sz w:val="26"/>
          <w:szCs w:val="26"/>
          <w:shd w:fill="auto" w:val="clear"/>
          <w:rtl w:val="0"/>
        </w:rPr>
        <w:t xml:space="preserve">V. QUẢN TRỊ RỦI RO</w:t>
      </w:r>
    </w:p>
    <w:p w:rsidR="00000000" w:rsidDel="00000000" w:rsidP="00000000" w:rsidRDefault="00000000" w:rsidRPr="00000000" w14:paraId="000000D1">
      <w:pPr>
        <w:jc w:val="both"/>
        <w:rPr>
          <w:rFonts w:ascii="Times New Roman" w:cs="Times New Roman" w:eastAsia="Times New Roman" w:hAnsi="Times New Roman"/>
          <w:b w:val="1"/>
          <w:bCs w:val="1"/>
          <w:sz w:val="26"/>
          <w:szCs w:val="26"/>
          <w:shd w:fill="auto" w:val="clear"/>
        </w:rPr>
      </w:pPr>
      <w:r w:rsidDel="00000000" w:rsidR="00000000" w:rsidRPr="00000000">
        <w:rPr>
          <w:rFonts w:ascii="Times New Roman" w:cs="Times New Roman" w:eastAsia="Times New Roman" w:hAnsi="Times New Roman"/>
          <w:b w:val="1"/>
          <w:bCs w:val="1"/>
          <w:sz w:val="26"/>
          <w:szCs w:val="26"/>
          <w:shd w:fill="auto" w:val="clear"/>
          <w:rtl w:val="0"/>
        </w:rPr>
        <w:t xml:space="preserve">1. Rủi ro là gì? Nguyên nhân nào dẫn đến rủi ro trong giao dịch hàng hóa phái sinh?</w:t>
      </w:r>
    </w:p>
    <w:p w:rsidR="00000000" w:rsidDel="00000000" w:rsidP="00000000" w:rsidRDefault="00000000" w:rsidRPr="00000000" w14:paraId="000000D2">
      <w:pPr>
        <w:jc w:val="both"/>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a. Khái niệm</w:t>
      </w:r>
    </w:p>
    <w:p w:rsidR="00000000" w:rsidDel="00000000" w:rsidP="00000000" w:rsidRDefault="00000000" w:rsidRPr="00000000" w14:paraId="000000D3">
      <w:pPr>
        <w:jc w:val="both"/>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 Rủi ro là khả năng xảy ra những biến cố bất thường hoặc tổn thất không thể lường trước được về không gian và thời gian cũng như những mức độ nghiêm trọng và hậu quả của nó. Tổn thất bao gồm:</w:t>
      </w:r>
    </w:p>
    <w:p w:rsidR="00000000" w:rsidDel="00000000" w:rsidP="00000000" w:rsidRDefault="00000000" w:rsidRPr="00000000" w14:paraId="000000D4">
      <w:pPr>
        <w:jc w:val="both"/>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  – Tổn thất tài chính </w:t>
      </w:r>
    </w:p>
    <w:p w:rsidR="00000000" w:rsidDel="00000000" w:rsidP="00000000" w:rsidRDefault="00000000" w:rsidRPr="00000000" w14:paraId="000000D5">
      <w:pPr>
        <w:jc w:val="both"/>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  – Tổn thất phi tài chính</w:t>
      </w:r>
    </w:p>
    <w:p w:rsidR="00000000" w:rsidDel="00000000" w:rsidP="00000000" w:rsidRDefault="00000000" w:rsidRPr="00000000" w14:paraId="000000D6">
      <w:pPr>
        <w:jc w:val="both"/>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b. Nguyên nhân</w:t>
      </w:r>
    </w:p>
    <w:p w:rsidR="00000000" w:rsidDel="00000000" w:rsidP="00000000" w:rsidRDefault="00000000" w:rsidRPr="00000000" w14:paraId="000000D7">
      <w:pPr>
        <w:jc w:val="both"/>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  Nguyên nhân dẫn đến rủi ro được chia thanh 2 nhóm chính: nguyên nhân chủ quan (nhầm lẫn trong quá trình đặt lệnh, thiếu kiến thức về sản phẩm, thiếu kiểm tra trước khi gửi lệnh,...) và nguyên nhân khách quan (biến động thị trường mạnh và đột ngột, lỗi hệ thống giao dịch hoặc kết nối, sự kiện bất khả kháng,...)</w:t>
      </w:r>
    </w:p>
    <w:p w:rsidR="00000000" w:rsidDel="00000000" w:rsidP="00000000" w:rsidRDefault="00000000" w:rsidRPr="00000000" w14:paraId="000000D8">
      <w:pPr>
        <w:jc w:val="both"/>
        <w:rPr>
          <w:rFonts w:ascii="Times New Roman" w:cs="Times New Roman" w:eastAsia="Times New Roman" w:hAnsi="Times New Roman"/>
          <w:b w:val="1"/>
          <w:bCs w:val="1"/>
          <w:sz w:val="26"/>
          <w:szCs w:val="26"/>
          <w:shd w:fill="auto" w:val="clear"/>
        </w:rPr>
      </w:pPr>
      <w:r w:rsidDel="00000000" w:rsidR="00000000" w:rsidRPr="00000000">
        <w:rPr>
          <w:rFonts w:ascii="Times New Roman" w:cs="Times New Roman" w:eastAsia="Times New Roman" w:hAnsi="Times New Roman"/>
          <w:b w:val="1"/>
          <w:bCs w:val="1"/>
          <w:sz w:val="26"/>
          <w:szCs w:val="26"/>
          <w:shd w:fill="auto" w:val="clear"/>
          <w:rtl w:val="0"/>
        </w:rPr>
        <w:t xml:space="preserve">2. Tỷ lệ ký quỹ tối thiểu hiện nay là bao nhiêu?</w:t>
      </w:r>
    </w:p>
    <w:p w:rsidR="00000000" w:rsidDel="00000000" w:rsidP="00000000" w:rsidRDefault="00000000" w:rsidRPr="00000000" w14:paraId="000000D9">
      <w:pPr>
        <w:jc w:val="both"/>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 </w:t>
      </w:r>
      <w:r w:rsidDel="00000000" w:rsidR="00000000" w:rsidRPr="00000000">
        <w:rPr>
          <w:rFonts w:ascii="Times New Roman" w:cs="Times New Roman" w:eastAsia="Times New Roman" w:hAnsi="Times New Roman"/>
          <w:sz w:val="26"/>
          <w:szCs w:val="26"/>
          <w:rtl w:val="0"/>
        </w:rPr>
        <w:t xml:space="preserve">Tỷ lệ ký quỹ không cố định mà được xác định theo từng loại hợp đồng hàng hóa và có thể được điều chỉnh theo quy định của Sở Giao dịch Hàng hóa Việt Nam (MXV) và tình hình thị trường. Nhà đầu tư cần kiểm tra mức ký quỹ ban đầu của từng sản phẩm trước khi thực hiện giao dịch.</w:t>
      </w:r>
      <w:r w:rsidDel="00000000" w:rsidR="00000000" w:rsidRPr="00000000">
        <w:rPr>
          <w:rtl w:val="0"/>
        </w:rPr>
      </w:r>
    </w:p>
    <w:p w:rsidR="00000000" w:rsidDel="00000000" w:rsidP="00000000" w:rsidRDefault="00000000" w:rsidRPr="00000000" w14:paraId="000000DA">
      <w:pPr>
        <w:jc w:val="both"/>
        <w:rPr>
          <w:rFonts w:ascii="Times New Roman" w:cs="Times New Roman" w:eastAsia="Times New Roman" w:hAnsi="Times New Roman"/>
          <w:b w:val="1"/>
          <w:bCs w:val="1"/>
          <w:sz w:val="26"/>
          <w:szCs w:val="26"/>
          <w:shd w:fill="auto" w:val="clear"/>
        </w:rPr>
      </w:pPr>
      <w:r w:rsidDel="00000000" w:rsidR="00000000" w:rsidRPr="00000000">
        <w:rPr>
          <w:rFonts w:ascii="Times New Roman" w:cs="Times New Roman" w:eastAsia="Times New Roman" w:hAnsi="Times New Roman"/>
          <w:b w:val="1"/>
          <w:bCs w:val="1"/>
          <w:sz w:val="26"/>
          <w:szCs w:val="26"/>
          <w:shd w:fill="auto" w:val="clear"/>
          <w:rtl w:val="0"/>
        </w:rPr>
        <w:t xml:space="preserve">3. Thời gian quy định nộp tiền ký quỹ bổ sung khi bị Margin Call là bao lâu?</w:t>
      </w:r>
    </w:p>
    <w:p w:rsidR="00000000" w:rsidDel="00000000" w:rsidP="00000000" w:rsidRDefault="00000000" w:rsidRPr="00000000" w14:paraId="000000DB">
      <w:pPr>
        <w:jc w:val="both"/>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 </w:t>
      </w:r>
      <w:r w:rsidDel="00000000" w:rsidR="00000000" w:rsidRPr="00000000">
        <w:rPr>
          <w:rFonts w:ascii="Times New Roman" w:cs="Times New Roman" w:eastAsia="Times New Roman" w:hAnsi="Times New Roman"/>
          <w:sz w:val="26"/>
          <w:szCs w:val="26"/>
          <w:rtl w:val="0"/>
        </w:rPr>
        <w:t xml:space="preserve">Đông Đô Partners không quy định thời gian cố định để khách hàng bổ sung tiền ký quỹ khi bị Margin Call. Khách hàng cần chủ động bổ sung ký quỹ để đảm bảo tỷ lệ ký quỹ duy trì ở mức an toàn và tiếp tục giao dịch. Trường hợp tỷ lệ ký quỹ của khách hàng ≤ 40%, Đông Đô Partners sẽ ngay lập tức thực hiện đóng vị thế bắt buộc (Force Close) theo quy định.</w:t>
      </w:r>
      <w:r w:rsidDel="00000000" w:rsidR="00000000" w:rsidRPr="00000000">
        <w:rPr>
          <w:rtl w:val="0"/>
        </w:rPr>
      </w:r>
    </w:p>
    <w:p w:rsidR="00000000" w:rsidDel="00000000" w:rsidP="00000000" w:rsidRDefault="00000000" w:rsidRPr="00000000" w14:paraId="000000DC">
      <w:pPr>
        <w:jc w:val="both"/>
        <w:rPr>
          <w:rFonts w:ascii="Times New Roman" w:cs="Times New Roman" w:eastAsia="Times New Roman" w:hAnsi="Times New Roman"/>
          <w:b w:val="1"/>
          <w:bCs w:val="1"/>
          <w:sz w:val="26"/>
          <w:szCs w:val="26"/>
          <w:shd w:fill="auto" w:val="clear"/>
        </w:rPr>
      </w:pPr>
      <w:r w:rsidDel="00000000" w:rsidR="00000000" w:rsidRPr="00000000">
        <w:rPr>
          <w:rFonts w:ascii="Times New Roman" w:cs="Times New Roman" w:eastAsia="Times New Roman" w:hAnsi="Times New Roman"/>
          <w:b w:val="1"/>
          <w:bCs w:val="1"/>
          <w:sz w:val="26"/>
          <w:szCs w:val="26"/>
          <w:shd w:fill="auto" w:val="clear"/>
          <w:rtl w:val="0"/>
        </w:rPr>
        <w:t xml:space="preserve">4. Tôi có thể để hợp đồng đến ngày đáo hạn và tự động tất toán được không?</w:t>
      </w:r>
    </w:p>
    <w:p w:rsidR="00000000" w:rsidDel="00000000" w:rsidP="00000000" w:rsidRDefault="00000000" w:rsidRPr="00000000" w14:paraId="000000DD">
      <w:pPr>
        <w:jc w:val="both"/>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 </w:t>
      </w:r>
      <w:r w:rsidDel="00000000" w:rsidR="00000000" w:rsidRPr="00000000">
        <w:rPr>
          <w:rFonts w:ascii="Times New Roman" w:cs="Times New Roman" w:eastAsia="Times New Roman" w:hAnsi="Times New Roman"/>
          <w:b w:val="0"/>
          <w:bCs w:val="0"/>
          <w:color w:val="000000"/>
          <w:sz w:val="26"/>
          <w:szCs w:val="26"/>
          <w:rtl w:val="0"/>
        </w:rPr>
        <w:t xml:space="preserve">Khách hàng không nên để vị thế mở đến ngày đáo hạn và chờ hệ thống tự động tất toán. Đối với các hợp đồng giao dịch qua Sở Giao dịch hàng hóa (MXV), khách hàng cần chủ động đóng vị thế bằng lệnh đối ứng trước thời hạn quy định. Thời điểm cần đóng có thể khác nhau tùy từng sản phẩm và phương thức thanh toán của hợp đồng. Sở Giao dịch hàng hóa (MXV) cũng có quy định về việc đóng bắt buộc đối với một số vị thế còn mở sau các mốc thời gian nhất định.</w:t>
      </w:r>
      <w:r w:rsidDel="00000000" w:rsidR="00000000" w:rsidRPr="00000000">
        <w:rPr>
          <w:rtl w:val="0"/>
        </w:rPr>
      </w:r>
    </w:p>
    <w:p w:rsidR="00000000" w:rsidDel="00000000" w:rsidP="00000000" w:rsidRDefault="00000000" w:rsidRPr="00000000" w14:paraId="000000DE">
      <w:pPr>
        <w:jc w:val="both"/>
        <w:rPr>
          <w:rFonts w:ascii="Times New Roman" w:cs="Times New Roman" w:eastAsia="Times New Roman" w:hAnsi="Times New Roman"/>
          <w:b w:val="1"/>
          <w:bCs w:val="1"/>
          <w:sz w:val="26"/>
          <w:szCs w:val="26"/>
          <w:shd w:fill="auto" w:val="clear"/>
        </w:rPr>
      </w:pPr>
      <w:r w:rsidDel="00000000" w:rsidR="00000000" w:rsidRPr="00000000">
        <w:rPr>
          <w:rFonts w:ascii="Times New Roman" w:cs="Times New Roman" w:eastAsia="Times New Roman" w:hAnsi="Times New Roman"/>
          <w:b w:val="1"/>
          <w:bCs w:val="1"/>
          <w:sz w:val="26"/>
          <w:szCs w:val="26"/>
          <w:shd w:fill="auto" w:val="clear"/>
          <w:rtl w:val="0"/>
        </w:rPr>
        <w:t xml:space="preserve">5. Tại sao lại có sự chênh lệnh giá của các kỳ hạn hợp đồng?</w:t>
      </w:r>
    </w:p>
    <w:p w:rsidR="00000000" w:rsidDel="00000000" w:rsidP="00000000" w:rsidRDefault="00000000" w:rsidRPr="00000000" w14:paraId="000000DF">
      <w:pPr>
        <w:jc w:val="both"/>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0"/>
          <w:bCs w:val="0"/>
          <w:color w:val="000000"/>
          <w:sz w:val="26"/>
          <w:szCs w:val="26"/>
          <w:rtl w:val="0"/>
        </w:rPr>
        <w:t xml:space="preserve">Các hợp đồng có tháng kỳ hạn khác nhau có thể có mức giá khác nhau do thị trường đánh giá khác nhau về cung – cầu, tồn kho, chi phí lưu kho, lãi suất, chi phí tài chính, mùa vụ và kỳ vọng giá trong tương lai.</w:t>
      </w:r>
      <w:r w:rsidDel="00000000" w:rsidR="00000000" w:rsidRPr="00000000">
        <w:rPr>
          <w:rFonts w:ascii="Times New Roman" w:cs="Times New Roman" w:eastAsia="Times New Roman" w:hAnsi="Times New Roman"/>
          <w:b w:val="0"/>
          <w:bCs w:val="0"/>
          <w:sz w:val="26"/>
          <w:szCs w:val="26"/>
          <w:shd w:fill="auto" w:val="clear"/>
          <w:rtl w:val="0"/>
        </w:rPr>
        <w:t xml:space="preserve"> </w:t>
      </w:r>
      <w:r w:rsidDel="00000000" w:rsidR="00000000" w:rsidRPr="00000000">
        <w:rPr>
          <w:rFonts w:ascii="Times New Roman" w:cs="Times New Roman" w:eastAsia="Times New Roman" w:hAnsi="Times New Roman"/>
          <w:b w:val="0"/>
          <w:bCs w:val="0"/>
          <w:color w:val="000000"/>
          <w:sz w:val="26"/>
          <w:szCs w:val="26"/>
          <w:rtl w:val="0"/>
        </w:rPr>
        <w:t xml:space="preserve">Mỗi kỳ hạn phản ánh kỳ vọng của thị trường về giá hàng hóa tại những thời điểm giao nhận khác nhau, đồng thời chịu tác động của chi phí và điều kiện cung – cầu trong từng giai đoạn.</w:t>
      </w:r>
      <w:r w:rsidDel="00000000" w:rsidR="00000000" w:rsidRPr="00000000">
        <w:rPr>
          <w:rtl w:val="0"/>
        </w:rPr>
      </w:r>
    </w:p>
    <w:p w:rsidR="00000000" w:rsidDel="00000000" w:rsidP="00000000" w:rsidRDefault="00000000" w:rsidRPr="00000000" w14:paraId="000000E0">
      <w:pPr>
        <w:jc w:val="both"/>
        <w:rPr>
          <w:rFonts w:ascii="Times New Roman" w:cs="Times New Roman" w:eastAsia="Times New Roman" w:hAnsi="Times New Roman"/>
          <w:b w:val="1"/>
          <w:bCs w:val="1"/>
          <w:sz w:val="26"/>
          <w:szCs w:val="26"/>
          <w:shd w:fill="auto" w:val="clear"/>
        </w:rPr>
      </w:pPr>
      <w:r w:rsidDel="00000000" w:rsidR="00000000" w:rsidRPr="00000000">
        <w:rPr>
          <w:rFonts w:ascii="Times New Roman" w:cs="Times New Roman" w:eastAsia="Times New Roman" w:hAnsi="Times New Roman"/>
          <w:b w:val="1"/>
          <w:bCs w:val="1"/>
          <w:sz w:val="26"/>
          <w:szCs w:val="26"/>
          <w:shd w:fill="auto" w:val="clear"/>
          <w:rtl w:val="0"/>
        </w:rPr>
        <w:t xml:space="preserve">6. Có các loại rủi ro nào trên thị trường hàng hóa phái sinh?</w:t>
      </w:r>
    </w:p>
    <w:p w:rsidR="00000000" w:rsidDel="00000000" w:rsidP="00000000" w:rsidRDefault="00000000" w:rsidRPr="00000000" w14:paraId="000000E1">
      <w:pPr>
        <w:jc w:val="both"/>
        <w:rPr>
          <w:rFonts w:ascii="Times New Roman" w:cs="Times New Roman" w:eastAsia="Times New Roman" w:hAnsi="Times New Roman"/>
          <w:b w:val="1"/>
          <w:bCs w:val="1"/>
          <w:sz w:val="26"/>
          <w:szCs w:val="26"/>
          <w:shd w:fill="auto" w:val="clear"/>
        </w:rPr>
      </w:pPr>
      <w:r w:rsidDel="00000000" w:rsidR="00000000" w:rsidRPr="00000000">
        <w:rPr>
          <w:rFonts w:ascii="Times New Roman" w:cs="Times New Roman" w:eastAsia="Times New Roman" w:hAnsi="Times New Roman"/>
          <w:b w:val="1"/>
          <w:bCs w:val="1"/>
          <w:sz w:val="26"/>
          <w:szCs w:val="26"/>
          <w:shd w:fill="auto" w:val="clear"/>
          <w:rtl w:val="0"/>
        </w:rPr>
        <w:t xml:space="preserve"> </w:t>
      </w:r>
      <w:r w:rsidDel="00000000" w:rsidR="00000000" w:rsidRPr="00000000">
        <w:rPr>
          <w:rFonts w:ascii="Times New Roman" w:cs="Times New Roman" w:eastAsia="Times New Roman" w:hAnsi="Times New Roman"/>
          <w:b w:val="0"/>
          <w:bCs w:val="0"/>
          <w:sz w:val="26"/>
          <w:szCs w:val="26"/>
          <w:shd w:fill="auto" w:val="clear"/>
          <w:rtl w:val="0"/>
        </w:rPr>
        <w:t xml:space="preserve">a. Rủi ro hoạt động</w:t>
      </w:r>
      <w:r w:rsidDel="00000000" w:rsidR="00000000" w:rsidRPr="00000000">
        <w:rPr>
          <w:rtl w:val="0"/>
        </w:rPr>
      </w:r>
    </w:p>
    <w:p w:rsidR="00000000" w:rsidDel="00000000" w:rsidP="00000000" w:rsidRDefault="00000000" w:rsidRPr="00000000" w14:paraId="000000E2">
      <w:pPr>
        <w:jc w:val="both"/>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1"/>
          <w:bCs w:val="1"/>
          <w:sz w:val="26"/>
          <w:szCs w:val="26"/>
          <w:shd w:fill="auto" w:val="clear"/>
          <w:rtl w:val="0"/>
        </w:rPr>
        <w:t xml:space="preserve">  </w:t>
      </w:r>
      <w:r w:rsidDel="00000000" w:rsidR="00000000" w:rsidRPr="00000000">
        <w:rPr>
          <w:rFonts w:ascii="Times New Roman" w:cs="Times New Roman" w:eastAsia="Times New Roman" w:hAnsi="Times New Roman"/>
          <w:b w:val="0"/>
          <w:bCs w:val="0"/>
          <w:sz w:val="26"/>
          <w:szCs w:val="26"/>
          <w:shd w:fill="auto" w:val="clear"/>
          <w:rtl w:val="0"/>
        </w:rPr>
        <w:t xml:space="preserve">Rủi ro hoạt động phát sinh từ các lỗi trong quá trình vận hành hệ thống hoặc thao tác giao dịch, có thể ảnh hưởng nghiêm trọng đến hiệu quả đầu tư. Một số dạng rủi ro phổ biến bao gồm:</w:t>
      </w:r>
    </w:p>
    <w:p w:rsidR="00000000" w:rsidDel="00000000" w:rsidP="00000000" w:rsidRDefault="00000000" w:rsidRPr="00000000" w14:paraId="000000E3">
      <w:pPr>
        <w:jc w:val="both"/>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  – Rủi ro trong thao tác đặt lệnh của nhà đầu tư</w:t>
      </w:r>
    </w:p>
    <w:p w:rsidR="00000000" w:rsidDel="00000000" w:rsidP="00000000" w:rsidRDefault="00000000" w:rsidRPr="00000000" w14:paraId="000000E4">
      <w:pPr>
        <w:jc w:val="both"/>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  – Rủi ro hệ thống: Bao gồm các sự cố liên quan đến: Hệ thống giao dịch, Sự cố kỹ thuật phía người dùng</w:t>
      </w:r>
    </w:p>
    <w:p w:rsidR="00000000" w:rsidDel="00000000" w:rsidP="00000000" w:rsidRDefault="00000000" w:rsidRPr="00000000" w14:paraId="000000E5">
      <w:pPr>
        <w:jc w:val="both"/>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 b. Rủi ro thị trường</w:t>
      </w:r>
    </w:p>
    <w:p w:rsidR="00000000" w:rsidDel="00000000" w:rsidP="00000000" w:rsidRDefault="00000000" w:rsidRPr="00000000" w14:paraId="000000E6">
      <w:pPr>
        <w:jc w:val="both"/>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  – Rủi ro thanh khoản: xảy ra khi không có đủ vị thế đối lập để thực hiện giao dịch. Điều đó có nghĩa là không đủ người mua hoặc người bán trên thị trường để thực hiện giao dịch tại mức giá mong muốn.</w:t>
      </w:r>
    </w:p>
    <w:p w:rsidR="00000000" w:rsidDel="00000000" w:rsidP="00000000" w:rsidRDefault="00000000" w:rsidRPr="00000000" w14:paraId="000000E7">
      <w:pPr>
        <w:jc w:val="both"/>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  – Rủi ro biến động giá: liên quan đến việc thay đổi giá trị của danh mục đầu tư do biến động giá của các loại hàng hóa trên thị trường. Rủi ro biến động giá được chia thành 3 nhóm:</w:t>
      </w:r>
    </w:p>
    <w:p w:rsidR="00000000" w:rsidDel="00000000" w:rsidP="00000000" w:rsidRDefault="00000000" w:rsidRPr="00000000" w14:paraId="000000E8">
      <w:pPr>
        <w:jc w:val="both"/>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    + Rủi ro cơ bản: là rủi ro phát sinh từ các yếu tố thực tế ảnh hưởng trực tiếp đến cung –cầu hàng hóa trên thị trường như: thời tiết, thiên tai, bệnh dịch cây trồng, thay đổi chính sách</w:t>
      </w:r>
    </w:p>
    <w:p w:rsidR="00000000" w:rsidDel="00000000" w:rsidP="00000000" w:rsidRDefault="00000000" w:rsidRPr="00000000" w14:paraId="000000E9">
      <w:pPr>
        <w:jc w:val="both"/>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    + Rủi ro địa chính trị: là khả năng xảy ra bất ổn chính trị hoặc xung đột làm gián đoạn mối quan hệ cung – cầu của hàng hóa</w:t>
      </w:r>
    </w:p>
    <w:p w:rsidR="00000000" w:rsidDel="00000000" w:rsidP="00000000" w:rsidRDefault="00000000" w:rsidRPr="00000000" w14:paraId="000000EA">
      <w:pPr>
        <w:jc w:val="both"/>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    + Rủi ro tiền tệ: đề cập đến mối quan hệ giữa tiền tệ và giá hàng hóa</w:t>
      </w:r>
    </w:p>
    <w:p w:rsidR="00000000" w:rsidDel="00000000" w:rsidP="00000000" w:rsidRDefault="00000000" w:rsidRPr="00000000" w14:paraId="000000EB">
      <w:pPr>
        <w:jc w:val="both"/>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  – Rủi ro Basic (Basic Risk): là rủi ro phát sinh khi giá thay đổi ngoài dự kiến, khiến việc phòng hộ bằng hợp đồng tương lai không đạt hiệu quả như mong muốn.</w:t>
      </w:r>
    </w:p>
    <w:p w:rsidR="00000000" w:rsidDel="00000000" w:rsidP="00000000" w:rsidRDefault="00000000" w:rsidRPr="00000000" w14:paraId="000000EC">
      <w:pPr>
        <w:jc w:val="both"/>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    Basic = Giá giao ngay (Spot) – Giá hợp đồng kỳ hạn tiêu chuẩn</w:t>
      </w:r>
    </w:p>
    <w:p w:rsidR="00000000" w:rsidDel="00000000" w:rsidP="00000000" w:rsidRDefault="00000000" w:rsidRPr="00000000" w14:paraId="000000ED">
      <w:pPr>
        <w:jc w:val="both"/>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  – Rủi ro Rollover: là rủi ro phát sinh khi nhà đầu tư hoặc doanh nghiệp chuyển vị thế từ hợp đồng sắp đáo hạn sang hợp đồng xa hơn. Rủi ro này xuất hiện do lãi/lỗ thực thế khi tất toán hợp đồng sắp đáo hạn được ghi nhận ngay vào tài khoản, đồng thời vị thế mới có thể bị ảnh hưởng bởi biến động thị trường, khiến mức giá mở vị thế ở kỳ hạn xa đi ngược với kỳ vọng.</w:t>
      </w:r>
    </w:p>
    <w:p w:rsidR="00000000" w:rsidDel="00000000" w:rsidP="00000000" w:rsidRDefault="00000000" w:rsidRPr="00000000" w14:paraId="000000EE">
      <w:pPr>
        <w:jc w:val="both"/>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  – Rủi ro ký quỹ: gặp phải khi ký quỹ ban đầu của các hợp đồng thay đổi. Khi thị trường biến động mạnh, Sở Giao dịch có thể tăng mức ký quỹ ban đầu. Điều này làm giảm tỷ lệ ký quỹ của tài khoản giao dịch, có thể dẫn đến việc tỷ lệ ký quỹ giảm xuống dưới ngưỡng yêu cầu tối thiểu. Khi đó, nhà đầu tư buộc phải bổ sung ký quỹ hoặc phải tất toán vị thế tại mức giá không thuận lợi.</w:t>
      </w:r>
    </w:p>
    <w:p w:rsidR="00000000" w:rsidDel="00000000" w:rsidP="00000000" w:rsidRDefault="00000000" w:rsidRPr="00000000" w14:paraId="000000EF">
      <w:pPr>
        <w:jc w:val="both"/>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  – Rủi ro tỷ giá: là rủi ro liên quan đến những tác động bất lợi của việc tỷ giá thay đổi ảnh hướng tới giá trị danh mực đầu tư.</w:t>
      </w:r>
    </w:p>
    <w:p w:rsidR="00000000" w:rsidDel="00000000" w:rsidP="00000000" w:rsidRDefault="00000000" w:rsidRPr="00000000" w14:paraId="000000F0">
      <w:pPr>
        <w:jc w:val="both"/>
        <w:rPr>
          <w:rFonts w:ascii="Times New Roman" w:cs="Times New Roman" w:eastAsia="Times New Roman" w:hAnsi="Times New Roman"/>
          <w:b w:val="1"/>
          <w:bCs w:val="1"/>
          <w:sz w:val="26"/>
          <w:szCs w:val="26"/>
          <w:shd w:fill="auto" w:val="clear"/>
        </w:rPr>
      </w:pPr>
      <w:r w:rsidDel="00000000" w:rsidR="00000000" w:rsidRPr="00000000">
        <w:rPr>
          <w:rFonts w:ascii="Times New Roman" w:cs="Times New Roman" w:eastAsia="Times New Roman" w:hAnsi="Times New Roman"/>
          <w:b w:val="1"/>
          <w:bCs w:val="1"/>
          <w:sz w:val="26"/>
          <w:szCs w:val="26"/>
          <w:shd w:fill="auto" w:val="clear"/>
          <w:rtl w:val="0"/>
        </w:rPr>
        <w:t xml:space="preserve">7. Tại sao không nên nắm giữ hợp đồng gần ngày giao dịch cuối cùng (LTD)?</w:t>
      </w:r>
    </w:p>
    <w:p w:rsidR="00000000" w:rsidDel="00000000" w:rsidP="00000000" w:rsidRDefault="00000000" w:rsidRPr="00000000" w14:paraId="000000F1">
      <w:pPr>
        <w:jc w:val="both"/>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 </w:t>
      </w:r>
      <w:r w:rsidDel="00000000" w:rsidR="00000000" w:rsidRPr="00000000">
        <w:rPr>
          <w:rFonts w:ascii="Times New Roman" w:cs="Times New Roman" w:eastAsia="Times New Roman" w:hAnsi="Times New Roman"/>
          <w:b w:val="0"/>
          <w:bCs w:val="0"/>
          <w:color w:val="000000"/>
          <w:sz w:val="26"/>
          <w:szCs w:val="26"/>
          <w:rtl w:val="0"/>
        </w:rPr>
        <w:t xml:space="preserve">Khi nắm giữ hợp đồng hàng hóa phái sinh gần ngày giao dịch cuối cùng (LTD – Last Trading Day), mức độ rủi ro có thể tăng lên, đặc biệt đối với khách hàng không có nhu cầu hoặc không được phép tham gia giao nhận hàng hóa vật chất.</w:t>
      </w:r>
      <w:r w:rsidDel="00000000" w:rsidR="00000000" w:rsidRPr="00000000">
        <w:rPr>
          <w:rtl w:val="0"/>
        </w:rPr>
      </w:r>
    </w:p>
    <w:p w:rsidR="00000000" w:rsidDel="00000000" w:rsidP="00000000" w:rsidRDefault="00000000" w:rsidRPr="00000000" w14:paraId="000000F2">
      <w:pPr>
        <w:jc w:val="both"/>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 – Thanh khoản giảm: </w:t>
      </w:r>
      <w:r w:rsidDel="00000000" w:rsidR="00000000" w:rsidRPr="00000000">
        <w:rPr>
          <w:rFonts w:ascii="Times New Roman" w:cs="Times New Roman" w:eastAsia="Times New Roman" w:hAnsi="Times New Roman"/>
          <w:b w:val="0"/>
          <w:bCs w:val="0"/>
          <w:color w:val="000000"/>
          <w:sz w:val="26"/>
          <w:szCs w:val="26"/>
          <w:rtl w:val="0"/>
        </w:rPr>
        <w:t xml:space="preserve">Khi hợp đồng tiến gần LTD, thanh khoản có thể dịch chuyển sang kỳ hạn xa hơn. Điều này có thể khiến: chênh lệch giá mua – bán (Spread) rộng hơn, khó khớp lệnh ở mức giá mong muốn và tăng nguy cơ trượt giá khi đóng vị thế.</w:t>
      </w:r>
      <w:r w:rsidDel="00000000" w:rsidR="00000000" w:rsidRPr="00000000">
        <w:rPr>
          <w:rtl w:val="0"/>
        </w:rPr>
      </w:r>
    </w:p>
    <w:p w:rsidR="00000000" w:rsidDel="00000000" w:rsidP="00000000" w:rsidRDefault="00000000" w:rsidRPr="00000000" w14:paraId="000000F3">
      <w:pPr>
        <w:pBdr>
          <w:top w:color="000000" w:space="0" w:sz="0" w:val="none"/>
          <w:left w:color="000000" w:space="0" w:sz="0" w:val="none"/>
          <w:bottom w:color="000000" w:space="0" w:sz="0" w:val="none"/>
          <w:right w:color="000000" w:space="0" w:sz="0" w:val="none"/>
        </w:pBdr>
        <w:ind w:left="0" w:right="0" w:firstLine="0"/>
        <w:rPr>
          <w:b w:val="0"/>
          <w:bCs w:val="0"/>
          <w:sz w:val="26"/>
          <w:szCs w:val="26"/>
        </w:rPr>
      </w:pPr>
      <w:r w:rsidDel="00000000" w:rsidR="00000000" w:rsidRPr="00000000">
        <w:rPr>
          <w:rFonts w:ascii="Times New Roman" w:cs="Times New Roman" w:eastAsia="Times New Roman" w:hAnsi="Times New Roman"/>
          <w:b w:val="0"/>
          <w:bCs w:val="0"/>
          <w:color w:val="000000"/>
          <w:sz w:val="26"/>
          <w:szCs w:val="26"/>
          <w:rtl w:val="0"/>
        </w:rPr>
        <w:t xml:space="preserve"> – Phải đóng hoặc chuyển kỳ hạn: Nếu khách hàng không có nhu cầu tiếp tục nắm giữ hợp đồng, cần chủ động đóng vị thế trước LTD hoặc thực hiện chuyển sang kỳ hạn khác nếu phù hợp. Việc chờ đến sát LTD mới xử lý có thể khiến khách hàng bị động nếu thị trường biến động mạnh hoặc thanh khoản giảm.</w:t>
      </w:r>
      <w:r w:rsidDel="00000000" w:rsidR="00000000" w:rsidRPr="00000000">
        <w:rPr>
          <w:rtl w:val="0"/>
        </w:rPr>
      </w:r>
    </w:p>
    <w:p w:rsidR="00000000" w:rsidDel="00000000" w:rsidP="00000000" w:rsidRDefault="00000000" w:rsidRPr="00000000" w14:paraId="000000F4">
      <w:pPr>
        <w:pBdr>
          <w:top w:color="000000" w:space="0" w:sz="0" w:val="none"/>
          <w:left w:color="000000" w:space="0" w:sz="0" w:val="none"/>
          <w:bottom w:color="000000" w:space="0" w:sz="0" w:val="none"/>
          <w:right w:color="000000" w:space="0" w:sz="0" w:val="none"/>
        </w:pBdr>
        <w:ind w:left="0" w:right="0" w:firstLine="0"/>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color w:val="000000"/>
          <w:sz w:val="26"/>
          <w:szCs w:val="26"/>
          <w:rtl w:val="0"/>
        </w:rPr>
        <w:t xml:space="preserve"> – Rủi ro biến động giá: Khi hợp đồng gần đáo hạn, mối quan hệ giữa giá hợp đồng tương lai và giá thị trường cơ sở có thể thay đổi nhanh. Điều này có thể ảnh hưởng đến giá trị vị thế và kết quả khi đóng hoặc chuyển kỳ hạn.</w:t>
      </w:r>
      <w:r w:rsidDel="00000000" w:rsidR="00000000" w:rsidRPr="00000000">
        <w:rPr>
          <w:rtl w:val="0"/>
        </w:rPr>
      </w:r>
    </w:p>
    <w:p w:rsidR="00000000" w:rsidDel="00000000" w:rsidP="00000000" w:rsidRDefault="00000000" w:rsidRPr="00000000" w14:paraId="000000F5">
      <w:pPr>
        <w:pBdr>
          <w:top w:color="000000" w:space="0" w:sz="0" w:val="none"/>
          <w:left w:color="000000" w:space="0" w:sz="0" w:val="none"/>
          <w:bottom w:color="000000" w:space="0" w:sz="0" w:val="none"/>
          <w:right w:color="000000" w:space="0" w:sz="0" w:val="none"/>
        </w:pBdr>
        <w:ind w:left="0" w:right="0" w:firstLine="0"/>
        <w:rPr>
          <w:rFonts w:ascii="Times New Roman" w:cs="Times New Roman" w:eastAsia="Times New Roman" w:hAnsi="Times New Roman"/>
          <w:b w:val="1"/>
          <w:bCs w:val="1"/>
          <w:sz w:val="26"/>
          <w:szCs w:val="26"/>
          <w:shd w:fill="auto" w:val="clear"/>
        </w:rPr>
      </w:pPr>
      <w:r w:rsidDel="00000000" w:rsidR="00000000" w:rsidRPr="00000000">
        <w:rPr>
          <w:rFonts w:ascii="Times New Roman" w:cs="Times New Roman" w:eastAsia="Times New Roman" w:hAnsi="Times New Roman"/>
          <w:b w:val="1"/>
          <w:bCs w:val="1"/>
          <w:sz w:val="26"/>
          <w:szCs w:val="26"/>
          <w:rtl w:val="0"/>
        </w:rPr>
        <w:t xml:space="preserve">8. Sự khác biệt giữa giá dự kiến và giá khớp thực tế có thể ảnh hưởng như thế nào đến kết quả giao dịch?</w:t>
      </w:r>
      <w:r w:rsidDel="00000000" w:rsidR="00000000" w:rsidRPr="00000000">
        <w:rPr>
          <w:rtl w:val="0"/>
        </w:rPr>
      </w:r>
    </w:p>
    <w:p w:rsidR="00000000" w:rsidDel="00000000" w:rsidP="00000000" w:rsidRDefault="00000000" w:rsidRPr="00000000" w14:paraId="000000F6">
      <w:pPr>
        <w:pBdr>
          <w:top w:color="000000" w:space="0" w:sz="0" w:val="none"/>
          <w:left w:color="000000" w:space="0" w:sz="0" w:val="none"/>
          <w:bottom w:color="000000" w:space="0" w:sz="0" w:val="none"/>
          <w:right w:color="000000" w:space="0" w:sz="0" w:val="none"/>
        </w:pBdr>
        <w:ind w:left="0" w:right="0" w:firstLine="0"/>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sz w:val="26"/>
          <w:szCs w:val="26"/>
          <w:shd w:fill="auto" w:val="clear"/>
          <w:rtl w:val="0"/>
        </w:rPr>
        <w:t xml:space="preserve"> </w:t>
      </w:r>
      <w:r w:rsidDel="00000000" w:rsidR="00000000" w:rsidRPr="00000000">
        <w:rPr>
          <w:rFonts w:ascii="Times New Roman" w:cs="Times New Roman" w:eastAsia="Times New Roman" w:hAnsi="Times New Roman"/>
          <w:sz w:val="26"/>
          <w:szCs w:val="26"/>
          <w:rtl w:val="0"/>
        </w:rPr>
        <w:t xml:space="preserve">Giá khớp thực tế khác với giá dự kiến có thể làm thay đổi trực tiếp lợi nhuận hoặc mức thua lỗ của giao dịch. Chênh lệch này có thể phát sinh do trượt giá, Spread, biến động giá nhanh hoặc thanh khoản thị trường. Khi giá khớp bất lợi hơn dự kiến, lợi nhuận có thể giảm hoặc khoản lỗ có thể tăng. Đặc biệt, trong thời điểm thị trường biến động mạnh hoặc xuất hiện Gap, giá khớp của lệnh Stop Loss có thể khác đáng kể so với mức giá kích hoạt. Vì vậy, khách hàng cần hiểu rõ cơ chế của từng loại lệnh và luôn tính đến khả năng trượt giá khi quản trị rủi ro.</w:t>
      </w:r>
      <w:r w:rsidDel="00000000" w:rsidR="00000000" w:rsidRPr="00000000">
        <w:rPr>
          <w:rtl w:val="0"/>
        </w:rPr>
      </w:r>
    </w:p>
    <w:p w:rsidR="00000000" w:rsidDel="00000000" w:rsidP="00000000" w:rsidRDefault="00000000" w:rsidRPr="00000000" w14:paraId="000000F7">
      <w:pPr>
        <w:pBdr>
          <w:top w:color="000000" w:space="0" w:sz="0" w:val="none"/>
          <w:left w:color="000000" w:space="0" w:sz="0" w:val="none"/>
          <w:bottom w:color="000000" w:space="0" w:sz="0" w:val="none"/>
          <w:right w:color="000000" w:space="0" w:sz="0" w:val="none"/>
        </w:pBdr>
        <w:ind w:left="0" w:right="0" w:firstLine="0"/>
        <w:rPr>
          <w:rFonts w:ascii="Times New Roman" w:cs="Times New Roman" w:eastAsia="Times New Roman" w:hAnsi="Times New Roman"/>
          <w:b w:val="1"/>
          <w:bCs w:val="1"/>
          <w:sz w:val="26"/>
          <w:szCs w:val="26"/>
          <w:shd w:fill="auto" w:val="clear"/>
        </w:rPr>
      </w:pPr>
      <w:r w:rsidDel="00000000" w:rsidR="00000000" w:rsidRPr="00000000">
        <w:rPr>
          <w:rFonts w:ascii="Times New Roman" w:cs="Times New Roman" w:eastAsia="Times New Roman" w:hAnsi="Times New Roman"/>
          <w:b w:val="1"/>
          <w:bCs w:val="1"/>
          <w:sz w:val="26"/>
          <w:szCs w:val="26"/>
          <w:shd w:fill="auto" w:val="clear"/>
          <w:rtl w:val="0"/>
        </w:rPr>
        <w:t xml:space="preserve">9. Spread là gì? Spread ảnh hưởng đến giao dịch như thế nào?</w:t>
      </w:r>
    </w:p>
    <w:p w:rsidR="00000000" w:rsidDel="00000000" w:rsidP="00000000" w:rsidRDefault="00000000" w:rsidRPr="00000000" w14:paraId="000000F8">
      <w:pPr>
        <w:pBdr>
          <w:top w:color="000000" w:space="0" w:sz="0" w:val="none"/>
          <w:left w:color="000000" w:space="0" w:sz="0" w:val="none"/>
          <w:bottom w:color="000000" w:space="0" w:sz="0" w:val="none"/>
          <w:right w:color="000000" w:space="0" w:sz="0" w:val="none"/>
        </w:pBdr>
        <w:ind w:left="0" w:right="0" w:firstLine="0"/>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color w:val="000000"/>
          <w:sz w:val="26"/>
          <w:szCs w:val="26"/>
          <w:rtl w:val="0"/>
        </w:rPr>
        <w:t xml:space="preserve"> – Spread là chênh lệch giữa giá mua và giá bán của một sản phẩm tại cùng một thời điểm. Spread phản ánh một phần chi phí giao dịch mà nhà giao dịch cần cân nhắc. Spread thường có xu hướng hẹp hơn khi thị trường có thanh khoản cao và có thể giãn rộng khi thanh khoản thấp hoặc thị trường biến động mạnh.</w:t>
      </w:r>
      <w:r w:rsidDel="00000000" w:rsidR="00000000" w:rsidRPr="00000000">
        <w:rPr>
          <w:rtl w:val="0"/>
        </w:rPr>
      </w:r>
    </w:p>
    <w:p w:rsidR="00000000" w:rsidDel="00000000" w:rsidP="00000000" w:rsidRDefault="00000000" w:rsidRPr="00000000" w14:paraId="000000F9">
      <w:pPr>
        <w:pBdr>
          <w:top w:color="000000" w:space="0" w:sz="0" w:val="none"/>
          <w:left w:color="000000" w:space="0" w:sz="0" w:val="none"/>
          <w:bottom w:color="000000" w:space="0" w:sz="0" w:val="none"/>
          <w:right w:color="000000" w:space="0" w:sz="0" w:val="none"/>
        </w:pBdr>
        <w:ind w:left="0" w:right="0" w:firstLine="0"/>
        <w:rPr>
          <w:rFonts w:ascii="Times New Roman" w:cs="Times New Roman" w:eastAsia="Times New Roman" w:hAnsi="Times New Roman"/>
          <w:b w:val="0"/>
          <w:bCs w:val="0"/>
          <w:sz w:val="26"/>
          <w:szCs w:val="26"/>
          <w:shd w:fill="auto" w:val="clear"/>
        </w:rPr>
      </w:pPr>
      <w:r w:rsidDel="00000000" w:rsidR="00000000" w:rsidRPr="00000000">
        <w:rPr>
          <w:rFonts w:ascii="Times New Roman" w:cs="Times New Roman" w:eastAsia="Times New Roman" w:hAnsi="Times New Roman"/>
          <w:b w:val="0"/>
          <w:bCs w:val="0"/>
          <w:color w:val="000000"/>
          <w:sz w:val="26"/>
          <w:szCs w:val="26"/>
          <w:rtl w:val="0"/>
        </w:rPr>
        <w:t xml:space="preserve"> – Spread càng rộng thì chi phí giao dịch ban đầu càng lớn và nhà giao dịch cần giá di chuyển theo hướng có lợi đủ để bù phần chênh lệch này.</w:t>
      </w:r>
      <w:r w:rsidDel="00000000" w:rsidR="00000000" w:rsidRPr="00000000">
        <w:rPr>
          <w:rtl w:val="0"/>
        </w:rPr>
      </w:r>
    </w:p>
    <w:p w:rsidR="00000000" w:rsidDel="00000000" w:rsidP="00000000" w:rsidRDefault="00000000" w:rsidRPr="00000000" w14:paraId="000000FA">
      <w:pPr>
        <w:jc w:val="both"/>
        <w:rPr>
          <w:rFonts w:ascii="Times New Roman" w:cs="Times New Roman" w:eastAsia="Times New Roman" w:hAnsi="Times New Roman"/>
          <w:b w:val="1"/>
          <w:bCs w:val="1"/>
          <w:sz w:val="26"/>
          <w:szCs w:val="26"/>
          <w:shd w:fill="auto" w:val="clear"/>
        </w:rPr>
      </w:pPr>
      <w:r w:rsidDel="00000000" w:rsidR="00000000" w:rsidRPr="00000000">
        <w:rPr>
          <w:rFonts w:ascii="Times New Roman" w:cs="Times New Roman" w:eastAsia="Times New Roman" w:hAnsi="Times New Roman"/>
          <w:b w:val="1"/>
          <w:bCs w:val="1"/>
          <w:sz w:val="26"/>
          <w:szCs w:val="26"/>
          <w:shd w:fill="auto" w:val="clear"/>
          <w:rtl w:val="0"/>
        </w:rPr>
        <w:t xml:space="preserve">VI. CHĂM SÓC KHÁCH HÀNG VÀ QUẢN LÝ SỰ CỐ</w:t>
      </w:r>
    </w:p>
    <w:p w:rsidR="00000000" w:rsidDel="00000000" w:rsidP="00000000" w:rsidRDefault="00000000" w:rsidRPr="00000000" w14:paraId="000000FB">
      <w:pPr>
        <w:jc w:val="both"/>
        <w:rPr>
          <w:rFonts w:ascii="Times New Roman" w:cs="Times New Roman" w:eastAsia="Times New Roman" w:hAnsi="Times New Roman"/>
          <w:b w:val="1"/>
          <w:bCs w:val="1"/>
          <w:sz w:val="26"/>
          <w:szCs w:val="26"/>
        </w:rPr>
      </w:pPr>
      <w:r w:rsidDel="00000000" w:rsidR="00000000" w:rsidRPr="00000000">
        <w:rPr>
          <w:rtl w:val="0"/>
        </w:rPr>
      </w:r>
    </w:p>
    <w:sectPr>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44"/>
        <w:tab w:val="right" w:leader="none" w:pos="9689"/>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44"/>
        <w:tab w:val="right" w:leader="none" w:pos="9689"/>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Arial" w:cs="Arial" w:eastAsia="Arial" w:hAnsi="Arial"/>
      <w:color w:val="2e75b5"/>
      <w:sz w:val="40"/>
      <w:szCs w:val="40"/>
    </w:rPr>
  </w:style>
  <w:style w:type="paragraph" w:styleId="Heading2">
    <w:name w:val="heading 2"/>
    <w:basedOn w:val="Normal"/>
    <w:next w:val="Normal"/>
    <w:pPr>
      <w:keepNext w:val="1"/>
      <w:keepLines w:val="1"/>
      <w:spacing w:after="80" w:before="160" w:lineRule="auto"/>
    </w:pPr>
    <w:rPr>
      <w:rFonts w:ascii="Arial" w:cs="Arial" w:eastAsia="Arial" w:hAnsi="Arial"/>
      <w:color w:val="2e75b5"/>
      <w:sz w:val="32"/>
      <w:szCs w:val="32"/>
    </w:rPr>
  </w:style>
  <w:style w:type="paragraph" w:styleId="Heading3">
    <w:name w:val="heading 3"/>
    <w:basedOn w:val="Normal"/>
    <w:next w:val="Normal"/>
    <w:pPr>
      <w:keepNext w:val="1"/>
      <w:keepLines w:val="1"/>
      <w:spacing w:after="80" w:before="160" w:lineRule="auto"/>
    </w:pPr>
    <w:rPr>
      <w:rFonts w:ascii="Arial" w:cs="Arial" w:eastAsia="Arial" w:hAnsi="Arial"/>
      <w:color w:val="2e75b5"/>
      <w:sz w:val="28"/>
      <w:szCs w:val="28"/>
    </w:rPr>
  </w:style>
  <w:style w:type="paragraph" w:styleId="Heading4">
    <w:name w:val="heading 4"/>
    <w:basedOn w:val="Normal"/>
    <w:next w:val="Normal"/>
    <w:pPr>
      <w:keepNext w:val="1"/>
      <w:keepLines w:val="1"/>
      <w:spacing w:after="40" w:before="80" w:lineRule="auto"/>
    </w:pPr>
    <w:rPr>
      <w:rFonts w:ascii="Arial" w:cs="Arial" w:eastAsia="Arial" w:hAnsi="Arial"/>
      <w:i w:val="1"/>
      <w:iCs w:val="1"/>
      <w:color w:val="2e75b5"/>
    </w:rPr>
  </w:style>
  <w:style w:type="paragraph" w:styleId="Heading5">
    <w:name w:val="heading 5"/>
    <w:basedOn w:val="Normal"/>
    <w:next w:val="Normal"/>
    <w:pPr>
      <w:keepNext w:val="1"/>
      <w:keepLines w:val="1"/>
      <w:spacing w:after="40" w:before="80" w:lineRule="auto"/>
    </w:pPr>
    <w:rPr>
      <w:rFonts w:ascii="Arial" w:cs="Arial" w:eastAsia="Arial" w:hAnsi="Arial"/>
      <w:color w:val="2e75b5"/>
    </w:rPr>
  </w:style>
  <w:style w:type="paragraph" w:styleId="Heading6">
    <w:name w:val="heading 6"/>
    <w:basedOn w:val="Normal"/>
    <w:next w:val="Normal"/>
    <w:pPr>
      <w:keepNext w:val="1"/>
      <w:keepLines w:val="1"/>
      <w:spacing w:after="0" w:before="40" w:lineRule="auto"/>
    </w:pPr>
    <w:rPr>
      <w:rFonts w:ascii="Arial" w:cs="Arial" w:eastAsia="Arial" w:hAnsi="Arial"/>
      <w:i w:val="1"/>
      <w:iCs w:val="1"/>
      <w:color w:val="595959"/>
    </w:rPr>
  </w:style>
  <w:style w:type="paragraph" w:styleId="Title">
    <w:name w:val="Title"/>
    <w:basedOn w:val="Normal"/>
    <w:next w:val="Normal"/>
    <w:pPr>
      <w:spacing w:after="80" w:line="240" w:lineRule="auto"/>
    </w:pPr>
    <w:rPr>
      <w:rFonts w:ascii="Arial" w:cs="Arial" w:eastAsia="Arial" w:hAnsi="Arial"/>
      <w:sz w:val="56"/>
      <w:szCs w:val="56"/>
    </w:rPr>
  </w:style>
  <w:style w:type="table" w:styleId="721">
    <w:name w:val="Table Grid"/>
    <w:basedOn w:val="907"/>
    <w:uiPriority w:val="59"/>
    <w:pPr>
      <w:pBdr/>
      <w:spacing w:after="0" w:line="240" w:lineRule="auto"/>
      <w:ind/>
    </w:pPr>
    <w:tblPr>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w="0.0" w:type="dxa"/>
        <w:left w:w="108.0" w:type="dxa"/>
        <w:bottom w:w="0.0" w:type="dxa"/>
        <w:right w:w="108.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Table Grid Light"/>
    <w:basedOn w:val="907"/>
    <w:uiPriority w:val="59"/>
    <w:pPr>
      <w:pBdr/>
      <w:spacing w:after="0" w:line="240" w:lineRule="auto"/>
      <w:ind/>
    </w:pPr>
    <w:tblPr>
      <w:tblInd w:w="0.0" w:type="dxa"/>
      <w:tblBorders>
        <w:top w:color="000000" w:space="0" w:sz="4" w:themeColor="text1" w:themeTint="000050" w:val="single"/>
        <w:left w:color="000000" w:space="0" w:sz="4" w:themeColor="text1" w:themeTint="000050" w:val="single"/>
        <w:bottom w:color="000000" w:space="0" w:sz="4" w:themeColor="text1" w:themeTint="000050" w:val="single"/>
        <w:right w:color="000000" w:space="0" w:sz="4" w:themeColor="text1" w:themeTint="000050" w:val="single"/>
        <w:insideH w:color="000000" w:space="0" w:sz="4" w:themeColor="text1" w:themeTint="000050" w:val="single"/>
        <w:insideV w:color="000000" w:space="0" w:sz="4" w:themeColor="text1" w:themeTint="000050" w:val="single"/>
      </w:tblBorders>
      <w:tblCellMar>
        <w:top w:w="0.0" w:type="dxa"/>
        <w:left w:w="108.0" w:type="dxa"/>
        <w:bottom w:w="0.0" w:type="dxa"/>
        <w:right w:w="108.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Plain Table 1"/>
    <w:basedOn w:val="907"/>
    <w:uiPriority w:val="59"/>
    <w:pPr>
      <w:pBdr/>
      <w:spacing w:after="0" w:line="240" w:lineRule="auto"/>
      <w:ind/>
    </w:pPr>
    <w:tblPr>
      <w:tblInd w:w="0.0" w:type="dxa"/>
      <w:tblBorders>
        <w:top w:color="000000" w:space="0" w:sz="4" w:themeColor="text1" w:themeTint="000050" w:val="single"/>
        <w:left w:color="000000" w:space="0" w:sz="4" w:themeColor="text1" w:themeTint="000050" w:val="single"/>
        <w:bottom w:color="000000" w:space="0" w:sz="4" w:themeColor="text1" w:themeTint="000050" w:val="single"/>
        <w:right w:color="000000" w:space="0" w:sz="4" w:themeColor="text1" w:themeTint="000050" w:val="single"/>
        <w:insideH w:color="000000" w:space="0" w:sz="4" w:themeColor="text1" w:themeTint="000050" w:val="single"/>
        <w:insideV w:color="000000" w:space="0" w:sz="4" w:themeColor="text1" w:themeTint="000050" w:val="single"/>
      </w:tblBorders>
      <w:tblCellMar>
        <w:top w:w="0.0" w:type="dxa"/>
        <w:left w:w="108.0" w:type="dxa"/>
        <w:bottom w:w="0.0" w:type="dxa"/>
        <w:right w:w="108.0" w:type="dxa"/>
      </w:tblCellMar>
    </w:tblPr>
    <w:tcPr>
      <w:tcBorders/>
    </w:tcPr>
    <w:tblStylePr w:type="band1Horz">
      <w:pPr>
        <w:pBdr/>
        <w:spacing/>
        <w:ind/>
      </w:pPr>
      <w:tblPr>
        <w:tblBorders/>
      </w:tblPr>
      <w:tcPr>
        <w:tcBorders/>
        <w:shd w:color="ffffff" w:fill="f2f2f2" w:themeColor="text1" w:themeFill="text1" w:themeFillTint="00000D" w:themeTint="00000D" w:val="clear"/>
      </w:tcPr>
    </w:tblStylePr>
    <w:tblStylePr w:type="band1Vert">
      <w:pPr>
        <w:pBdr/>
        <w:spacing/>
        <w:ind/>
      </w:pPr>
      <w:tblPr>
        <w:tblBorders/>
      </w:tblPr>
      <w:tcPr>
        <w:tcBorders/>
        <w:shd w:color="ffffff" w:fill="f2f2f2" w:themeColor="text1" w:themeFill="text1" w:themeFillTint="00000D" w:themeTint="00000D"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Plain Table 2"/>
    <w:basedOn w:val="907"/>
    <w:uiPriority w:val="59"/>
    <w:pPr>
      <w:pBdr/>
      <w:spacing w:after="0" w:line="240" w:lineRule="auto"/>
      <w:ind/>
    </w:pPr>
    <w:tblPr>
      <w:tblInd w:w="0.0" w:type="dxa"/>
      <w:tblBorders>
        <w:top w:color="000000" w:space="0" w:sz="4" w:themeColor="text1" w:val="single"/>
        <w:left w:color="000000" w:space="0" w:sz="4" w:themeColor="text1" w:val="none"/>
        <w:bottom w:color="000000" w:space="0" w:sz="4" w:themeColor="text1" w:val="single"/>
        <w:right w:color="000000" w:space="0" w:sz="4" w:themeColor="text1" w:val="none"/>
      </w:tblBorders>
      <w:tblCellMar>
        <w:top w:w="0.0" w:type="dxa"/>
        <w:left w:w="108.0" w:type="dxa"/>
        <w:bottom w:w="0.0" w:type="dxa"/>
        <w:right w:w="108.0" w:type="dxa"/>
      </w:tblCellMar>
    </w:tblPr>
    <w:tcPr>
      <w:tcBorders/>
    </w:tcPr>
    <w:tblStylePr w:type="band1Horz">
      <w:pPr>
        <w:pBdr/>
        <w:spacing/>
        <w:ind/>
      </w:pPr>
      <w:tblPr>
        <w:tblBorders/>
      </w:tblPr>
      <w:tcPr>
        <w:tcBorders>
          <w:top w:color="000000" w:space="0" w:sz="4" w:themeColor="text1" w:val="single"/>
          <w:bottom w:color="000000" w:space="0" w:sz="4" w:themeColor="text1" w:val="single"/>
        </w:tcBorders>
      </w:tcPr>
    </w:tblStylePr>
    <w:tblStylePr w:type="band1Vert">
      <w:pPr>
        <w:pBdr/>
        <w:spacing/>
        <w:ind/>
      </w:pPr>
      <w:tblPr>
        <w:tblBorders/>
      </w:tblPr>
      <w:tcPr>
        <w:tcBorders>
          <w:left w:color="000000" w:space="0" w:sz="4" w:themeColor="text1" w:val="single"/>
          <w:right w:color="000000" w:space="0" w:sz="4" w:themeColor="text1" w:val="single"/>
        </w:tcBorders>
      </w:tcPr>
    </w:tblStylePr>
    <w:tblStylePr w:type="band2Horz">
      <w:pPr>
        <w:pBdr/>
        <w:spacing/>
        <w:ind/>
      </w:pPr>
      <w:tblPr>
        <w:tblBorders/>
      </w:tblPr>
      <w:tcPr>
        <w:tcBorders/>
      </w:tcPr>
    </w:tblStylePr>
    <w:tblStylePr w:type="band2Vert">
      <w:pPr>
        <w:pBdr/>
        <w:spacing/>
        <w:ind/>
      </w:pPr>
      <w:tblPr>
        <w:tblBorders/>
      </w:tblPr>
      <w:tcPr>
        <w:tcBorders>
          <w:left w:color="000000" w:space="0" w:sz="4" w:themeColor="text1" w:val="single"/>
          <w:right w:color="000000" w:space="0" w:sz="4" w:themeColor="text1" w:val="single"/>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text1" w:val="single"/>
          <w:bottom w:color="000000" w:space="0" w:sz="4" w:themeColor="text1" w:val="singl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Plain Table 3"/>
    <w:basedOn w:val="907"/>
    <w:uiPriority w:val="99"/>
    <w:pPr>
      <w:pBdr/>
      <w:spacing w:after="0" w:line="240" w:lineRule="auto"/>
      <w:ind/>
    </w:p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band1Vert">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aps w:val="1"/>
        <w:color w:val="404040"/>
      </w:rPr>
      <w:tblPr>
        <w:tblBorders/>
      </w:tblPr>
      <w:tcPr>
        <w:tcBorders>
          <w:top w:color="000000" w:space="0" w:sz="4" w:val="none"/>
          <w:left w:color="000000" w:space="0" w:sz="4" w:val="none"/>
          <w:bottom w:color="000000" w:space="0" w:sz="4" w:val="none"/>
          <w:right w:color="404040" w:space="0" w:sz="4" w:val="single"/>
        </w:tcBorders>
      </w:tcPr>
    </w:tblStylePr>
    <w:tblStylePr w:type="firstRow">
      <w:pPr>
        <w:pBdr/>
        <w:spacing/>
        <w:ind/>
      </w:pPr>
      <w:rPr>
        <w:b w:val="1"/>
        <w:caps w:val="1"/>
        <w:color w:val="404040"/>
      </w:rPr>
      <w:tblPr>
        <w:tblBorders/>
      </w:tblPr>
      <w:tcPr>
        <w:tcBorders>
          <w:top w:color="000000" w:space="0" w:sz="4" w:val="none"/>
          <w:left w:color="000000" w:space="0" w:sz="4" w:val="none"/>
          <w:bottom w:color="404040" w:space="0" w:sz="4" w:val="single"/>
          <w:right w:color="000000" w:space="0" w:sz="4" w:val="none"/>
        </w:tcBorders>
      </w:tcPr>
    </w:tblStylePr>
    <w:tblStylePr w:type="lastCol">
      <w:pPr>
        <w:pBdr/>
        <w:spacing/>
        <w:ind/>
      </w:pPr>
      <w:rPr>
        <w:b w:val="1"/>
        <w:caps w:val="1"/>
        <w:color w:val="404040"/>
      </w:rPr>
      <w:tblPr>
        <w:tblBorders/>
      </w:tblPr>
      <w:tcPr>
        <w:tcBorders/>
      </w:tcPr>
    </w:tblStylePr>
    <w:tblStylePr w:type="lastRow">
      <w:pPr>
        <w:pBdr/>
        <w:spacing/>
        <w:ind/>
      </w:pPr>
      <w:rPr>
        <w:b w:val="1"/>
        <w:caps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4"/>
    <w:basedOn w:val="907"/>
    <w:uiPriority w:val="99"/>
    <w:pPr>
      <w:pBdr/>
      <w:spacing w:after="0" w:line="240" w:lineRule="auto"/>
      <w:ind/>
    </w:p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band1Vert">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5"/>
    <w:basedOn w:val="907"/>
    <w:uiPriority w:val="99"/>
    <w:pPr>
      <w:pBdr/>
      <w:spacing w:after="0" w:line="240" w:lineRule="auto"/>
      <w:ind/>
    </w:p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band1Vert">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right w:color="404040" w:space="0" w:sz="4" w:val="single"/>
        </w:tcBorders>
        <w:shd w:color="ffffff" w:val="clear"/>
      </w:tcPr>
    </w:tblStylePr>
    <w:tblStylePr w:type="firstRow">
      <w:pPr>
        <w:pBdr/>
        <w:spacing/>
        <w:ind/>
      </w:pPr>
      <w:rPr>
        <w:i w:val="1"/>
        <w:color w:val="404040"/>
      </w:rPr>
      <w:tblPr>
        <w:tblBorders/>
      </w:tblPr>
      <w:tcPr>
        <w:tcBorders>
          <w:left w:color="000000" w:space="0" w:sz="4" w:val="none"/>
          <w:bottom w:color="404040" w:space="0" w:sz="4" w:val="single"/>
          <w:right w:color="000000" w:space="0" w:sz="4" w:val="none"/>
        </w:tcBorders>
        <w:shd w:color="ffffff" w:val="clear"/>
      </w:tcPr>
    </w:tblStylePr>
    <w:tblStylePr w:type="lastCol">
      <w:pPr>
        <w:pBdr/>
        <w:spacing/>
        <w:ind/>
      </w:pPr>
      <w:rPr>
        <w:i w:val="1"/>
        <w:color w:val="404040"/>
      </w:rPr>
      <w:tblPr>
        <w:tblBorders/>
      </w:tblPr>
      <w:tcPr>
        <w:tcBorders>
          <w:left w:color="404040" w:space="0" w:sz="4" w:val="single"/>
        </w:tcBorders>
        <w:shd w:color="ffffff" w:val="clear"/>
      </w:tcPr>
    </w:tblStylePr>
    <w:tblStylePr w:type="lastRow">
      <w:pPr>
        <w:pBdr/>
        <w:spacing/>
        <w:ind/>
      </w:pPr>
      <w:rPr>
        <w:i w:val="1"/>
        <w:color w:val="404040"/>
      </w:rPr>
      <w:tblPr>
        <w:tblBorders/>
      </w:tblPr>
      <w:tcPr>
        <w:tcBorders>
          <w:top w:color="404040" w:space="0" w:sz="4" w:val="single"/>
          <w:left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1 Light"/>
    <w:basedOn w:val="907"/>
    <w:uiPriority w:val="99"/>
    <w:pPr>
      <w:pBdr/>
      <w:spacing w:after="0" w:line="240" w:lineRule="auto"/>
      <w:ind/>
    </w:pPr>
    <w:tblPr>
      <w:tblStyleRowBandSize w:val="1"/>
      <w:tblStyleColBandSize w:val="1"/>
      <w:tblInd w:w="0.0" w:type="dxa"/>
      <w:tblBorders>
        <w:top w:color="000000" w:space="0" w:sz="4" w:themeColor="text1" w:themeTint="000067" w:val="single"/>
        <w:left w:color="000000" w:space="0" w:sz="4" w:themeColor="text1" w:themeTint="000067" w:val="single"/>
        <w:bottom w:color="000000" w:space="0" w:sz="4" w:themeColor="text1" w:themeTint="000067" w:val="single"/>
        <w:right w:color="000000" w:space="0" w:sz="4" w:themeColor="text1" w:themeTint="000067" w:val="single"/>
        <w:insideH w:color="000000" w:space="0" w:sz="4" w:themeColor="text1" w:themeTint="000067" w:val="single"/>
        <w:insideV w:color="000000" w:space="0" w:sz="4" w:themeColor="text1"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text1" w:themeTint="000067" w:val="single"/>
          <w:left w:color="000000" w:space="0" w:sz="4" w:themeColor="text1" w:themeTint="000067" w:val="single"/>
          <w:bottom w:color="000000" w:space="0" w:sz="4" w:themeColor="text1" w:themeTint="000067" w:val="single"/>
          <w:right w:color="000000" w:space="0" w:sz="4" w:themeColor="text1"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text1" w:themeTint="000095"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1 Light - Accent 1"/>
    <w:basedOn w:val="907"/>
    <w:uiPriority w:val="99"/>
    <w:pPr>
      <w:pBdr/>
      <w:spacing w:after="0" w:line="240" w:lineRule="auto"/>
      <w:ind/>
    </w:pPr>
    <w:tblPr>
      <w:tblStyleRowBandSize w:val="1"/>
      <w:tblStyleColBandSize w:val="1"/>
      <w:tblInd w:w="0.0" w:type="dxa"/>
      <w:tblBorders>
        <w:top w:color="000000" w:space="0" w:sz="4" w:themeColor="accent1" w:themeTint="000067" w:val="single"/>
        <w:left w:color="000000" w:space="0" w:sz="4" w:themeColor="accent1" w:themeTint="000067" w:val="single"/>
        <w:bottom w:color="000000" w:space="0" w:sz="4" w:themeColor="accent1" w:themeTint="000067" w:val="single"/>
        <w:right w:color="000000" w:space="0" w:sz="4" w:themeColor="accent1" w:themeTint="000067" w:val="single"/>
        <w:insideH w:color="000000" w:space="0" w:sz="4" w:themeColor="accent1" w:themeTint="000067" w:val="single"/>
        <w:insideV w:color="000000" w:space="0" w:sz="4" w:themeColor="accent1"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1" w:themeTint="000067" w:val="single"/>
          <w:left w:color="000000" w:space="0" w:sz="4" w:themeColor="accent1" w:themeTint="000067" w:val="single"/>
          <w:bottom w:color="000000" w:space="0" w:sz="4" w:themeColor="accent1" w:themeTint="000067" w:val="single"/>
          <w:right w:color="000000" w:space="0" w:sz="4" w:themeColor="accent1"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accent1" w:themeTint="000095"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1 Light - Accent 2"/>
    <w:basedOn w:val="907"/>
    <w:uiPriority w:val="99"/>
    <w:pPr>
      <w:pBdr/>
      <w:spacing w:after="0" w:line="240" w:lineRule="auto"/>
      <w:ind/>
    </w:pPr>
    <w:tblPr>
      <w:tblStyleRowBandSize w:val="1"/>
      <w:tblStyleColBandSize w:val="1"/>
      <w:tblInd w:w="0.0" w:type="dxa"/>
      <w:tblBorders>
        <w:top w:color="000000" w:space="0" w:sz="4" w:themeColor="accent2" w:themeTint="000067" w:val="single"/>
        <w:left w:color="000000" w:space="0" w:sz="4" w:themeColor="accent2" w:themeTint="000067" w:val="single"/>
        <w:bottom w:color="000000" w:space="0" w:sz="4" w:themeColor="accent2" w:themeTint="000067" w:val="single"/>
        <w:right w:color="000000" w:space="0" w:sz="4" w:themeColor="accent2" w:themeTint="000067" w:val="single"/>
        <w:insideH w:color="000000" w:space="0" w:sz="4" w:themeColor="accent2" w:themeTint="000067" w:val="single"/>
        <w:insideV w:color="000000" w:space="0" w:sz="4" w:themeColor="accent2"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2" w:themeTint="000067" w:val="single"/>
          <w:left w:color="000000" w:space="0" w:sz="4" w:themeColor="accent2" w:themeTint="000067" w:val="single"/>
          <w:bottom w:color="000000" w:space="0" w:sz="4" w:themeColor="accent2" w:themeTint="000067" w:val="single"/>
          <w:right w:color="000000" w:space="0" w:sz="4" w:themeColor="accent2"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accent2" w:themeTint="000095"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 Accent 3"/>
    <w:basedOn w:val="907"/>
    <w:uiPriority w:val="99"/>
    <w:pPr>
      <w:pBdr/>
      <w:spacing w:after="0" w:line="240" w:lineRule="auto"/>
      <w:ind/>
    </w:pPr>
    <w:tblPr>
      <w:tblStyleRowBandSize w:val="1"/>
      <w:tblStyleColBandSize w:val="1"/>
      <w:tblInd w:w="0.0" w:type="dxa"/>
      <w:tblBorders>
        <w:top w:color="000000" w:space="0" w:sz="4" w:themeColor="accent3" w:themeTint="000067" w:val="single"/>
        <w:left w:color="000000" w:space="0" w:sz="4" w:themeColor="accent3" w:themeTint="000067" w:val="single"/>
        <w:bottom w:color="000000" w:space="0" w:sz="4" w:themeColor="accent3" w:themeTint="000067" w:val="single"/>
        <w:right w:color="000000" w:space="0" w:sz="4" w:themeColor="accent3" w:themeTint="000067" w:val="single"/>
        <w:insideH w:color="000000" w:space="0" w:sz="4" w:themeColor="accent3" w:themeTint="000067" w:val="single"/>
        <w:insideV w:color="000000" w:space="0" w:sz="4" w:themeColor="accent3"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3" w:themeTint="000067" w:val="single"/>
          <w:left w:color="000000" w:space="0" w:sz="4" w:themeColor="accent3" w:themeTint="000067" w:val="single"/>
          <w:bottom w:color="000000" w:space="0" w:sz="4" w:themeColor="accent3" w:themeTint="000067" w:val="single"/>
          <w:right w:color="000000" w:space="0" w:sz="4" w:themeColor="accent3"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accent3" w:themeTint="000095"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4"/>
    <w:basedOn w:val="907"/>
    <w:uiPriority w:val="99"/>
    <w:pPr>
      <w:pBdr/>
      <w:spacing w:after="0" w:line="240" w:lineRule="auto"/>
      <w:ind/>
    </w:pPr>
    <w:tblPr>
      <w:tblStyleRowBandSize w:val="1"/>
      <w:tblStyleColBandSize w:val="1"/>
      <w:tblInd w:w="0.0" w:type="dxa"/>
      <w:tblBorders>
        <w:top w:color="000000" w:space="0" w:sz="4" w:themeColor="accent4" w:themeTint="000067" w:val="single"/>
        <w:left w:color="000000" w:space="0" w:sz="4" w:themeColor="accent4" w:themeTint="000067" w:val="single"/>
        <w:bottom w:color="000000" w:space="0" w:sz="4" w:themeColor="accent4" w:themeTint="000067" w:val="single"/>
        <w:right w:color="000000" w:space="0" w:sz="4" w:themeColor="accent4" w:themeTint="000067" w:val="single"/>
        <w:insideH w:color="000000" w:space="0" w:sz="4" w:themeColor="accent4" w:themeTint="000067" w:val="single"/>
        <w:insideV w:color="000000" w:space="0" w:sz="4" w:themeColor="accent4"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4" w:themeTint="000067" w:val="single"/>
          <w:left w:color="000000" w:space="0" w:sz="4" w:themeColor="accent4" w:themeTint="000067" w:val="single"/>
          <w:bottom w:color="000000" w:space="0" w:sz="4" w:themeColor="accent4" w:themeTint="000067" w:val="single"/>
          <w:right w:color="000000" w:space="0" w:sz="4" w:themeColor="accent4"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accent4" w:themeTint="000095"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5"/>
    <w:basedOn w:val="907"/>
    <w:uiPriority w:val="99"/>
    <w:pPr>
      <w:pBdr/>
      <w:spacing w:after="0" w:line="240" w:lineRule="auto"/>
      <w:ind/>
    </w:pPr>
    <w:tblPr>
      <w:tblStyleRowBandSize w:val="1"/>
      <w:tblStyleColBandSize w:val="1"/>
      <w:tblInd w:w="0.0" w:type="dxa"/>
      <w:tblBorders>
        <w:top w:color="000000" w:space="0" w:sz="4" w:themeColor="accent5" w:themeTint="000067" w:val="single"/>
        <w:left w:color="000000" w:space="0" w:sz="4" w:themeColor="accent5" w:themeTint="000067" w:val="single"/>
        <w:bottom w:color="000000" w:space="0" w:sz="4" w:themeColor="accent5" w:themeTint="000067" w:val="single"/>
        <w:right w:color="000000" w:space="0" w:sz="4" w:themeColor="accent5" w:themeTint="000067" w:val="single"/>
        <w:insideH w:color="000000" w:space="0" w:sz="4" w:themeColor="accent5" w:themeTint="000067" w:val="single"/>
        <w:insideV w:color="000000" w:space="0" w:sz="4" w:themeColor="accent5"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5" w:themeTint="000067" w:val="single"/>
          <w:left w:color="000000" w:space="0" w:sz="4" w:themeColor="accent5" w:themeTint="000067" w:val="single"/>
          <w:bottom w:color="000000" w:space="0" w:sz="4" w:themeColor="accent5" w:themeTint="000067" w:val="single"/>
          <w:right w:color="000000" w:space="0" w:sz="4" w:themeColor="accent5"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accent5" w:themeTint="000095"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6"/>
    <w:basedOn w:val="907"/>
    <w:uiPriority w:val="99"/>
    <w:pPr>
      <w:pBdr/>
      <w:spacing w:after="0" w:line="240" w:lineRule="auto"/>
      <w:ind/>
    </w:pPr>
    <w:tblPr>
      <w:tblStyleRowBandSize w:val="1"/>
      <w:tblStyleColBandSize w:val="1"/>
      <w:tblInd w:w="0.0" w:type="dxa"/>
      <w:tblBorders>
        <w:top w:color="000000" w:space="0" w:sz="4" w:themeColor="accent6" w:themeTint="000067" w:val="single"/>
        <w:left w:color="000000" w:space="0" w:sz="4" w:themeColor="accent6" w:themeTint="000067" w:val="single"/>
        <w:bottom w:color="000000" w:space="0" w:sz="4" w:themeColor="accent6" w:themeTint="000067" w:val="single"/>
        <w:right w:color="000000" w:space="0" w:sz="4" w:themeColor="accent6" w:themeTint="000067" w:val="single"/>
        <w:insideH w:color="000000" w:space="0" w:sz="4" w:themeColor="accent6" w:themeTint="000067" w:val="single"/>
        <w:insideV w:color="000000" w:space="0" w:sz="4" w:themeColor="accent6"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6" w:themeTint="000067" w:val="single"/>
          <w:left w:color="000000" w:space="0" w:sz="4" w:themeColor="accent6" w:themeTint="000067" w:val="single"/>
          <w:bottom w:color="000000" w:space="0" w:sz="4" w:themeColor="accent6" w:themeTint="000067" w:val="single"/>
          <w:right w:color="000000" w:space="0" w:sz="4" w:themeColor="accent6"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accent6" w:themeTint="000095"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2"/>
    <w:basedOn w:val="907"/>
    <w:uiPriority w:val="99"/>
    <w:pPr>
      <w:pBdr/>
      <w:spacing w:after="0" w:line="240" w:lineRule="auto"/>
      <w:ind/>
    </w:pPr>
    <w:tblPr>
      <w:tblStyleRowBandSize w:val="1"/>
      <w:tblStyleColBandSize w:val="1"/>
      <w:tblInd w:w="0.0" w:type="dxa"/>
      <w:tblBorders>
        <w:bottom w:color="000000" w:space="0" w:sz="4" w:themeColor="text1" w:themeTint="000095" w:val="single"/>
        <w:insideH w:color="000000" w:space="0" w:sz="4" w:themeColor="text1" w:themeTint="000095" w:val="single"/>
        <w:insideV w:color="000000" w:space="0" w:sz="4" w:themeColor="text1" w:themeTint="000095" w:val="single"/>
      </w:tblBorders>
    </w:tblPr>
    <w:tcPr>
      <w:tcBorders/>
    </w:tcPr>
    <w:tblStylePr w:type="band1Horz">
      <w:pPr>
        <w:pBdr/>
        <w:spacing/>
        <w:ind/>
      </w:pPr>
      <w:rPr>
        <w:rFonts w:ascii="Arial" w:hAnsi="Arial"/>
        <w:color w:val="404040"/>
        <w:sz w:val="22"/>
      </w:rPr>
      <w:tblPr>
        <w:tblBorders/>
      </w:tblPr>
      <w:tcPr>
        <w:tcBorders/>
        <w:shd w:color="ffffff" w:fill="cbcbcb" w:themeColor="text1" w:themeFill="text1" w:themeFillTint="000034" w:themeTint="000034" w:val="clear"/>
      </w:tcPr>
    </w:tblStylePr>
    <w:tblStylePr w:type="band1Vert">
      <w:pPr>
        <w:pBdr/>
        <w:spacing/>
        <w:ind/>
      </w:pPr>
      <w:rPr>
        <w:rFonts w:ascii="Arial" w:hAnsi="Arial"/>
        <w:color w:val="404040"/>
        <w:sz w:val="22"/>
      </w:rPr>
      <w:tblPr>
        <w:tblBorders/>
      </w:tblPr>
      <w:tcPr>
        <w:tcBorders/>
        <w:shd w:color="ffffff" w:fill="cbcbcb" w:themeColor="text1" w:themeFill="text1"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text1" w:themeTint="000095"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text1" w:themeTint="000095"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2 - Accent 1"/>
    <w:basedOn w:val="907"/>
    <w:uiPriority w:val="99"/>
    <w:pPr>
      <w:pBdr/>
      <w:spacing w:after="0" w:line="240" w:lineRule="auto"/>
      <w:ind/>
    </w:pPr>
    <w:tblPr>
      <w:tblStyleRowBandSize w:val="1"/>
      <w:tblStyleColBandSize w:val="1"/>
      <w:tblInd w:w="0.0" w:type="dxa"/>
      <w:tblBorders>
        <w:bottom w:color="000000" w:space="0" w:sz="4" w:themeColor="accent1" w:themeTint="0000EA" w:val="single"/>
        <w:insideH w:color="000000" w:space="0" w:sz="4" w:themeColor="accent1" w:themeTint="0000EA" w:val="single"/>
        <w:insideV w:color="000000" w:space="0" w:sz="4" w:themeColor="accent1" w:themeTint="0000EA" w:val="single"/>
      </w:tblBorders>
    </w:tblPr>
    <w:tcPr>
      <w:tcBorders/>
    </w:tcPr>
    <w:tblStylePr w:type="band1Horz">
      <w:pPr>
        <w:pBdr/>
        <w:spacing/>
        <w:ind/>
      </w:pPr>
      <w:rPr>
        <w:rFonts w:ascii="Arial" w:hAnsi="Arial"/>
        <w:color w:val="404040"/>
        <w:sz w:val="22"/>
      </w:rPr>
      <w:tblPr>
        <w:tblBorders/>
      </w:tblPr>
      <w:tcPr>
        <w:tcBorders/>
        <w:shd w:color="ffffff" w:fill="deebf6" w:themeColor="accent1" w:themeFill="accent1" w:themeFillTint="000034" w:themeTint="000034" w:val="clear"/>
      </w:tcPr>
    </w:tblStylePr>
    <w:tblStylePr w:type="band1Vert">
      <w:pPr>
        <w:pBdr/>
        <w:spacing/>
        <w:ind/>
      </w:pPr>
      <w:rPr>
        <w:rFonts w:ascii="Arial" w:hAnsi="Arial"/>
        <w:color w:val="404040"/>
        <w:sz w:val="22"/>
      </w:rPr>
      <w:tblPr>
        <w:tblBorders/>
      </w:tblPr>
      <w:tcPr>
        <w:tcBorders/>
        <w:shd w:color="ffffff" w:fill="deebf6" w:themeColor="accent1" w:themeFill="accent1"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accent1" w:themeTint="0000EA"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1" w:themeTint="0000EA"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2 - Accent 2"/>
    <w:basedOn w:val="907"/>
    <w:uiPriority w:val="99"/>
    <w:pPr>
      <w:pBdr/>
      <w:spacing w:after="0" w:line="240" w:lineRule="auto"/>
      <w:ind/>
    </w:pPr>
    <w:tblPr>
      <w:tblStyleRowBandSize w:val="1"/>
      <w:tblStyleColBandSize w:val="1"/>
      <w:tblInd w:w="0.0" w:type="dxa"/>
      <w:tblBorders>
        <w:bottom w:color="000000" w:space="0" w:sz="4" w:themeColor="accent2" w:themeTint="000097" w:val="single"/>
        <w:insideH w:color="000000" w:space="0" w:sz="4" w:themeColor="accent2" w:themeTint="000097" w:val="single"/>
        <w:insideV w:color="000000" w:space="0" w:sz="4" w:themeColor="accent2" w:themeTint="000097" w:val="single"/>
      </w:tblBorders>
    </w:tblPr>
    <w:tcPr>
      <w:tcBorders/>
    </w:tcPr>
    <w:tblStylePr w:type="band1Horz">
      <w:pPr>
        <w:pBdr/>
        <w:spacing/>
        <w:ind/>
      </w:pPr>
      <w:rPr>
        <w:rFonts w:ascii="Arial" w:hAnsi="Arial"/>
        <w:color w:val="404040"/>
        <w:sz w:val="22"/>
      </w:rPr>
      <w:tblPr>
        <w:tblBorders/>
      </w:tblPr>
      <w:tcPr>
        <w:tcBorders/>
        <w:shd w:color="ffffff" w:fill="fbe6d7" w:themeColor="accent2" w:themeFill="accent2" w:themeFillTint="000032" w:themeTint="000032" w:val="clear"/>
      </w:tcPr>
    </w:tblStylePr>
    <w:tblStylePr w:type="band1Vert">
      <w:pPr>
        <w:pBdr/>
        <w:spacing/>
        <w:ind/>
      </w:pPr>
      <w:rPr>
        <w:rFonts w:ascii="Arial" w:hAnsi="Arial"/>
        <w:color w:val="404040"/>
        <w:sz w:val="22"/>
      </w:rPr>
      <w:tblPr>
        <w:tblBorders/>
      </w:tblPr>
      <w:tcPr>
        <w:tcBorders/>
        <w:shd w:color="ffffff" w:fill="fbe6d7" w:themeColor="accent2" w:themeFill="accent2" w:themeFillTint="000032" w:themeTint="000032"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accent2" w:themeTint="000097"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2" w:themeTint="000097"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 Accent 3"/>
    <w:basedOn w:val="907"/>
    <w:uiPriority w:val="99"/>
    <w:pPr>
      <w:pBdr/>
      <w:spacing w:after="0" w:line="240" w:lineRule="auto"/>
      <w:ind/>
    </w:pPr>
    <w:tblPr>
      <w:tblStyleRowBandSize w:val="1"/>
      <w:tblStyleColBandSize w:val="1"/>
      <w:tblInd w:w="0.0" w:type="dxa"/>
      <w:tblBorders>
        <w:bottom w:color="000000" w:space="0" w:sz="4" w:themeColor="accent3" w:themeTint="0000FE" w:val="single"/>
        <w:insideH w:color="000000" w:space="0" w:sz="4" w:themeColor="accent3" w:themeTint="0000FE" w:val="single"/>
        <w:insideV w:color="000000" w:space="0" w:sz="4" w:themeColor="accent3" w:themeTint="0000FE" w:val="single"/>
      </w:tblBorders>
    </w:tblPr>
    <w:tcPr>
      <w:tcBorders/>
    </w:tcPr>
    <w:tblStylePr w:type="band1Horz">
      <w:pPr>
        <w:pBdr/>
        <w:spacing/>
        <w:ind/>
      </w:pPr>
      <w:rPr>
        <w:rFonts w:ascii="Arial" w:hAnsi="Arial"/>
        <w:color w:val="404040"/>
        <w:sz w:val="22"/>
      </w:rPr>
      <w:tblPr>
        <w:tblBorders/>
      </w:tblPr>
      <w:tcPr>
        <w:tcBorders/>
        <w:shd w:color="ffffff" w:fill="ededed" w:themeColor="accent3" w:themeFill="accent3" w:themeFillTint="000034" w:themeTint="000034" w:val="clear"/>
      </w:tcPr>
    </w:tblStylePr>
    <w:tblStylePr w:type="band1Vert">
      <w:pPr>
        <w:pBdr/>
        <w:spacing/>
        <w:ind/>
      </w:pPr>
      <w:rPr>
        <w:rFonts w:ascii="Arial" w:hAnsi="Arial"/>
        <w:color w:val="404040"/>
        <w:sz w:val="22"/>
      </w:rPr>
      <w:tblPr>
        <w:tblBorders/>
      </w:tblPr>
      <w:tcPr>
        <w:tcBorders/>
        <w:shd w:color="ffffff" w:fill="ededed" w:themeColor="accent3" w:themeFill="accent3"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accent3" w:themeTint="0000FE"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3" w:themeTint="0000FE"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4"/>
    <w:basedOn w:val="907"/>
    <w:uiPriority w:val="99"/>
    <w:pPr>
      <w:pBdr/>
      <w:spacing w:after="0" w:line="240" w:lineRule="auto"/>
      <w:ind/>
    </w:pPr>
    <w:tblPr>
      <w:tblStyleRowBandSize w:val="1"/>
      <w:tblStyleColBandSize w:val="1"/>
      <w:tblInd w:w="0.0" w:type="dxa"/>
      <w:tblBorders>
        <w:bottom w:color="000000" w:space="0" w:sz="4" w:themeColor="accent4" w:themeTint="00009A" w:val="single"/>
        <w:insideH w:color="000000" w:space="0" w:sz="4" w:themeColor="accent4" w:themeTint="00009A" w:val="single"/>
        <w:insideV w:color="000000" w:space="0" w:sz="4" w:themeColor="accent4" w:themeTint="00009A" w:val="single"/>
      </w:tblBorders>
    </w:tblPr>
    <w:tcPr>
      <w:tcBorders/>
    </w:tcPr>
    <w:tblStylePr w:type="band1Horz">
      <w:pPr>
        <w:pBdr/>
        <w:spacing/>
        <w:ind/>
      </w:pPr>
      <w:rPr>
        <w:rFonts w:ascii="Arial" w:hAnsi="Arial"/>
        <w:color w:val="404040"/>
        <w:sz w:val="22"/>
      </w:rPr>
      <w:tblPr>
        <w:tblBorders/>
      </w:tblPr>
      <w:tcPr>
        <w:tcBorders/>
        <w:shd w:color="ffffff" w:fill="fff2cb" w:themeColor="accent4" w:themeFill="accent4" w:themeFillTint="000034" w:themeTint="000034" w:val="clear"/>
      </w:tcPr>
    </w:tblStylePr>
    <w:tblStylePr w:type="band1Vert">
      <w:pPr>
        <w:pBdr/>
        <w:spacing/>
        <w:ind/>
      </w:pPr>
      <w:rPr>
        <w:rFonts w:ascii="Arial" w:hAnsi="Arial"/>
        <w:color w:val="404040"/>
        <w:sz w:val="22"/>
      </w:rPr>
      <w:tblPr>
        <w:tblBorders/>
      </w:tblPr>
      <w:tcPr>
        <w:tcBorders/>
        <w:shd w:color="ffffff" w:fill="fff2cb" w:themeColor="accent4" w:themeFill="accent4"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accent4" w:themeTint="00009A"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4" w:themeTint="00009A"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5"/>
    <w:basedOn w:val="907"/>
    <w:uiPriority w:val="99"/>
    <w:pPr>
      <w:pBdr/>
      <w:spacing w:after="0" w:line="240" w:lineRule="auto"/>
      <w:ind/>
    </w:pPr>
    <w:tblPr>
      <w:tblStyleRowBandSize w:val="1"/>
      <w:tblStyleColBandSize w:val="1"/>
      <w:tblInd w:w="0.0" w:type="dxa"/>
      <w:tblBorders>
        <w:bottom w:color="000000" w:space="0" w:sz="4" w:themeColor="accent5" w:val="single"/>
        <w:insideH w:color="000000" w:space="0" w:sz="4" w:themeColor="accent5" w:val="single"/>
        <w:insideV w:color="000000" w:space="0" w:sz="4" w:themeColor="accent5" w:val="single"/>
      </w:tblBorders>
    </w:tblPr>
    <w:tcPr>
      <w:tcBorders/>
    </w:tcPr>
    <w:tblStylePr w:type="band1Horz">
      <w:pPr>
        <w:pBdr/>
        <w:spacing/>
        <w:ind/>
      </w:pPr>
      <w:rPr>
        <w:rFonts w:ascii="Arial" w:hAnsi="Arial"/>
        <w:color w:val="404040"/>
        <w:sz w:val="22"/>
      </w:rPr>
      <w:tblPr>
        <w:tblBorders/>
      </w:tblPr>
      <w:tcPr>
        <w:tcBorders/>
        <w:shd w:color="ffffff" w:fill="d9e2f3" w:themeColor="accent5" w:themeFill="accent5" w:themeFillTint="000034" w:themeTint="000034" w:val="clear"/>
      </w:tcPr>
    </w:tblStylePr>
    <w:tblStylePr w:type="band1Vert">
      <w:pPr>
        <w:pBdr/>
        <w:spacing/>
        <w:ind/>
      </w:pPr>
      <w:rPr>
        <w:rFonts w:ascii="Arial" w:hAnsi="Arial"/>
        <w:color w:val="404040"/>
        <w:sz w:val="22"/>
      </w:rPr>
      <w:tblPr>
        <w:tblBorders/>
      </w:tblPr>
      <w:tcPr>
        <w:tcBorders/>
        <w:shd w:color="ffffff" w:fill="d9e2f3" w:themeColor="accent5" w:themeFill="accent5"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accent5"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5"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6"/>
    <w:basedOn w:val="907"/>
    <w:uiPriority w:val="99"/>
    <w:pPr>
      <w:pBdr/>
      <w:spacing w:after="0" w:line="240" w:lineRule="auto"/>
      <w:ind/>
    </w:pPr>
    <w:tblPr>
      <w:tblStyleRowBandSize w:val="1"/>
      <w:tblStyleColBandSize w:val="1"/>
      <w:tblInd w:w="0.0" w:type="dxa"/>
      <w:tblBorders>
        <w:bottom w:color="000000" w:space="0" w:sz="4" w:themeColor="accent6" w:val="single"/>
        <w:insideH w:color="000000" w:space="0" w:sz="4" w:themeColor="accent6" w:val="single"/>
        <w:insideV w:color="000000" w:space="0" w:sz="4" w:themeColor="accent6" w:val="single"/>
      </w:tblBorders>
    </w:tblPr>
    <w:tcPr>
      <w:tcBorders/>
    </w:tcPr>
    <w:tblStylePr w:type="band1Horz">
      <w:pPr>
        <w:pBdr/>
        <w:spacing/>
        <w:ind/>
      </w:pPr>
      <w:rPr>
        <w:rFonts w:ascii="Arial" w:hAnsi="Arial"/>
        <w:color w:val="404040"/>
        <w:sz w:val="22"/>
      </w:rPr>
      <w:tblPr>
        <w:tblBorders/>
      </w:tblPr>
      <w:tcPr>
        <w:tcBorders/>
        <w:shd w:color="ffffff" w:fill="e2efd9" w:themeColor="accent6" w:themeFill="accent6" w:themeFillTint="000034" w:themeTint="000034" w:val="clear"/>
      </w:tcPr>
    </w:tblStylePr>
    <w:tblStylePr w:type="band1Vert">
      <w:pPr>
        <w:pBdr/>
        <w:spacing/>
        <w:ind/>
      </w:pPr>
      <w:rPr>
        <w:rFonts w:ascii="Arial" w:hAnsi="Arial"/>
        <w:color w:val="404040"/>
        <w:sz w:val="22"/>
      </w:rPr>
      <w:tblPr>
        <w:tblBorders/>
      </w:tblPr>
      <w:tcPr>
        <w:tcBorders/>
        <w:shd w:color="ffffff" w:fill="e2efd9" w:themeColor="accent6" w:themeFill="accent6"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accent6"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6"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3"/>
    <w:basedOn w:val="907"/>
    <w:uiPriority w:val="99"/>
    <w:pPr>
      <w:pBdr/>
      <w:spacing w:after="0" w:line="240" w:lineRule="auto"/>
      <w:ind/>
    </w:pPr>
    <w:tblPr>
      <w:tblStyleRowBandSize w:val="1"/>
      <w:tblStyleColBandSize w:val="1"/>
      <w:tblInd w:w="0.0" w:type="dxa"/>
      <w:tblBorders>
        <w:bottom w:color="000000" w:space="0" w:sz="4" w:themeColor="text1" w:themeTint="000095" w:val="single"/>
        <w:insideH w:color="000000" w:space="0" w:sz="4" w:themeColor="text1" w:themeTint="000095" w:val="single"/>
        <w:insideV w:color="000000" w:space="0" w:sz="4" w:themeColor="text1" w:themeTint="000095" w:val="single"/>
      </w:tblBorders>
    </w:tblPr>
    <w:tcPr>
      <w:tcBorders/>
    </w:tcPr>
    <w:tblStylePr w:type="band1Horz">
      <w:pPr>
        <w:pBdr/>
        <w:spacing/>
        <w:ind/>
      </w:pPr>
      <w:rPr>
        <w:rFonts w:ascii="Arial" w:hAnsi="Arial"/>
        <w:color w:val="404040"/>
        <w:sz w:val="22"/>
      </w:rPr>
      <w:tblPr>
        <w:tblBorders/>
      </w:tblPr>
      <w:tcPr>
        <w:tcBorders/>
        <w:shd w:color="ffffff" w:fill="cbcbcb" w:themeColor="text1" w:themeFill="text1" w:themeFillTint="000034" w:themeTint="000034" w:val="clear"/>
      </w:tcPr>
    </w:tblStylePr>
    <w:tblStylePr w:type="band1Vert">
      <w:pPr>
        <w:pBdr/>
        <w:spacing/>
        <w:ind/>
      </w:pPr>
      <w:rPr>
        <w:rFonts w:ascii="Arial" w:hAnsi="Arial"/>
        <w:color w:val="404040"/>
        <w:sz w:val="22"/>
      </w:rPr>
      <w:tblPr>
        <w:tblBorders/>
      </w:tblPr>
      <w:tcPr>
        <w:tcBorders/>
        <w:shd w:color="ffffff" w:fill="cbcbcb" w:themeColor="text1" w:themeFill="text1"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3 - Accent 1"/>
    <w:basedOn w:val="907"/>
    <w:uiPriority w:val="99"/>
    <w:pPr>
      <w:pBdr/>
      <w:spacing w:after="0" w:line="240" w:lineRule="auto"/>
      <w:ind/>
    </w:pPr>
    <w:tblPr>
      <w:tblStyleRowBandSize w:val="1"/>
      <w:tblStyleColBandSize w:val="1"/>
      <w:tblInd w:w="0.0" w:type="dxa"/>
      <w:tblBorders>
        <w:bottom w:color="000000" w:space="0" w:sz="4" w:themeColor="accent1" w:themeTint="0000EA" w:val="single"/>
        <w:insideH w:color="000000" w:space="0" w:sz="4" w:themeColor="accent1" w:themeTint="0000EA" w:val="single"/>
        <w:insideV w:color="000000" w:space="0" w:sz="4" w:themeColor="accent1" w:themeTint="0000EA" w:val="single"/>
      </w:tblBorders>
    </w:tblPr>
    <w:tcPr>
      <w:tcBorders/>
    </w:tcPr>
    <w:tblStylePr w:type="band1Horz">
      <w:pPr>
        <w:pBdr/>
        <w:spacing/>
        <w:ind/>
      </w:pPr>
      <w:rPr>
        <w:rFonts w:ascii="Arial" w:hAnsi="Arial"/>
        <w:color w:val="404040"/>
        <w:sz w:val="22"/>
      </w:rPr>
      <w:tblPr>
        <w:tblBorders/>
      </w:tblPr>
      <w:tcPr>
        <w:tcBorders/>
        <w:shd w:color="ffffff" w:fill="deebf6" w:themeColor="accent1" w:themeFill="accent1" w:themeFillTint="000034" w:themeTint="000034" w:val="clear"/>
      </w:tcPr>
    </w:tblStylePr>
    <w:tblStylePr w:type="band1Vert">
      <w:pPr>
        <w:pBdr/>
        <w:spacing/>
        <w:ind/>
      </w:pPr>
      <w:rPr>
        <w:rFonts w:ascii="Arial" w:hAnsi="Arial"/>
        <w:color w:val="404040"/>
        <w:sz w:val="22"/>
      </w:rPr>
      <w:tblPr>
        <w:tblBorders/>
      </w:tblPr>
      <w:tcPr>
        <w:tcBorders/>
        <w:shd w:color="ffffff" w:fill="deebf6" w:themeColor="accent1" w:themeFill="accent1"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3 - Accent 2"/>
    <w:basedOn w:val="907"/>
    <w:uiPriority w:val="99"/>
    <w:pPr>
      <w:pBdr/>
      <w:spacing w:after="0" w:line="240" w:lineRule="auto"/>
      <w:ind/>
    </w:pPr>
    <w:tblPr>
      <w:tblStyleRowBandSize w:val="1"/>
      <w:tblStyleColBandSize w:val="1"/>
      <w:tblInd w:w="0.0" w:type="dxa"/>
      <w:tblBorders>
        <w:bottom w:color="000000" w:space="0" w:sz="4" w:themeColor="accent2" w:themeTint="000097" w:val="single"/>
        <w:insideH w:color="000000" w:space="0" w:sz="4" w:themeColor="accent2" w:themeTint="000097" w:val="single"/>
        <w:insideV w:color="000000" w:space="0" w:sz="4" w:themeColor="accent2" w:themeTint="000097" w:val="single"/>
      </w:tblBorders>
    </w:tblPr>
    <w:tcPr>
      <w:tcBorders/>
    </w:tcPr>
    <w:tblStylePr w:type="band1Horz">
      <w:pPr>
        <w:pBdr/>
        <w:spacing/>
        <w:ind/>
      </w:pPr>
      <w:rPr>
        <w:rFonts w:ascii="Arial" w:hAnsi="Arial"/>
        <w:color w:val="404040"/>
        <w:sz w:val="22"/>
      </w:rPr>
      <w:tblPr>
        <w:tblBorders/>
      </w:tblPr>
      <w:tcPr>
        <w:tcBorders/>
        <w:shd w:color="ffffff" w:fill="fbe6d7" w:themeColor="accent2" w:themeFill="accent2" w:themeFillTint="000032" w:themeTint="000032" w:val="clear"/>
      </w:tcPr>
    </w:tblStylePr>
    <w:tblStylePr w:type="band1Vert">
      <w:pPr>
        <w:pBdr/>
        <w:spacing/>
        <w:ind/>
      </w:pPr>
      <w:rPr>
        <w:rFonts w:ascii="Arial" w:hAnsi="Arial"/>
        <w:color w:val="404040"/>
        <w:sz w:val="22"/>
      </w:rPr>
      <w:tblPr>
        <w:tblBorders/>
      </w:tblPr>
      <w:tcPr>
        <w:tcBorders/>
        <w:shd w:color="ffffff" w:fill="fbe6d7" w:themeColor="accent2" w:themeFill="accent2" w:themeFillTint="000032" w:themeTint="000032"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 Accent 3"/>
    <w:basedOn w:val="907"/>
    <w:uiPriority w:val="99"/>
    <w:pPr>
      <w:pBdr/>
      <w:spacing w:after="0" w:line="240" w:lineRule="auto"/>
      <w:ind/>
    </w:pPr>
    <w:tblPr>
      <w:tblStyleRowBandSize w:val="1"/>
      <w:tblStyleColBandSize w:val="1"/>
      <w:tblInd w:w="0.0" w:type="dxa"/>
      <w:tblBorders>
        <w:bottom w:color="000000" w:space="0" w:sz="4" w:themeColor="accent3" w:themeTint="0000FE" w:val="single"/>
        <w:insideH w:color="000000" w:space="0" w:sz="4" w:themeColor="accent3" w:themeTint="0000FE" w:val="single"/>
        <w:insideV w:color="000000" w:space="0" w:sz="4" w:themeColor="accent3" w:themeTint="0000FE" w:val="single"/>
      </w:tblBorders>
    </w:tblPr>
    <w:tcPr>
      <w:tcBorders/>
    </w:tcPr>
    <w:tblStylePr w:type="band1Horz">
      <w:pPr>
        <w:pBdr/>
        <w:spacing/>
        <w:ind/>
      </w:pPr>
      <w:rPr>
        <w:rFonts w:ascii="Arial" w:hAnsi="Arial"/>
        <w:color w:val="404040"/>
        <w:sz w:val="22"/>
      </w:rPr>
      <w:tblPr>
        <w:tblBorders/>
      </w:tblPr>
      <w:tcPr>
        <w:tcBorders/>
        <w:shd w:color="ffffff" w:fill="ededed" w:themeColor="accent3" w:themeFill="accent3" w:themeFillTint="000034" w:themeTint="000034" w:val="clear"/>
      </w:tcPr>
    </w:tblStylePr>
    <w:tblStylePr w:type="band1Vert">
      <w:pPr>
        <w:pBdr/>
        <w:spacing/>
        <w:ind/>
      </w:pPr>
      <w:rPr>
        <w:rFonts w:ascii="Arial" w:hAnsi="Arial"/>
        <w:color w:val="404040"/>
        <w:sz w:val="22"/>
      </w:rPr>
      <w:tblPr>
        <w:tblBorders/>
      </w:tblPr>
      <w:tcPr>
        <w:tcBorders/>
        <w:shd w:color="ffffff" w:fill="ededed" w:themeColor="accent3" w:themeFill="accent3"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4"/>
    <w:basedOn w:val="907"/>
    <w:uiPriority w:val="99"/>
    <w:pPr>
      <w:pBdr/>
      <w:spacing w:after="0" w:line="240" w:lineRule="auto"/>
      <w:ind/>
    </w:pPr>
    <w:tblPr>
      <w:tblStyleRowBandSize w:val="1"/>
      <w:tblStyleColBandSize w:val="1"/>
      <w:tblInd w:w="0.0" w:type="dxa"/>
      <w:tblBorders>
        <w:bottom w:color="000000" w:space="0" w:sz="4" w:themeColor="accent4" w:themeTint="00009A" w:val="single"/>
        <w:insideH w:color="000000" w:space="0" w:sz="4" w:themeColor="accent4" w:themeTint="00009A" w:val="single"/>
        <w:insideV w:color="000000" w:space="0" w:sz="4" w:themeColor="accent4" w:themeTint="00009A" w:val="single"/>
      </w:tblBorders>
    </w:tblPr>
    <w:tcPr>
      <w:tcBorders/>
    </w:tcPr>
    <w:tblStylePr w:type="band1Horz">
      <w:pPr>
        <w:pBdr/>
        <w:spacing/>
        <w:ind/>
      </w:pPr>
      <w:rPr>
        <w:rFonts w:ascii="Arial" w:hAnsi="Arial"/>
        <w:color w:val="404040"/>
        <w:sz w:val="22"/>
      </w:rPr>
      <w:tblPr>
        <w:tblBorders/>
      </w:tblPr>
      <w:tcPr>
        <w:tcBorders/>
        <w:shd w:color="ffffff" w:fill="fff2cb" w:themeColor="accent4" w:themeFill="accent4" w:themeFillTint="000034" w:themeTint="000034" w:val="clear"/>
      </w:tcPr>
    </w:tblStylePr>
    <w:tblStylePr w:type="band1Vert">
      <w:pPr>
        <w:pBdr/>
        <w:spacing/>
        <w:ind/>
      </w:pPr>
      <w:rPr>
        <w:rFonts w:ascii="Arial" w:hAnsi="Arial"/>
        <w:color w:val="404040"/>
        <w:sz w:val="22"/>
      </w:rPr>
      <w:tblPr>
        <w:tblBorders/>
      </w:tblPr>
      <w:tcPr>
        <w:tcBorders/>
        <w:shd w:color="ffffff" w:fill="fff2cb" w:themeColor="accent4" w:themeFill="accent4"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5"/>
    <w:basedOn w:val="907"/>
    <w:uiPriority w:val="99"/>
    <w:pPr>
      <w:pBdr/>
      <w:spacing w:after="0" w:line="240" w:lineRule="auto"/>
      <w:ind/>
    </w:pPr>
    <w:tblPr>
      <w:tblStyleRowBandSize w:val="1"/>
      <w:tblStyleColBandSize w:val="1"/>
      <w:tblInd w:w="0.0" w:type="dxa"/>
      <w:tblBorders>
        <w:bottom w:color="000000" w:space="0" w:sz="4" w:themeColor="accent5" w:val="single"/>
        <w:insideH w:color="000000" w:space="0" w:sz="4" w:themeColor="accent5" w:val="single"/>
        <w:insideV w:color="000000" w:space="0" w:sz="4" w:themeColor="accent5" w:val="single"/>
      </w:tblBorders>
    </w:tblPr>
    <w:tcPr>
      <w:tcBorders/>
    </w:tcPr>
    <w:tblStylePr w:type="band1Horz">
      <w:pPr>
        <w:pBdr/>
        <w:spacing/>
        <w:ind/>
      </w:pPr>
      <w:rPr>
        <w:rFonts w:ascii="Arial" w:hAnsi="Arial"/>
        <w:color w:val="404040"/>
        <w:sz w:val="22"/>
      </w:rPr>
      <w:tblPr>
        <w:tblBorders/>
      </w:tblPr>
      <w:tcPr>
        <w:tcBorders/>
        <w:shd w:color="ffffff" w:fill="d9e2f3" w:themeColor="accent5" w:themeFill="accent5" w:themeFillTint="000034" w:themeTint="000034" w:val="clear"/>
      </w:tcPr>
    </w:tblStylePr>
    <w:tblStylePr w:type="band1Vert">
      <w:pPr>
        <w:pBdr/>
        <w:spacing/>
        <w:ind/>
      </w:pPr>
      <w:rPr>
        <w:rFonts w:ascii="Arial" w:hAnsi="Arial"/>
        <w:color w:val="404040"/>
        <w:sz w:val="22"/>
      </w:rPr>
      <w:tblPr>
        <w:tblBorders/>
      </w:tblPr>
      <w:tcPr>
        <w:tcBorders/>
        <w:shd w:color="ffffff" w:fill="d9e2f3" w:themeColor="accent5" w:themeFill="accent5"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6"/>
    <w:basedOn w:val="907"/>
    <w:uiPriority w:val="99"/>
    <w:pPr>
      <w:pBdr/>
      <w:spacing w:after="0" w:line="240" w:lineRule="auto"/>
      <w:ind/>
    </w:pPr>
    <w:tblPr>
      <w:tblStyleRowBandSize w:val="1"/>
      <w:tblStyleColBandSize w:val="1"/>
      <w:tblInd w:w="0.0" w:type="dxa"/>
      <w:tblBorders>
        <w:bottom w:color="000000" w:space="0" w:sz="4" w:themeColor="accent6" w:val="single"/>
        <w:insideH w:color="000000" w:space="0" w:sz="4" w:themeColor="accent6" w:val="single"/>
        <w:insideV w:color="000000" w:space="0" w:sz="4" w:themeColor="accent6" w:val="single"/>
      </w:tblBorders>
    </w:tblPr>
    <w:tcPr>
      <w:tcBorders/>
    </w:tcPr>
    <w:tblStylePr w:type="band1Horz">
      <w:pPr>
        <w:pBdr/>
        <w:spacing/>
        <w:ind/>
      </w:pPr>
      <w:rPr>
        <w:rFonts w:ascii="Arial" w:hAnsi="Arial"/>
        <w:color w:val="404040"/>
        <w:sz w:val="22"/>
      </w:rPr>
      <w:tblPr>
        <w:tblBorders/>
      </w:tblPr>
      <w:tcPr>
        <w:tcBorders/>
        <w:shd w:color="ffffff" w:fill="e2efd9" w:themeColor="accent6" w:themeFill="accent6" w:themeFillTint="000034" w:themeTint="000034" w:val="clear"/>
      </w:tcPr>
    </w:tblStylePr>
    <w:tblStylePr w:type="band1Vert">
      <w:pPr>
        <w:pBdr/>
        <w:spacing/>
        <w:ind/>
      </w:pPr>
      <w:rPr>
        <w:rFonts w:ascii="Arial" w:hAnsi="Arial"/>
        <w:color w:val="404040"/>
        <w:sz w:val="22"/>
      </w:rPr>
      <w:tblPr>
        <w:tblBorders/>
      </w:tblPr>
      <w:tcPr>
        <w:tcBorders/>
        <w:shd w:color="ffffff" w:fill="e2efd9" w:themeColor="accent6" w:themeFill="accent6"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4"/>
    <w:basedOn w:val="907"/>
    <w:uiPriority w:val="59"/>
    <w:pPr>
      <w:pBdr/>
      <w:spacing w:after="0" w:line="240" w:lineRule="auto"/>
      <w:ind/>
    </w:pPr>
    <w:tblPr>
      <w:tblStyleRowBandSize w:val="1"/>
      <w:tblStyleColBandSize w:val="1"/>
      <w:tblInd w:w="0.0" w:type="dxa"/>
      <w:tblBorders>
        <w:top w:color="000000" w:space="0" w:sz="4" w:themeColor="text1" w:themeTint="000090" w:val="single"/>
        <w:left w:color="000000" w:space="0" w:sz="4" w:themeColor="text1" w:themeTint="000090" w:val="single"/>
        <w:bottom w:color="000000" w:space="0" w:sz="4" w:themeColor="text1" w:themeTint="000090" w:val="single"/>
        <w:right w:color="000000" w:space="0" w:sz="4" w:themeColor="text1" w:themeTint="000090" w:val="single"/>
        <w:insideH w:color="000000" w:space="0" w:sz="4" w:themeColor="text1" w:themeTint="000090" w:val="single"/>
        <w:insideV w:color="000000" w:space="0" w:sz="4" w:themeColor="text1" w:themeTint="000090" w:val="single"/>
      </w:tblBorders>
    </w:tblPr>
    <w:tcPr>
      <w:tcBorders/>
    </w:tcPr>
    <w:tblStylePr w:type="band1Horz">
      <w:pPr>
        <w:pBdr/>
        <w:spacing/>
        <w:ind/>
      </w:pPr>
      <w:rPr>
        <w:rFonts w:ascii="Arial" w:hAnsi="Arial"/>
        <w:color w:val="404040"/>
        <w:sz w:val="22"/>
      </w:rPr>
      <w:tblPr>
        <w:tblBorders/>
      </w:tblPr>
      <w:tcPr>
        <w:tcBorders/>
        <w:shd w:color="ffffff" w:fill="cbcbcb" w:themeColor="text1" w:themeFill="text1" w:themeFillTint="000034" w:themeTint="000034" w:val="clear"/>
      </w:tcPr>
    </w:tblStylePr>
    <w:tblStylePr w:type="band1Vert">
      <w:pPr>
        <w:pBdr/>
        <w:spacing/>
        <w:ind/>
      </w:pPr>
      <w:rPr>
        <w:rFonts w:ascii="Arial" w:hAnsi="Arial"/>
        <w:color w:val="404040"/>
        <w:sz w:val="22"/>
      </w:rPr>
      <w:tblPr>
        <w:tblBorders/>
      </w:tblPr>
      <w:tcPr>
        <w:tcBorders/>
        <w:shd w:color="ffffff" w:fill="cbcbcb" w:themeColor="text1" w:themeFill="text1"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text1" w:val="single"/>
          <w:left w:color="000000" w:space="0" w:sz="4" w:themeColor="text1" w:val="single"/>
          <w:bottom w:color="000000" w:space="0" w:sz="4" w:themeColor="text1" w:val="single"/>
          <w:right w:color="000000" w:space="0" w:sz="4" w:themeColor="text1" w:val="single"/>
        </w:tcBorders>
        <w:shd w:color="ffffff" w:fill="000000" w:themeColor="text1" w:themeFill="text1"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text1"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4 - Accent 1"/>
    <w:basedOn w:val="907"/>
    <w:uiPriority w:val="59"/>
    <w:pPr>
      <w:pBdr/>
      <w:spacing w:after="0" w:line="240" w:lineRule="auto"/>
      <w:ind/>
    </w:pPr>
    <w:tblPr>
      <w:tblStyleRowBandSize w:val="1"/>
      <w:tblStyleColBandSize w:val="1"/>
      <w:tblInd w:w="0.0" w:type="dxa"/>
      <w:tblBorders>
        <w:top w:color="000000" w:space="0" w:sz="4" w:themeColor="accent1" w:themeTint="000090" w:val="single"/>
        <w:left w:color="000000" w:space="0" w:sz="4" w:themeColor="accent1" w:themeTint="000090" w:val="single"/>
        <w:bottom w:color="000000" w:space="0" w:sz="4" w:themeColor="accent1" w:themeTint="000090" w:val="single"/>
        <w:right w:color="000000" w:space="0" w:sz="4" w:themeColor="accent1" w:themeTint="000090" w:val="single"/>
        <w:insideH w:color="000000" w:space="0" w:sz="4" w:themeColor="accent1" w:themeTint="000090" w:val="single"/>
        <w:insideV w:color="000000" w:space="0" w:sz="4" w:themeColor="accent1" w:themeTint="000090" w:val="single"/>
      </w:tblBorders>
    </w:tblPr>
    <w:tcPr>
      <w:tcBorders/>
    </w:tcPr>
    <w:tblStylePr w:type="band1Horz">
      <w:pPr>
        <w:pBdr/>
        <w:spacing/>
        <w:ind/>
      </w:pPr>
      <w:rPr>
        <w:rFonts w:ascii="Arial" w:hAnsi="Arial"/>
        <w:color w:val="404040"/>
        <w:sz w:val="22"/>
      </w:rPr>
      <w:tblPr>
        <w:tblBorders/>
      </w:tblPr>
      <w:tcPr>
        <w:tcBorders/>
        <w:shd w:color="ffffff" w:fill="dfebf7" w:themeColor="accent1" w:themeFill="accent1" w:themeFillTint="000032" w:themeTint="000032" w:val="clear"/>
      </w:tcPr>
    </w:tblStylePr>
    <w:tblStylePr w:type="band1Vert">
      <w:pPr>
        <w:pBdr/>
        <w:spacing/>
        <w:ind/>
      </w:pPr>
      <w:rPr>
        <w:rFonts w:ascii="Arial" w:hAnsi="Arial"/>
        <w:color w:val="404040"/>
        <w:sz w:val="22"/>
      </w:rPr>
      <w:tblPr>
        <w:tblBorders/>
      </w:tblPr>
      <w:tcPr>
        <w:tcBorders/>
        <w:shd w:color="ffffff" w:fill="dfebf7" w:themeColor="accent1" w:themeFill="accent1" w:themeFillTint="000032" w:themeTint="000032"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accent1" w:themeTint="0000EA" w:val="single"/>
          <w:left w:color="000000" w:space="0" w:sz="4" w:themeColor="accent1" w:themeTint="0000EA" w:val="single"/>
          <w:bottom w:color="000000" w:space="0" w:sz="4" w:themeColor="accent1" w:themeTint="0000EA" w:val="single"/>
          <w:right w:color="000000" w:space="0" w:sz="4" w:themeColor="accent1" w:themeTint="0000EA" w:val="single"/>
        </w:tcBorders>
        <w:shd w:color="ffffff" w:fill="69a3d8" w:themeColor="accent1" w:themeFill="accent1" w:themeFillTint="0000EA" w:themeTint="0000EA"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1" w:themeTint="0000EA"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4 - Accent 2"/>
    <w:basedOn w:val="907"/>
    <w:uiPriority w:val="59"/>
    <w:pPr>
      <w:pBdr/>
      <w:spacing w:after="0" w:line="240" w:lineRule="auto"/>
      <w:ind/>
    </w:pPr>
    <w:tblPr>
      <w:tblStyleRowBandSize w:val="1"/>
      <w:tblStyleColBandSize w:val="1"/>
      <w:tblInd w:w="0.0" w:type="dxa"/>
      <w:tblBorders>
        <w:top w:color="000000" w:space="0" w:sz="4" w:themeColor="accent2" w:themeTint="000090" w:val="single"/>
        <w:left w:color="000000" w:space="0" w:sz="4" w:themeColor="accent2" w:themeTint="000090" w:val="single"/>
        <w:bottom w:color="000000" w:space="0" w:sz="4" w:themeColor="accent2" w:themeTint="000090" w:val="single"/>
        <w:right w:color="000000" w:space="0" w:sz="4" w:themeColor="accent2" w:themeTint="000090" w:val="single"/>
        <w:insideH w:color="000000" w:space="0" w:sz="4" w:themeColor="accent2" w:themeTint="000090" w:val="single"/>
        <w:insideV w:color="000000" w:space="0" w:sz="4" w:themeColor="accent2" w:themeTint="000090" w:val="single"/>
      </w:tblBorders>
    </w:tblPr>
    <w:tcPr>
      <w:tcBorders/>
    </w:tcPr>
    <w:tblStylePr w:type="band1Horz">
      <w:pPr>
        <w:pBdr/>
        <w:spacing/>
        <w:ind/>
      </w:pPr>
      <w:rPr>
        <w:rFonts w:ascii="Arial" w:hAnsi="Arial"/>
        <w:color w:val="404040"/>
        <w:sz w:val="22"/>
      </w:rPr>
      <w:tblPr>
        <w:tblBorders/>
      </w:tblPr>
      <w:tcPr>
        <w:tcBorders/>
        <w:shd w:color="ffffff" w:fill="fbe6d7" w:themeColor="accent2" w:themeFill="accent2" w:themeFillTint="000032" w:themeTint="000032" w:val="clear"/>
      </w:tcPr>
    </w:tblStylePr>
    <w:tblStylePr w:type="band1Vert">
      <w:pPr>
        <w:pBdr/>
        <w:spacing/>
        <w:ind/>
      </w:pPr>
      <w:rPr>
        <w:rFonts w:ascii="Arial" w:hAnsi="Arial"/>
        <w:color w:val="404040"/>
        <w:sz w:val="22"/>
      </w:rPr>
      <w:tblPr>
        <w:tblBorders/>
      </w:tblPr>
      <w:tcPr>
        <w:tcBorders/>
        <w:shd w:color="ffffff" w:fill="fbe6d7" w:themeColor="accent2" w:themeFill="accent2" w:themeFillTint="000032" w:themeTint="000032"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accent2" w:themeTint="000097" w:val="single"/>
          <w:left w:color="000000" w:space="0" w:sz="4" w:themeColor="accent2" w:themeTint="000097" w:val="single"/>
          <w:bottom w:color="000000" w:space="0" w:sz="4" w:themeColor="accent2" w:themeTint="000097" w:val="single"/>
          <w:right w:color="000000" w:space="0" w:sz="4" w:themeColor="accent2" w:themeTint="000097" w:val="single"/>
        </w:tcBorders>
        <w:shd w:color="ffffff" w:fill="f4b285" w:themeColor="accent2" w:themeFill="accent2" w:themeFillTint="000097" w:themeTint="000097"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2" w:themeTint="000097"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 Accent 3"/>
    <w:basedOn w:val="907"/>
    <w:uiPriority w:val="59"/>
    <w:pPr>
      <w:pBdr/>
      <w:spacing w:after="0" w:line="240" w:lineRule="auto"/>
      <w:ind/>
    </w:pPr>
    <w:tblPr>
      <w:tblStyleRowBandSize w:val="1"/>
      <w:tblStyleColBandSize w:val="1"/>
      <w:tblInd w:w="0.0" w:type="dxa"/>
      <w:tblBorders>
        <w:top w:color="000000" w:space="0" w:sz="4" w:themeColor="accent3" w:themeTint="000090" w:val="single"/>
        <w:left w:color="000000" w:space="0" w:sz="4" w:themeColor="accent3" w:themeTint="000090" w:val="single"/>
        <w:bottom w:color="000000" w:space="0" w:sz="4" w:themeColor="accent3" w:themeTint="000090" w:val="single"/>
        <w:right w:color="000000" w:space="0" w:sz="4" w:themeColor="accent3" w:themeTint="000090" w:val="single"/>
        <w:insideH w:color="000000" w:space="0" w:sz="4" w:themeColor="accent3" w:themeTint="000090" w:val="single"/>
        <w:insideV w:color="000000" w:space="0" w:sz="4" w:themeColor="accent3" w:themeTint="000090" w:val="single"/>
      </w:tblBorders>
    </w:tblPr>
    <w:tcPr>
      <w:tcBorders/>
    </w:tcPr>
    <w:tblStylePr w:type="band1Horz">
      <w:pPr>
        <w:pBdr/>
        <w:spacing/>
        <w:ind/>
      </w:pPr>
      <w:rPr>
        <w:rFonts w:ascii="Arial" w:hAnsi="Arial"/>
        <w:color w:val="404040"/>
        <w:sz w:val="22"/>
      </w:rPr>
      <w:tblPr>
        <w:tblBorders/>
      </w:tblPr>
      <w:tcPr>
        <w:tcBorders/>
        <w:shd w:color="ffffff" w:fill="ededed" w:themeColor="accent3" w:themeFill="accent3" w:themeFillTint="000034" w:themeTint="000034" w:val="clear"/>
      </w:tcPr>
    </w:tblStylePr>
    <w:tblStylePr w:type="band1Vert">
      <w:pPr>
        <w:pBdr/>
        <w:spacing/>
        <w:ind/>
      </w:pPr>
      <w:rPr>
        <w:rFonts w:ascii="Arial" w:hAnsi="Arial"/>
        <w:color w:val="404040"/>
        <w:sz w:val="22"/>
      </w:rPr>
      <w:tblPr>
        <w:tblBorders/>
      </w:tblPr>
      <w:tcPr>
        <w:tcBorders/>
        <w:shd w:color="ffffff" w:fill="ededed" w:themeColor="accent3" w:themeFill="accent3"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accent3" w:themeTint="0000FE" w:val="single"/>
          <w:left w:color="000000" w:space="0" w:sz="4" w:themeColor="accent3" w:themeTint="0000FE" w:val="single"/>
          <w:bottom w:color="000000" w:space="0" w:sz="4" w:themeColor="accent3" w:themeTint="0000FE" w:val="single"/>
          <w:right w:color="000000" w:space="0" w:sz="4" w:themeColor="accent3" w:themeTint="0000FE" w:val="single"/>
        </w:tcBorders>
        <w:shd w:color="ffffff" w:fill="a5a5a5" w:themeColor="accent3" w:themeFill="accent3" w:themeFillTint="0000FE" w:themeTint="0000FE"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3" w:themeTint="0000FE"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4"/>
    <w:basedOn w:val="907"/>
    <w:uiPriority w:val="59"/>
    <w:pPr>
      <w:pBdr/>
      <w:spacing w:after="0" w:line="240" w:lineRule="auto"/>
      <w:ind/>
    </w:pPr>
    <w:tblPr>
      <w:tblStyleRowBandSize w:val="1"/>
      <w:tblStyleColBandSize w:val="1"/>
      <w:tblInd w:w="0.0" w:type="dxa"/>
      <w:tblBorders>
        <w:top w:color="000000" w:space="0" w:sz="4" w:themeColor="accent4" w:themeTint="000090" w:val="single"/>
        <w:left w:color="000000" w:space="0" w:sz="4" w:themeColor="accent4" w:themeTint="000090" w:val="single"/>
        <w:bottom w:color="000000" w:space="0" w:sz="4" w:themeColor="accent4" w:themeTint="000090" w:val="single"/>
        <w:right w:color="000000" w:space="0" w:sz="4" w:themeColor="accent4" w:themeTint="000090" w:val="single"/>
        <w:insideH w:color="000000" w:space="0" w:sz="4" w:themeColor="accent4" w:themeTint="000090" w:val="single"/>
        <w:insideV w:color="000000" w:space="0" w:sz="4" w:themeColor="accent4" w:themeTint="000090" w:val="single"/>
      </w:tblBorders>
    </w:tblPr>
    <w:tcPr>
      <w:tcBorders/>
    </w:tcPr>
    <w:tblStylePr w:type="band1Horz">
      <w:pPr>
        <w:pBdr/>
        <w:spacing/>
        <w:ind/>
      </w:pPr>
      <w:rPr>
        <w:rFonts w:ascii="Arial" w:hAnsi="Arial"/>
        <w:color w:val="404040"/>
        <w:sz w:val="22"/>
      </w:rPr>
      <w:tblPr>
        <w:tblBorders/>
      </w:tblPr>
      <w:tcPr>
        <w:tcBorders/>
        <w:shd w:color="ffffff" w:fill="fff2cb" w:themeColor="accent4" w:themeFill="accent4" w:themeFillTint="000034" w:themeTint="000034" w:val="clear"/>
      </w:tcPr>
    </w:tblStylePr>
    <w:tblStylePr w:type="band1Vert">
      <w:pPr>
        <w:pBdr/>
        <w:spacing/>
        <w:ind/>
      </w:pPr>
      <w:rPr>
        <w:rFonts w:ascii="Arial" w:hAnsi="Arial"/>
        <w:color w:val="404040"/>
        <w:sz w:val="22"/>
      </w:rPr>
      <w:tblPr>
        <w:tblBorders/>
      </w:tblPr>
      <w:tcPr>
        <w:tcBorders/>
        <w:shd w:color="ffffff" w:fill="fff2cb" w:themeColor="accent4" w:themeFill="accent4"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accent4" w:themeTint="00009A" w:val="single"/>
          <w:left w:color="000000" w:space="0" w:sz="4" w:themeColor="accent4" w:themeTint="00009A" w:val="single"/>
          <w:bottom w:color="000000" w:space="0" w:sz="4" w:themeColor="accent4" w:themeTint="00009A" w:val="single"/>
          <w:right w:color="000000" w:space="0" w:sz="4" w:themeColor="accent4" w:themeTint="00009A" w:val="single"/>
        </w:tcBorders>
        <w:shd w:color="ffffff" w:fill="ffd965" w:themeColor="accent4" w:themeFill="accent4" w:themeFillTint="00009A" w:themeTint="00009A"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4" w:themeTint="00009A"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5"/>
    <w:basedOn w:val="907"/>
    <w:uiPriority w:val="59"/>
    <w:pPr>
      <w:pBdr/>
      <w:spacing w:after="0" w:line="240" w:lineRule="auto"/>
      <w:ind/>
    </w:pPr>
    <w:tblPr>
      <w:tblStyleRowBandSize w:val="1"/>
      <w:tblStyleColBandSize w:val="1"/>
      <w:tblInd w:w="0.0" w:type="dxa"/>
      <w:tblBorders>
        <w:top w:color="000000" w:space="0" w:sz="4" w:themeColor="accent5" w:themeTint="000090" w:val="single"/>
        <w:left w:color="000000" w:space="0" w:sz="4" w:themeColor="accent5" w:themeTint="000090" w:val="single"/>
        <w:bottom w:color="000000" w:space="0" w:sz="4" w:themeColor="accent5" w:themeTint="000090" w:val="single"/>
        <w:right w:color="000000" w:space="0" w:sz="4" w:themeColor="accent5" w:themeTint="000090" w:val="single"/>
        <w:insideH w:color="000000" w:space="0" w:sz="4" w:themeColor="accent5" w:themeTint="000090" w:val="single"/>
        <w:insideV w:color="000000" w:space="0" w:sz="4" w:themeColor="accent5" w:themeTint="000090" w:val="single"/>
      </w:tblBorders>
    </w:tblPr>
    <w:tcPr>
      <w:tcBorders/>
    </w:tcPr>
    <w:tblStylePr w:type="band1Horz">
      <w:pPr>
        <w:pBdr/>
        <w:spacing/>
        <w:ind/>
      </w:pPr>
      <w:rPr>
        <w:rFonts w:ascii="Arial" w:hAnsi="Arial"/>
        <w:color w:val="404040"/>
        <w:sz w:val="22"/>
      </w:rPr>
      <w:tblPr>
        <w:tblBorders/>
      </w:tblPr>
      <w:tcPr>
        <w:tcBorders/>
        <w:shd w:color="ffffff" w:fill="d9e2f3" w:themeColor="accent5" w:themeFill="accent5" w:themeFillTint="000034" w:themeTint="000034" w:val="clear"/>
      </w:tcPr>
    </w:tblStylePr>
    <w:tblStylePr w:type="band1Vert">
      <w:pPr>
        <w:pBdr/>
        <w:spacing/>
        <w:ind/>
      </w:pPr>
      <w:rPr>
        <w:rFonts w:ascii="Arial" w:hAnsi="Arial"/>
        <w:color w:val="404040"/>
        <w:sz w:val="22"/>
      </w:rPr>
      <w:tblPr>
        <w:tblBorders/>
      </w:tblPr>
      <w:tcPr>
        <w:tcBorders/>
        <w:shd w:color="ffffff" w:fill="d9e2f3" w:themeColor="accent5" w:themeFill="accent5"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accent5" w:val="single"/>
          <w:left w:color="000000" w:space="0" w:sz="4" w:themeColor="accent5" w:val="single"/>
          <w:bottom w:color="000000" w:space="0" w:sz="4" w:themeColor="accent5" w:val="single"/>
          <w:right w:color="000000" w:space="0" w:sz="4" w:themeColor="accent5" w:val="single"/>
        </w:tcBorders>
        <w:shd w:color="ffffff" w:fill="4472c4" w:themeColor="accent5" w:themeFill="accent5"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5"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6"/>
    <w:basedOn w:val="907"/>
    <w:uiPriority w:val="59"/>
    <w:pPr>
      <w:pBdr/>
      <w:spacing w:after="0" w:line="240" w:lineRule="auto"/>
      <w:ind/>
    </w:pPr>
    <w:tblPr>
      <w:tblStyleRowBandSize w:val="1"/>
      <w:tblStyleColBandSize w:val="1"/>
      <w:tblInd w:w="0.0" w:type="dxa"/>
      <w:tblBorders>
        <w:top w:color="000000" w:space="0" w:sz="4" w:themeColor="accent6" w:themeTint="000090" w:val="single"/>
        <w:left w:color="000000" w:space="0" w:sz="4" w:themeColor="accent6" w:themeTint="000090" w:val="single"/>
        <w:bottom w:color="000000" w:space="0" w:sz="4" w:themeColor="accent6" w:themeTint="000090" w:val="single"/>
        <w:right w:color="000000" w:space="0" w:sz="4" w:themeColor="accent6" w:themeTint="000090" w:val="single"/>
        <w:insideH w:color="000000" w:space="0" w:sz="4" w:themeColor="accent6" w:themeTint="000090" w:val="single"/>
        <w:insideV w:color="000000" w:space="0" w:sz="4" w:themeColor="accent6" w:themeTint="000090" w:val="single"/>
      </w:tblBorders>
    </w:tblPr>
    <w:tcPr>
      <w:tcBorders/>
    </w:tcPr>
    <w:tblStylePr w:type="band1Horz">
      <w:pPr>
        <w:pBdr/>
        <w:spacing/>
        <w:ind/>
      </w:pPr>
      <w:rPr>
        <w:rFonts w:ascii="Arial" w:hAnsi="Arial"/>
        <w:color w:val="404040"/>
        <w:sz w:val="22"/>
      </w:rPr>
      <w:tblPr>
        <w:tblBorders/>
      </w:tblPr>
      <w:tcPr>
        <w:tcBorders/>
        <w:shd w:color="ffffff" w:fill="e2efd9" w:themeColor="accent6" w:themeFill="accent6" w:themeFillTint="000034" w:themeTint="000034" w:val="clear"/>
      </w:tcPr>
    </w:tblStylePr>
    <w:tblStylePr w:type="band1Vert">
      <w:pPr>
        <w:pBdr/>
        <w:spacing/>
        <w:ind/>
      </w:pPr>
      <w:rPr>
        <w:rFonts w:ascii="Arial" w:hAnsi="Arial"/>
        <w:color w:val="404040"/>
        <w:sz w:val="22"/>
      </w:rPr>
      <w:tblPr>
        <w:tblBorders/>
      </w:tblPr>
      <w:tcPr>
        <w:tcBorders/>
        <w:shd w:color="ffffff" w:fill="e2efd9" w:themeColor="accent6" w:themeFill="accent6"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accent6" w:val="single"/>
          <w:left w:color="000000" w:space="0" w:sz="4" w:themeColor="accent6" w:val="single"/>
          <w:bottom w:color="000000" w:space="0" w:sz="4" w:themeColor="accent6" w:val="single"/>
          <w:right w:color="000000" w:space="0" w:sz="4" w:themeColor="accent6" w:val="single"/>
        </w:tcBorders>
        <w:shd w:color="ffffff" w:fill="70ad47" w:themeColor="accent6" w:themeFill="accent6"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6"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5 Dark"/>
    <w:basedOn w:val="907"/>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bfbfbf" w:themeColor="text1" w:themeFill="text1" w:themeFillTint="000040" w:themeTint="000040" w:val="clear"/>
    </w:tblPr>
    <w:tcPr>
      <w:tcBorders/>
    </w:tcPr>
    <w:tblStylePr w:type="band1Horz">
      <w:pPr>
        <w:pBdr/>
        <w:spacing/>
        <w:ind/>
      </w:pPr>
      <w:tblPr>
        <w:tblBorders/>
      </w:tblPr>
      <w:tcPr>
        <w:tcBorders/>
        <w:shd w:color="ffffff" w:fill="8a8a8a" w:themeColor="text1" w:themeFill="text1" w:themeFillTint="000075" w:themeTint="000075" w:val="clear"/>
      </w:tcPr>
    </w:tblStylePr>
    <w:tblStylePr w:type="band1Vert">
      <w:pPr>
        <w:pBdr/>
        <w:spacing/>
        <w:ind/>
      </w:pPr>
      <w:tblPr>
        <w:tblBorders/>
      </w:tblPr>
      <w:tcPr>
        <w:tcBorders/>
        <w:shd w:color="ffffff" w:fill="8a8a8a" w:themeColor="text1" w:themeFill="text1" w:themeFillTint="000075" w:themeTint="000075"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000000" w:themeColor="text1" w:themeFill="text1" w:val="clear"/>
      </w:tcPr>
    </w:tblStylePr>
    <w:tblStylePr w:type="firstRow">
      <w:pPr>
        <w:pBdr/>
        <w:spacing/>
        <w:ind/>
      </w:pPr>
      <w:rPr>
        <w:rFonts w:ascii="Arial" w:hAnsi="Arial"/>
        <w:b w:val="1"/>
        <w:color w:val="ffffff"/>
        <w:sz w:val="22"/>
      </w:rPr>
      <w:tblPr>
        <w:tblBorders/>
      </w:tblPr>
      <w:tcPr>
        <w:tcBorders/>
        <w:shd w:color="ffffff" w:fill="000000" w:themeColor="text1" w:themeFill="text1" w:val="clear"/>
      </w:tcPr>
    </w:tblStylePr>
    <w:tblStylePr w:type="lastCol">
      <w:pPr>
        <w:pBdr/>
        <w:spacing/>
        <w:ind/>
      </w:pPr>
      <w:rPr>
        <w:rFonts w:ascii="Arial" w:hAnsi="Arial"/>
        <w:b w:val="1"/>
        <w:color w:val="ffffff"/>
        <w:sz w:val="22"/>
      </w:rPr>
      <w:tblPr>
        <w:tblBorders/>
      </w:tblPr>
      <w:tcPr>
        <w:tcBorders/>
        <w:shd w:color="ffffff" w:fill="000000" w:themeColor="text1" w:themeFill="text1"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000000" w:themeColor="text1" w:themeFill="tex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5 Dark- Accent 1"/>
    <w:basedOn w:val="907"/>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deebf6" w:themeColor="accent1" w:themeFill="accent1" w:themeFillTint="000034" w:themeTint="000034" w:val="clear"/>
    </w:tblPr>
    <w:tcPr>
      <w:tcBorders/>
    </w:tcPr>
    <w:tblStylePr w:type="band1Horz">
      <w:pPr>
        <w:pBdr/>
        <w:spacing/>
        <w:ind/>
      </w:pPr>
      <w:tblPr>
        <w:tblBorders/>
      </w:tblPr>
      <w:tcPr>
        <w:tcBorders/>
        <w:shd w:color="ffffff" w:fill="b4d1ec" w:themeColor="accent1" w:themeFill="accent1" w:themeFillTint="000075" w:themeTint="000075" w:val="clear"/>
      </w:tcPr>
    </w:tblStylePr>
    <w:tblStylePr w:type="band1Vert">
      <w:pPr>
        <w:pBdr/>
        <w:spacing/>
        <w:ind/>
      </w:pPr>
      <w:tblPr>
        <w:tblBorders/>
      </w:tblPr>
      <w:tcPr>
        <w:tcBorders/>
        <w:shd w:color="ffffff" w:fill="b4d1ec" w:themeColor="accent1" w:themeFill="accent1" w:themeFillTint="000075" w:themeTint="000075"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5b9bd5" w:themeColor="accent1" w:themeFill="accent1" w:val="clear"/>
      </w:tcPr>
    </w:tblStylePr>
    <w:tblStylePr w:type="firstRow">
      <w:pPr>
        <w:pBdr/>
        <w:spacing/>
        <w:ind/>
      </w:pPr>
      <w:rPr>
        <w:rFonts w:ascii="Arial" w:hAnsi="Arial"/>
        <w:b w:val="1"/>
        <w:color w:val="ffffff"/>
        <w:sz w:val="22"/>
      </w:rPr>
      <w:tblPr>
        <w:tblBorders/>
      </w:tblPr>
      <w:tcPr>
        <w:tcBorders/>
        <w:shd w:color="ffffff" w:fill="5b9bd5" w:themeColor="accent1" w:themeFill="accent1" w:val="clear"/>
      </w:tcPr>
    </w:tblStylePr>
    <w:tblStylePr w:type="lastCol">
      <w:pPr>
        <w:pBdr/>
        <w:spacing/>
        <w:ind/>
      </w:pPr>
      <w:rPr>
        <w:rFonts w:ascii="Arial" w:hAnsi="Arial"/>
        <w:b w:val="1"/>
        <w:color w:val="ffffff"/>
        <w:sz w:val="22"/>
      </w:rPr>
      <w:tblPr>
        <w:tblBorders/>
      </w:tblPr>
      <w:tcPr>
        <w:tcBorders/>
        <w:shd w:color="ffffff" w:fill="5b9bd5" w:themeColor="accent1" w:themeFill="accent1"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5b9bd5" w:themeColor="accent1" w:themeFill="accen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5 Dark - Accent 2"/>
    <w:basedOn w:val="907"/>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fbe6d7" w:themeColor="accent2" w:themeFill="accent2" w:themeFillTint="000032" w:themeTint="000032" w:val="clear"/>
    </w:tblPr>
    <w:tcPr>
      <w:tcBorders/>
    </w:tcPr>
    <w:tblStylePr w:type="band1Horz">
      <w:pPr>
        <w:pBdr/>
        <w:spacing/>
        <w:ind/>
      </w:pPr>
      <w:tblPr>
        <w:tblBorders/>
      </w:tblPr>
      <w:tcPr>
        <w:tcBorders/>
        <w:shd w:color="ffffff" w:fill="f7c3a0" w:themeColor="accent2" w:themeFill="accent2" w:themeFillTint="000075" w:themeTint="000075" w:val="clear"/>
      </w:tcPr>
    </w:tblStylePr>
    <w:tblStylePr w:type="band1Vert">
      <w:pPr>
        <w:pBdr/>
        <w:spacing/>
        <w:ind/>
      </w:pPr>
      <w:tblPr>
        <w:tblBorders/>
      </w:tblPr>
      <w:tcPr>
        <w:tcBorders/>
        <w:shd w:color="ffffff" w:fill="f7c3a0" w:themeColor="accent2" w:themeFill="accent2" w:themeFillTint="000075" w:themeTint="000075"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ed7d31" w:themeColor="accent2" w:themeFill="accent2" w:val="clear"/>
      </w:tcPr>
    </w:tblStylePr>
    <w:tblStylePr w:type="firstRow">
      <w:pPr>
        <w:pBdr/>
        <w:spacing/>
        <w:ind/>
      </w:pPr>
      <w:rPr>
        <w:rFonts w:ascii="Arial" w:hAnsi="Arial"/>
        <w:b w:val="1"/>
        <w:color w:val="ffffff"/>
        <w:sz w:val="22"/>
      </w:rPr>
      <w:tblPr>
        <w:tblBorders/>
      </w:tblPr>
      <w:tcPr>
        <w:tcBorders/>
        <w:shd w:color="ffffff" w:fill="ed7d31" w:themeColor="accent2" w:themeFill="accent2" w:val="clear"/>
      </w:tcPr>
    </w:tblStylePr>
    <w:tblStylePr w:type="lastCol">
      <w:pPr>
        <w:pBdr/>
        <w:spacing/>
        <w:ind/>
      </w:pPr>
      <w:rPr>
        <w:rFonts w:ascii="Arial" w:hAnsi="Arial"/>
        <w:b w:val="1"/>
        <w:color w:val="ffffff"/>
        <w:sz w:val="22"/>
      </w:rPr>
      <w:tblPr>
        <w:tblBorders/>
      </w:tblPr>
      <w:tcPr>
        <w:tcBorders/>
        <w:shd w:color="ffffff" w:fill="ed7d31" w:themeColor="accent2" w:themeFill="accent2"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ed7d31" w:themeColor="accent2" w:themeFill="accent2"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 Accent 3"/>
    <w:basedOn w:val="907"/>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ededed" w:themeColor="accent3" w:themeFill="accent3" w:themeFillTint="000034" w:themeTint="000034" w:val="clear"/>
    </w:tblPr>
    <w:tcPr>
      <w:tcBorders/>
    </w:tcPr>
    <w:tblStylePr w:type="band1Horz">
      <w:pPr>
        <w:pBdr/>
        <w:spacing/>
        <w:ind/>
      </w:pPr>
      <w:tblPr>
        <w:tblBorders/>
      </w:tblPr>
      <w:tcPr>
        <w:tcBorders/>
        <w:shd w:color="ffffff" w:fill="d6d6d6" w:themeColor="accent3" w:themeFill="accent3" w:themeFillTint="000075" w:themeTint="000075" w:val="clear"/>
      </w:tcPr>
    </w:tblStylePr>
    <w:tblStylePr w:type="band1Vert">
      <w:pPr>
        <w:pBdr/>
        <w:spacing/>
        <w:ind/>
      </w:pPr>
      <w:tblPr>
        <w:tblBorders/>
      </w:tblPr>
      <w:tcPr>
        <w:tcBorders/>
        <w:shd w:color="ffffff" w:fill="d6d6d6" w:themeColor="accent3" w:themeFill="accent3" w:themeFillTint="000075" w:themeTint="000075"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a5a5a5" w:themeColor="accent3" w:themeFill="accent3" w:val="clear"/>
      </w:tcPr>
    </w:tblStylePr>
    <w:tblStylePr w:type="firstRow">
      <w:pPr>
        <w:pBdr/>
        <w:spacing/>
        <w:ind/>
      </w:pPr>
      <w:rPr>
        <w:rFonts w:ascii="Arial" w:hAnsi="Arial"/>
        <w:b w:val="1"/>
        <w:color w:val="ffffff"/>
        <w:sz w:val="22"/>
      </w:rPr>
      <w:tblPr>
        <w:tblBorders/>
      </w:tblPr>
      <w:tcPr>
        <w:tcBorders/>
        <w:shd w:color="ffffff" w:fill="a5a5a5" w:themeColor="accent3" w:themeFill="accent3" w:val="clear"/>
      </w:tcPr>
    </w:tblStylePr>
    <w:tblStylePr w:type="lastCol">
      <w:pPr>
        <w:pBdr/>
        <w:spacing/>
        <w:ind/>
      </w:pPr>
      <w:rPr>
        <w:rFonts w:ascii="Arial" w:hAnsi="Arial"/>
        <w:b w:val="1"/>
        <w:color w:val="ffffff"/>
        <w:sz w:val="22"/>
      </w:rPr>
      <w:tblPr>
        <w:tblBorders/>
      </w:tblPr>
      <w:tcPr>
        <w:tcBorders/>
        <w:shd w:color="ffffff" w:fill="a5a5a5" w:themeColor="accent3" w:themeFill="accent3"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a5a5a5" w:themeColor="accent3" w:themeFill="accent3"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4"/>
    <w:basedOn w:val="907"/>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fff2cb" w:themeColor="accent4" w:themeFill="accent4" w:themeFillTint="000034" w:themeTint="000034" w:val="clear"/>
    </w:tblPr>
    <w:tcPr>
      <w:tcBorders/>
    </w:tcPr>
    <w:tblStylePr w:type="band1Horz">
      <w:pPr>
        <w:pBdr/>
        <w:spacing/>
        <w:ind/>
      </w:pPr>
      <w:tblPr>
        <w:tblBorders/>
      </w:tblPr>
      <w:tcPr>
        <w:tcBorders/>
        <w:shd w:color="ffffff" w:fill="ffe28a" w:themeColor="accent4" w:themeFill="accent4" w:themeFillTint="000075" w:themeTint="000075" w:val="clear"/>
      </w:tcPr>
    </w:tblStylePr>
    <w:tblStylePr w:type="band1Vert">
      <w:pPr>
        <w:pBdr/>
        <w:spacing/>
        <w:ind/>
      </w:pPr>
      <w:tblPr>
        <w:tblBorders/>
      </w:tblPr>
      <w:tcPr>
        <w:tcBorders/>
        <w:shd w:color="ffffff" w:fill="ffe28a" w:themeColor="accent4" w:themeFill="accent4" w:themeFillTint="000075" w:themeTint="000075"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ffc000" w:themeColor="accent4" w:themeFill="accent4" w:val="clear"/>
      </w:tcPr>
    </w:tblStylePr>
    <w:tblStylePr w:type="firstRow">
      <w:pPr>
        <w:pBdr/>
        <w:spacing/>
        <w:ind/>
      </w:pPr>
      <w:rPr>
        <w:rFonts w:ascii="Arial" w:hAnsi="Arial"/>
        <w:b w:val="1"/>
        <w:color w:val="ffffff"/>
        <w:sz w:val="22"/>
      </w:rPr>
      <w:tblPr>
        <w:tblBorders/>
      </w:tblPr>
      <w:tcPr>
        <w:tcBorders/>
        <w:shd w:color="ffffff" w:fill="ffc000" w:themeColor="accent4" w:themeFill="accent4" w:val="clear"/>
      </w:tcPr>
    </w:tblStylePr>
    <w:tblStylePr w:type="lastCol">
      <w:pPr>
        <w:pBdr/>
        <w:spacing/>
        <w:ind/>
      </w:pPr>
      <w:rPr>
        <w:rFonts w:ascii="Arial" w:hAnsi="Arial"/>
        <w:b w:val="1"/>
        <w:color w:val="ffffff"/>
        <w:sz w:val="22"/>
      </w:rPr>
      <w:tblPr>
        <w:tblBorders/>
      </w:tblPr>
      <w:tcPr>
        <w:tcBorders/>
        <w:shd w:color="ffffff" w:fill="ffc000" w:themeColor="accent4" w:themeFill="accent4"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ffc000" w:themeColor="accent4" w:themeFill="accent4"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5"/>
    <w:basedOn w:val="907"/>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d9e2f3" w:themeColor="accent5" w:themeFill="accent5" w:themeFillTint="000034" w:themeTint="000034" w:val="clear"/>
    </w:tblPr>
    <w:tcPr>
      <w:tcBorders/>
    </w:tcPr>
    <w:tblStylePr w:type="band1Horz">
      <w:pPr>
        <w:pBdr/>
        <w:spacing/>
        <w:ind/>
      </w:pPr>
      <w:tblPr>
        <w:tblBorders/>
      </w:tblPr>
      <w:tcPr>
        <w:tcBorders/>
        <w:shd w:color="ffffff" w:fill="a9bee4" w:themeColor="accent5" w:themeFill="accent5" w:themeFillTint="000075" w:themeTint="000075" w:val="clear"/>
      </w:tcPr>
    </w:tblStylePr>
    <w:tblStylePr w:type="band1Vert">
      <w:pPr>
        <w:pBdr/>
        <w:spacing/>
        <w:ind/>
      </w:pPr>
      <w:tblPr>
        <w:tblBorders/>
      </w:tblPr>
      <w:tcPr>
        <w:tcBorders/>
        <w:shd w:color="ffffff" w:fill="a9bee4" w:themeColor="accent5" w:themeFill="accent5" w:themeFillTint="000075" w:themeTint="000075"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4472c4" w:themeColor="accent5" w:themeFill="accent5" w:val="clear"/>
      </w:tcPr>
    </w:tblStylePr>
    <w:tblStylePr w:type="firstRow">
      <w:pPr>
        <w:pBdr/>
        <w:spacing/>
        <w:ind/>
      </w:pPr>
      <w:rPr>
        <w:rFonts w:ascii="Arial" w:hAnsi="Arial"/>
        <w:b w:val="1"/>
        <w:color w:val="ffffff"/>
        <w:sz w:val="22"/>
      </w:rPr>
      <w:tblPr>
        <w:tblBorders/>
      </w:tblPr>
      <w:tcPr>
        <w:tcBorders/>
        <w:shd w:color="ffffff" w:fill="4472c4" w:themeColor="accent5" w:themeFill="accent5" w:val="clear"/>
      </w:tcPr>
    </w:tblStylePr>
    <w:tblStylePr w:type="lastCol">
      <w:pPr>
        <w:pBdr/>
        <w:spacing/>
        <w:ind/>
      </w:pPr>
      <w:rPr>
        <w:rFonts w:ascii="Arial" w:hAnsi="Arial"/>
        <w:b w:val="1"/>
        <w:color w:val="ffffff"/>
        <w:sz w:val="22"/>
      </w:rPr>
      <w:tblPr>
        <w:tblBorders/>
      </w:tblPr>
      <w:tcPr>
        <w:tcBorders/>
        <w:shd w:color="ffffff" w:fill="4472c4" w:themeColor="accent5" w:themeFill="accent5"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4472c4" w:themeColor="accent5" w:themeFill="accent5"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6"/>
    <w:basedOn w:val="907"/>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e2efd9" w:themeColor="accent6" w:themeFill="accent6" w:themeFillTint="000034" w:themeTint="000034" w:val="clear"/>
    </w:tblPr>
    <w:tcPr>
      <w:tcBorders/>
    </w:tcPr>
    <w:tblStylePr w:type="band1Horz">
      <w:pPr>
        <w:pBdr/>
        <w:spacing/>
        <w:ind/>
      </w:pPr>
      <w:tblPr>
        <w:tblBorders/>
      </w:tblPr>
      <w:tcPr>
        <w:tcBorders/>
        <w:shd w:color="ffffff" w:fill="bddba8" w:themeColor="accent6" w:themeFill="accent6" w:themeFillTint="000075" w:themeTint="000075" w:val="clear"/>
      </w:tcPr>
    </w:tblStylePr>
    <w:tblStylePr w:type="band1Vert">
      <w:pPr>
        <w:pBdr/>
        <w:spacing/>
        <w:ind/>
      </w:pPr>
      <w:tblPr>
        <w:tblBorders/>
      </w:tblPr>
      <w:tcPr>
        <w:tcBorders/>
        <w:shd w:color="ffffff" w:fill="bddba8" w:themeColor="accent6" w:themeFill="accent6" w:themeFillTint="000075" w:themeTint="000075"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70ad47" w:themeColor="accent6" w:themeFill="accent6" w:val="clear"/>
      </w:tcPr>
    </w:tblStylePr>
    <w:tblStylePr w:type="firstRow">
      <w:pPr>
        <w:pBdr/>
        <w:spacing/>
        <w:ind/>
      </w:pPr>
      <w:rPr>
        <w:rFonts w:ascii="Arial" w:hAnsi="Arial"/>
        <w:b w:val="1"/>
        <w:color w:val="ffffff"/>
        <w:sz w:val="22"/>
      </w:rPr>
      <w:tblPr>
        <w:tblBorders/>
      </w:tblPr>
      <w:tcPr>
        <w:tcBorders/>
        <w:shd w:color="ffffff" w:fill="70ad47" w:themeColor="accent6" w:themeFill="accent6" w:val="clear"/>
      </w:tcPr>
    </w:tblStylePr>
    <w:tblStylePr w:type="lastCol">
      <w:pPr>
        <w:pBdr/>
        <w:spacing/>
        <w:ind/>
      </w:pPr>
      <w:rPr>
        <w:rFonts w:ascii="Arial" w:hAnsi="Arial"/>
        <w:b w:val="1"/>
        <w:color w:val="ffffff"/>
        <w:sz w:val="22"/>
      </w:rPr>
      <w:tblPr>
        <w:tblBorders/>
      </w:tblPr>
      <w:tcPr>
        <w:tcBorders/>
        <w:shd w:color="ffffff" w:fill="70ad47" w:themeColor="accent6" w:themeFill="accent6"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70ad47" w:themeColor="accent6" w:themeFill="accent6"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6 Colorful"/>
    <w:basedOn w:val="907"/>
    <w:uiPriority w:val="99"/>
    <w:pPr>
      <w:pBdr/>
      <w:spacing w:after="0" w:line="240" w:lineRule="auto"/>
      <w:ind/>
    </w:pPr>
    <w:tblPr>
      <w:tblStyleRowBandSize w:val="1"/>
      <w:tblStyleColBandSize w:val="1"/>
      <w:tblInd w:w="0.0" w:type="dxa"/>
      <w:tblBorders>
        <w:top w:color="000000" w:space="0" w:sz="4" w:themeColor="text1" w:themeTint="000080" w:val="single"/>
        <w:left w:color="000000" w:space="0" w:sz="4" w:themeColor="text1" w:themeTint="000080" w:val="single"/>
        <w:bottom w:color="000000" w:space="0" w:sz="4" w:themeColor="text1" w:themeTint="000080" w:val="single"/>
        <w:right w:color="000000" w:space="0" w:sz="4" w:themeColor="text1" w:themeTint="000080" w:val="single"/>
        <w:insideH w:color="000000" w:space="0" w:sz="4" w:themeColor="text1" w:themeTint="000080" w:val="single"/>
        <w:insideV w:color="000000" w:space="0" w:sz="4" w:themeColor="text1" w:themeTint="000080" w:val="single"/>
      </w:tblBorders>
    </w:tblPr>
    <w:tcPr>
      <w:tcBorders/>
    </w:tcPr>
    <w:tblStylePr w:type="band1Horz">
      <w:pPr>
        <w:pBdr/>
        <w:spacing/>
        <w:ind/>
      </w:pPr>
      <w:rPr>
        <w:rFonts w:ascii="Arial" w:hAnsi="Arial"/>
        <w:color w:val="404040" w:themeColor="text1" w:themeShade="000095" w:themeTint="000080"/>
        <w:sz w:val="22"/>
      </w:rPr>
      <w:tblPr>
        <w:tblBorders/>
      </w:tblPr>
      <w:tcPr>
        <w:tcBorders/>
        <w:shd w:color="ffffff" w:fill="cbcbcb" w:themeColor="text1" w:themeFill="text1" w:themeFillTint="000034" w:themeTint="000034" w:val="clear"/>
      </w:tcPr>
    </w:tblStylePr>
    <w:tblStylePr w:type="band1Vert">
      <w:pPr>
        <w:pBdr/>
        <w:spacing/>
        <w:ind/>
      </w:pPr>
      <w:tblPr>
        <w:tblBorders/>
      </w:tblPr>
      <w:tcPr>
        <w:tcBorders/>
        <w:shd w:color="ffffff" w:fill="cbcbcb" w:themeColor="text1" w:themeFill="text1" w:themeFillTint="000034" w:themeTint="000034" w:val="clear"/>
      </w:tcPr>
    </w:tblStylePr>
    <w:tblStylePr w:type="band2Horz">
      <w:pPr>
        <w:pBdr/>
        <w:spacing/>
        <w:ind/>
      </w:pPr>
      <w:rPr>
        <w:rFonts w:ascii="Arial" w:hAnsi="Arial"/>
        <w:color w:val="404040" w:themeColor="text1" w:themeShade="000095" w:themeTint="000080"/>
        <w:sz w:val="22"/>
      </w:rPr>
      <w:tblPr>
        <w:tblBorders/>
      </w:tblPr>
      <w:tcPr>
        <w:tcBorders/>
      </w:tcPr>
    </w:tblStylePr>
    <w:tblStylePr w:type="band2Vert">
      <w:pPr>
        <w:pBdr/>
        <w:spacing/>
        <w:ind/>
      </w:pPr>
      <w:tblPr>
        <w:tblBorders/>
      </w:tblPr>
      <w:tcPr>
        <w:tcBorders/>
      </w:tcPr>
    </w:tblStylePr>
    <w:tblStylePr w:type="firstCol">
      <w:pPr>
        <w:pBdr/>
        <w:spacing/>
        <w:ind/>
      </w:pPr>
      <w:rPr>
        <w:b w:val="1"/>
        <w:color w:val="4a4a4a" w:themeColor="text1" w:themeShade="000095" w:themeTint="000080"/>
      </w:rPr>
      <w:tblPr>
        <w:tblBorders/>
      </w:tblPr>
      <w:tcPr>
        <w:tcBorders/>
      </w:tcPr>
    </w:tblStylePr>
    <w:tblStylePr w:type="firstRow">
      <w:pPr>
        <w:pBdr/>
        <w:spacing/>
        <w:ind/>
      </w:pPr>
      <w:rPr>
        <w:b w:val="1"/>
        <w:color w:val="4a4a4a" w:themeColor="text1" w:themeShade="000095" w:themeTint="000080"/>
      </w:rPr>
      <w:tblPr>
        <w:tblBorders/>
      </w:tblPr>
      <w:tcPr>
        <w:tcBorders>
          <w:bottom w:color="000000" w:space="0" w:sz="12" w:themeColor="text1" w:themeTint="000080" w:val="single"/>
        </w:tcBorders>
      </w:tcPr>
    </w:tblStylePr>
    <w:tblStylePr w:type="lastCol">
      <w:pPr>
        <w:pBdr/>
        <w:spacing/>
        <w:ind/>
      </w:pPr>
      <w:rPr>
        <w:b w:val="1"/>
        <w:color w:val="4a4a4a" w:themeColor="text1" w:themeShade="000095" w:themeTint="000080"/>
      </w:rPr>
      <w:tblPr>
        <w:tblBorders/>
      </w:tblPr>
      <w:tcPr>
        <w:tcBorders/>
      </w:tcPr>
    </w:tblStylePr>
    <w:tblStylePr w:type="lastRow">
      <w:pPr>
        <w:pBdr/>
        <w:spacing/>
        <w:ind/>
      </w:pPr>
      <w:rPr>
        <w:b w:val="1"/>
        <w:color w:val="4a4a4a" w:themeColor="text1" w:themeShade="000095" w:themeTint="00008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text1" w:themeShade="000095" w:themeTint="000080"/>
        <w:sz w:val="22"/>
      </w:rPr>
      <w:tblPr>
        <w:tblBorders/>
      </w:tblPr>
      <w:tcPr>
        <w:tcBorders/>
      </w:tcPr>
    </w:tblStylePr>
  </w:style>
  <w:style w:type="table" w:styleId="764">
    <w:name w:val="Grid Table 6 Colorful - Accent 1"/>
    <w:basedOn w:val="907"/>
    <w:uiPriority w:val="99"/>
    <w:pPr>
      <w:pBdr/>
      <w:spacing w:after="0" w:line="240" w:lineRule="auto"/>
      <w:ind/>
    </w:pPr>
    <w:tblPr>
      <w:tblStyleRowBandSize w:val="1"/>
      <w:tblStyleColBandSize w:val="1"/>
      <w:tblInd w:w="0.0" w:type="dxa"/>
      <w:tblBorders>
        <w:top w:color="000000" w:space="0" w:sz="4" w:themeColor="accent1" w:themeTint="000080" w:val="single"/>
        <w:left w:color="000000" w:space="0" w:sz="4" w:themeColor="accent1" w:themeTint="000080" w:val="single"/>
        <w:bottom w:color="000000" w:space="0" w:sz="4" w:themeColor="accent1" w:themeTint="000080" w:val="single"/>
        <w:right w:color="000000" w:space="0" w:sz="4" w:themeColor="accent1" w:themeTint="000080" w:val="single"/>
        <w:insideH w:color="000000" w:space="0" w:sz="4" w:themeColor="accent1" w:themeTint="000080" w:val="single"/>
        <w:insideV w:color="000000" w:space="0" w:sz="4" w:themeColor="accent1" w:themeTint="000080" w:val="single"/>
      </w:tblBorders>
    </w:tblPr>
    <w:tcPr>
      <w:tcBorders/>
    </w:tcPr>
    <w:tblStylePr w:type="band1Horz">
      <w:pPr>
        <w:pBdr/>
        <w:spacing/>
        <w:ind/>
      </w:pPr>
      <w:rPr>
        <w:rFonts w:ascii="Arial" w:hAnsi="Arial"/>
        <w:color w:val="404040" w:themeColor="accent1" w:themeShade="000095" w:themeTint="000080"/>
        <w:sz w:val="22"/>
      </w:rPr>
      <w:tblPr>
        <w:tblBorders/>
      </w:tblPr>
      <w:tcPr>
        <w:tcBorders/>
        <w:shd w:color="ffffff" w:fill="deebf6" w:themeColor="accent1" w:themeFill="accent1" w:themeFillTint="000034" w:themeTint="000034" w:val="clear"/>
      </w:tcPr>
    </w:tblStylePr>
    <w:tblStylePr w:type="band1Vert">
      <w:pPr>
        <w:pBdr/>
        <w:spacing/>
        <w:ind/>
      </w:pPr>
      <w:tblPr>
        <w:tblBorders/>
      </w:tblPr>
      <w:tcPr>
        <w:tcBorders/>
        <w:shd w:color="ffffff" w:fill="deebf6" w:themeColor="accent1" w:themeFill="accent1" w:themeFillTint="000034" w:themeTint="000034" w:val="clear"/>
      </w:tcPr>
    </w:tblStylePr>
    <w:tblStylePr w:type="band2Horz">
      <w:pPr>
        <w:pBdr/>
        <w:spacing/>
        <w:ind/>
      </w:pPr>
      <w:rPr>
        <w:rFonts w:ascii="Arial" w:hAnsi="Arial"/>
        <w:color w:val="404040" w:themeColor="accent1" w:themeShade="000095" w:themeTint="000080"/>
        <w:sz w:val="22"/>
      </w:rPr>
      <w:tblPr>
        <w:tblBorders/>
      </w:tblPr>
      <w:tcPr>
        <w:tcBorders/>
      </w:tcPr>
    </w:tblStylePr>
    <w:tblStylePr w:type="band2Vert">
      <w:pPr>
        <w:pBdr/>
        <w:spacing/>
        <w:ind/>
      </w:pPr>
      <w:tblPr>
        <w:tblBorders/>
      </w:tblPr>
      <w:tcPr>
        <w:tcBorders/>
      </w:tcPr>
    </w:tblStylePr>
    <w:tblStylePr w:type="firstCol">
      <w:pPr>
        <w:pBdr/>
        <w:spacing/>
        <w:ind/>
      </w:pPr>
      <w:rPr>
        <w:b w:val="1"/>
        <w:color w:val="307abd" w:themeColor="accent1" w:themeShade="000095" w:themeTint="000080"/>
      </w:rPr>
      <w:tblPr>
        <w:tblBorders/>
      </w:tblPr>
      <w:tcPr>
        <w:tcBorders/>
      </w:tcPr>
    </w:tblStylePr>
    <w:tblStylePr w:type="firstRow">
      <w:pPr>
        <w:pBdr/>
        <w:spacing/>
        <w:ind/>
      </w:pPr>
      <w:rPr>
        <w:b w:val="1"/>
        <w:color w:val="307abd" w:themeColor="accent1" w:themeShade="000095" w:themeTint="000080"/>
      </w:rPr>
      <w:tblPr>
        <w:tblBorders/>
      </w:tblPr>
      <w:tcPr>
        <w:tcBorders>
          <w:bottom w:color="000000" w:space="0" w:sz="12" w:themeColor="accent1" w:themeTint="000080" w:val="single"/>
        </w:tcBorders>
      </w:tcPr>
    </w:tblStylePr>
    <w:tblStylePr w:type="lastCol">
      <w:pPr>
        <w:pBdr/>
        <w:spacing/>
        <w:ind/>
      </w:pPr>
      <w:rPr>
        <w:b w:val="1"/>
        <w:color w:val="307abd" w:themeColor="accent1" w:themeShade="000095" w:themeTint="000080"/>
      </w:rPr>
      <w:tblPr>
        <w:tblBorders/>
      </w:tblPr>
      <w:tcPr>
        <w:tcBorders/>
      </w:tcPr>
    </w:tblStylePr>
    <w:tblStylePr w:type="lastRow">
      <w:pPr>
        <w:pBdr/>
        <w:spacing/>
        <w:ind/>
      </w:pPr>
      <w:rPr>
        <w:b w:val="1"/>
        <w:color w:val="307abd" w:themeColor="accent1" w:themeShade="000095" w:themeTint="00008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accent1" w:themeShade="000095" w:themeTint="000080"/>
        <w:sz w:val="22"/>
      </w:rPr>
      <w:tblPr>
        <w:tblBorders/>
      </w:tblPr>
      <w:tcPr>
        <w:tcBorders/>
      </w:tcPr>
    </w:tblStylePr>
  </w:style>
  <w:style w:type="table" w:styleId="765">
    <w:name w:val="Grid Table 6 Colorful - Accent 2"/>
    <w:basedOn w:val="907"/>
    <w:uiPriority w:val="99"/>
    <w:pPr>
      <w:pBdr/>
      <w:spacing w:after="0" w:line="240" w:lineRule="auto"/>
      <w:ind/>
    </w:pPr>
    <w:tblPr>
      <w:tblStyleRowBandSize w:val="1"/>
      <w:tblStyleColBandSize w:val="1"/>
      <w:tblInd w:w="0.0" w:type="dxa"/>
      <w:tblBorders>
        <w:top w:color="000000" w:space="0" w:sz="4" w:themeColor="accent2" w:themeTint="000097" w:val="single"/>
        <w:left w:color="000000" w:space="0" w:sz="4" w:themeColor="accent2" w:themeTint="000097" w:val="single"/>
        <w:bottom w:color="000000" w:space="0" w:sz="4" w:themeColor="accent2" w:themeTint="000097" w:val="single"/>
        <w:right w:color="000000" w:space="0" w:sz="4" w:themeColor="accent2" w:themeTint="000097" w:val="single"/>
        <w:insideH w:color="000000" w:space="0" w:sz="4" w:themeColor="accent2" w:themeTint="000097" w:val="single"/>
        <w:insideV w:color="000000" w:space="0" w:sz="4" w:themeColor="accent2" w:themeTint="000097" w:val="single"/>
      </w:tblBorders>
    </w:tblPr>
    <w:tcPr>
      <w:tcBorders/>
    </w:tcPr>
    <w:tblStylePr w:type="band1Horz">
      <w:pPr>
        <w:pBdr/>
        <w:spacing/>
        <w:ind/>
      </w:pPr>
      <w:rPr>
        <w:rFonts w:ascii="Arial" w:hAnsi="Arial"/>
        <w:color w:val="404040" w:themeColor="accent2" w:themeShade="000095" w:themeTint="000097"/>
        <w:sz w:val="22"/>
      </w:rPr>
      <w:tblPr>
        <w:tblBorders/>
      </w:tblPr>
      <w:tcPr>
        <w:tcBorders/>
        <w:shd w:color="ffffff" w:fill="fbe6d7" w:themeColor="accent2" w:themeFill="accent2" w:themeFillTint="000032" w:themeTint="000032" w:val="clear"/>
      </w:tcPr>
    </w:tblStylePr>
    <w:tblStylePr w:type="band1Vert">
      <w:pPr>
        <w:pBdr/>
        <w:spacing/>
        <w:ind/>
      </w:pPr>
      <w:tblPr>
        <w:tblBorders/>
      </w:tblPr>
      <w:tcPr>
        <w:tcBorders/>
        <w:shd w:color="ffffff" w:fill="fbe6d7" w:themeColor="accent2" w:themeFill="accent2" w:themeFillTint="000032" w:themeTint="000032" w:val="clear"/>
      </w:tcPr>
    </w:tblStylePr>
    <w:tblStylePr w:type="band2Horz">
      <w:pPr>
        <w:pBdr/>
        <w:spacing/>
        <w:ind/>
      </w:pPr>
      <w:rPr>
        <w:rFonts w:ascii="Arial" w:hAnsi="Arial"/>
        <w:color w:val="404040" w:themeColor="accent2" w:themeShade="000095" w:themeTint="000097"/>
        <w:sz w:val="22"/>
      </w:rPr>
      <w:tblPr>
        <w:tblBorders/>
      </w:tblPr>
      <w:tcPr>
        <w:tcBorders/>
      </w:tcPr>
    </w:tblStylePr>
    <w:tblStylePr w:type="band2Vert">
      <w:pPr>
        <w:pBdr/>
        <w:spacing/>
        <w:ind/>
      </w:pPr>
      <w:tblPr>
        <w:tblBorders/>
      </w:tblPr>
      <w:tcPr>
        <w:tcBorders/>
      </w:tcPr>
    </w:tblStylePr>
    <w:tblStylePr w:type="firstCol">
      <w:pPr>
        <w:pBdr/>
        <w:spacing/>
        <w:ind/>
      </w:pPr>
      <w:rPr>
        <w:b w:val="1"/>
        <w:color w:val="cb5d12" w:themeColor="accent2" w:themeShade="000095" w:themeTint="000097"/>
      </w:rPr>
      <w:tblPr>
        <w:tblBorders/>
      </w:tblPr>
      <w:tcPr>
        <w:tcBorders/>
      </w:tcPr>
    </w:tblStylePr>
    <w:tblStylePr w:type="firstRow">
      <w:pPr>
        <w:pBdr/>
        <w:spacing/>
        <w:ind/>
      </w:pPr>
      <w:rPr>
        <w:b w:val="1"/>
        <w:color w:val="cb5d12" w:themeColor="accent2" w:themeShade="000095" w:themeTint="000097"/>
      </w:rPr>
      <w:tblPr>
        <w:tblBorders/>
      </w:tblPr>
      <w:tcPr>
        <w:tcBorders>
          <w:bottom w:color="000000" w:space="0" w:sz="12" w:themeColor="accent2" w:themeTint="000097" w:val="single"/>
        </w:tcBorders>
      </w:tcPr>
    </w:tblStylePr>
    <w:tblStylePr w:type="lastCol">
      <w:pPr>
        <w:pBdr/>
        <w:spacing/>
        <w:ind/>
      </w:pPr>
      <w:rPr>
        <w:b w:val="1"/>
        <w:color w:val="cb5d12" w:themeColor="accent2" w:themeShade="000095" w:themeTint="000097"/>
      </w:rPr>
      <w:tblPr>
        <w:tblBorders/>
      </w:tblPr>
      <w:tcPr>
        <w:tcBorders/>
      </w:tcPr>
    </w:tblStylePr>
    <w:tblStylePr w:type="lastRow">
      <w:pPr>
        <w:pBdr/>
        <w:spacing/>
        <w:ind/>
      </w:pPr>
      <w:rPr>
        <w:b w:val="1"/>
        <w:color w:val="cb5d12" w:themeColor="accent2" w:themeShade="000095" w:themeTint="000097"/>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accent2" w:themeShade="000095" w:themeTint="000097"/>
        <w:sz w:val="22"/>
      </w:rPr>
      <w:tblPr>
        <w:tblBorders/>
      </w:tblPr>
      <w:tcPr>
        <w:tcBorders/>
      </w:tcPr>
    </w:tblStylePr>
  </w:style>
  <w:style w:type="table" w:styleId="766">
    <w:name w:val="Grid Table 6 Colorful - Accent 3"/>
    <w:basedOn w:val="907"/>
    <w:uiPriority w:val="99"/>
    <w:pPr>
      <w:pBdr/>
      <w:spacing w:after="0" w:line="240" w:lineRule="auto"/>
      <w:ind/>
    </w:pPr>
    <w:tblPr>
      <w:tblStyleRowBandSize w:val="1"/>
      <w:tblStyleColBandSize w:val="1"/>
      <w:tblInd w:w="0.0" w:type="dxa"/>
      <w:tblBorders>
        <w:top w:color="000000" w:space="0" w:sz="4" w:themeColor="accent3" w:themeTint="0000FE" w:val="single"/>
        <w:left w:color="000000" w:space="0" w:sz="4" w:themeColor="accent3" w:themeTint="0000FE" w:val="single"/>
        <w:bottom w:color="000000" w:space="0" w:sz="4" w:themeColor="accent3" w:themeTint="0000FE" w:val="single"/>
        <w:right w:color="000000" w:space="0" w:sz="4" w:themeColor="accent3" w:themeTint="0000FE" w:val="single"/>
        <w:insideH w:color="000000" w:space="0" w:sz="4" w:themeColor="accent3" w:themeTint="0000FE" w:val="single"/>
        <w:insideV w:color="000000" w:space="0" w:sz="4" w:themeColor="accent3" w:themeTint="0000FE" w:val="single"/>
      </w:tblBorders>
    </w:tblPr>
    <w:tcPr>
      <w:tcBorders/>
    </w:tcPr>
    <w:tblStylePr w:type="band1Horz">
      <w:pPr>
        <w:pBdr/>
        <w:spacing/>
        <w:ind/>
      </w:pPr>
      <w:rPr>
        <w:rFonts w:ascii="Arial" w:hAnsi="Arial"/>
        <w:color w:val="404040" w:themeColor="accent3" w:themeShade="000095" w:themeTint="0000FE"/>
        <w:sz w:val="22"/>
      </w:rPr>
      <w:tblPr>
        <w:tblBorders/>
      </w:tblPr>
      <w:tcPr>
        <w:tcBorders/>
        <w:shd w:color="ffffff" w:fill="ededed" w:themeColor="accent3" w:themeFill="accent3" w:themeFillTint="000034" w:themeTint="000034" w:val="clear"/>
      </w:tcPr>
    </w:tblStylePr>
    <w:tblStylePr w:type="band1Vert">
      <w:pPr>
        <w:pBdr/>
        <w:spacing/>
        <w:ind/>
      </w:pPr>
      <w:tblPr>
        <w:tblBorders/>
      </w:tblPr>
      <w:tcPr>
        <w:tcBorders/>
        <w:shd w:color="ffffff" w:fill="ededed" w:themeColor="accent3" w:themeFill="accent3" w:themeFillTint="000034" w:themeTint="000034" w:val="clear"/>
      </w:tcPr>
    </w:tblStylePr>
    <w:tblStylePr w:type="band2Horz">
      <w:pPr>
        <w:pBdr/>
        <w:spacing/>
        <w:ind/>
      </w:pPr>
      <w:rPr>
        <w:rFonts w:ascii="Arial" w:hAnsi="Arial"/>
        <w:color w:val="404040" w:themeColor="accent3" w:themeShade="000095" w:themeTint="0000FE"/>
        <w:sz w:val="22"/>
      </w:rPr>
      <w:tblPr>
        <w:tblBorders/>
      </w:tblPr>
      <w:tcPr>
        <w:tcBorders/>
      </w:tcPr>
    </w:tblStylePr>
    <w:tblStylePr w:type="band2Vert">
      <w:pPr>
        <w:pBdr/>
        <w:spacing/>
        <w:ind/>
      </w:pPr>
      <w:tblPr>
        <w:tblBorders/>
      </w:tblPr>
      <w:tcPr>
        <w:tcBorders/>
      </w:tcPr>
    </w:tblStylePr>
    <w:tblStylePr w:type="firstCol">
      <w:pPr>
        <w:pBdr/>
        <w:spacing/>
        <w:ind/>
      </w:pPr>
      <w:rPr>
        <w:b w:val="1"/>
        <w:color w:val="616161" w:themeColor="accent3" w:themeShade="000095" w:themeTint="0000FE"/>
      </w:rPr>
      <w:tblPr>
        <w:tblBorders/>
      </w:tblPr>
      <w:tcPr>
        <w:tcBorders/>
      </w:tcPr>
    </w:tblStylePr>
    <w:tblStylePr w:type="firstRow">
      <w:pPr>
        <w:pBdr/>
        <w:spacing/>
        <w:ind/>
      </w:pPr>
      <w:rPr>
        <w:b w:val="1"/>
        <w:color w:val="616161" w:themeColor="accent3" w:themeShade="000095" w:themeTint="0000FE"/>
      </w:rPr>
      <w:tblPr>
        <w:tblBorders/>
      </w:tblPr>
      <w:tcPr>
        <w:tcBorders>
          <w:bottom w:color="000000" w:space="0" w:sz="12" w:themeColor="accent3" w:themeTint="0000FE" w:val="single"/>
        </w:tcBorders>
      </w:tcPr>
    </w:tblStylePr>
    <w:tblStylePr w:type="lastCol">
      <w:pPr>
        <w:pBdr/>
        <w:spacing/>
        <w:ind/>
      </w:pPr>
      <w:rPr>
        <w:b w:val="1"/>
        <w:color w:val="616161" w:themeColor="accent3" w:themeShade="000095" w:themeTint="0000FE"/>
      </w:rPr>
      <w:tblPr>
        <w:tblBorders/>
      </w:tblPr>
      <w:tcPr>
        <w:tcBorders/>
      </w:tcPr>
    </w:tblStylePr>
    <w:tblStylePr w:type="lastRow">
      <w:pPr>
        <w:pBdr/>
        <w:spacing/>
        <w:ind/>
      </w:pPr>
      <w:rPr>
        <w:b w:val="1"/>
        <w:color w:val="616161" w:themeColor="accent3" w:themeShade="000095" w:themeTint="0000FE"/>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accent3" w:themeShade="000095" w:themeTint="0000FE"/>
        <w:sz w:val="22"/>
      </w:rPr>
      <w:tblPr>
        <w:tblBorders/>
      </w:tblPr>
      <w:tcPr>
        <w:tcBorders/>
      </w:tcPr>
    </w:tblStylePr>
  </w:style>
  <w:style w:type="table" w:styleId="767">
    <w:name w:val="Grid Table 6 Colorful - Accent 4"/>
    <w:basedOn w:val="907"/>
    <w:uiPriority w:val="99"/>
    <w:pPr>
      <w:pBdr/>
      <w:spacing w:after="0" w:line="240" w:lineRule="auto"/>
      <w:ind/>
    </w:pPr>
    <w:tblPr>
      <w:tblStyleRowBandSize w:val="1"/>
      <w:tblStyleColBandSize w:val="1"/>
      <w:tblInd w:w="0.0" w:type="dxa"/>
      <w:tblBorders>
        <w:top w:color="000000" w:space="0" w:sz="4" w:themeColor="accent4" w:themeTint="00009A" w:val="single"/>
        <w:left w:color="000000" w:space="0" w:sz="4" w:themeColor="accent4" w:themeTint="00009A" w:val="single"/>
        <w:bottom w:color="000000" w:space="0" w:sz="4" w:themeColor="accent4" w:themeTint="00009A" w:val="single"/>
        <w:right w:color="000000" w:space="0" w:sz="4" w:themeColor="accent4" w:themeTint="00009A" w:val="single"/>
        <w:insideH w:color="000000" w:space="0" w:sz="4" w:themeColor="accent4" w:themeTint="00009A" w:val="single"/>
        <w:insideV w:color="000000" w:space="0" w:sz="4" w:themeColor="accent4" w:themeTint="00009A" w:val="single"/>
      </w:tblBorders>
    </w:tblPr>
    <w:tcPr>
      <w:tcBorders/>
    </w:tcPr>
    <w:tblStylePr w:type="band1Horz">
      <w:pPr>
        <w:pBdr/>
        <w:spacing/>
        <w:ind/>
      </w:pPr>
      <w:rPr>
        <w:rFonts w:ascii="Arial" w:hAnsi="Arial"/>
        <w:color w:val="404040" w:themeColor="accent4" w:themeShade="000095" w:themeTint="00009A"/>
        <w:sz w:val="22"/>
      </w:rPr>
      <w:tblPr>
        <w:tblBorders/>
      </w:tblPr>
      <w:tcPr>
        <w:tcBorders/>
        <w:shd w:color="ffffff" w:fill="fff2cb" w:themeColor="accent4" w:themeFill="accent4" w:themeFillTint="000034" w:themeTint="000034" w:val="clear"/>
      </w:tcPr>
    </w:tblStylePr>
    <w:tblStylePr w:type="band1Vert">
      <w:pPr>
        <w:pBdr/>
        <w:spacing/>
        <w:ind/>
      </w:pPr>
      <w:tblPr>
        <w:tblBorders/>
      </w:tblPr>
      <w:tcPr>
        <w:tcBorders/>
        <w:shd w:color="ffffff" w:fill="fff2cb" w:themeColor="accent4" w:themeFill="accent4" w:themeFillTint="000034" w:themeTint="000034" w:val="clear"/>
      </w:tcPr>
    </w:tblStylePr>
    <w:tblStylePr w:type="band2Horz">
      <w:pPr>
        <w:pBdr/>
        <w:spacing/>
        <w:ind/>
      </w:pPr>
      <w:rPr>
        <w:rFonts w:ascii="Arial" w:hAnsi="Arial"/>
        <w:color w:val="404040" w:themeColor="accent4" w:themeShade="000095" w:themeTint="00009A"/>
        <w:sz w:val="22"/>
      </w:rPr>
      <w:tblPr>
        <w:tblBorders/>
      </w:tblPr>
      <w:tcPr>
        <w:tcBorders/>
      </w:tcPr>
    </w:tblStylePr>
    <w:tblStylePr w:type="band2Vert">
      <w:pPr>
        <w:pBdr/>
        <w:spacing/>
        <w:ind/>
      </w:pPr>
      <w:tblPr>
        <w:tblBorders/>
      </w:tblPr>
      <w:tcPr>
        <w:tcBorders/>
      </w:tcPr>
    </w:tblStylePr>
    <w:tblStylePr w:type="firstCol">
      <w:pPr>
        <w:pBdr/>
        <w:spacing/>
        <w:ind/>
      </w:pPr>
      <w:rPr>
        <w:b w:val="1"/>
        <w:color w:val="d09d00" w:themeColor="accent4" w:themeShade="000095" w:themeTint="00009A"/>
      </w:rPr>
      <w:tblPr>
        <w:tblBorders/>
      </w:tblPr>
      <w:tcPr>
        <w:tcBorders/>
      </w:tcPr>
    </w:tblStylePr>
    <w:tblStylePr w:type="firstRow">
      <w:pPr>
        <w:pBdr/>
        <w:spacing/>
        <w:ind/>
      </w:pPr>
      <w:rPr>
        <w:b w:val="1"/>
        <w:color w:val="d09d00" w:themeColor="accent4" w:themeShade="000095" w:themeTint="00009A"/>
      </w:rPr>
      <w:tblPr>
        <w:tblBorders/>
      </w:tblPr>
      <w:tcPr>
        <w:tcBorders>
          <w:bottom w:color="000000" w:space="0" w:sz="12" w:themeColor="accent4" w:themeTint="00009A" w:val="single"/>
        </w:tcBorders>
      </w:tcPr>
    </w:tblStylePr>
    <w:tblStylePr w:type="lastCol">
      <w:pPr>
        <w:pBdr/>
        <w:spacing/>
        <w:ind/>
      </w:pPr>
      <w:rPr>
        <w:b w:val="1"/>
        <w:color w:val="d09d00" w:themeColor="accent4" w:themeShade="000095" w:themeTint="00009A"/>
      </w:rPr>
      <w:tblPr>
        <w:tblBorders/>
      </w:tblPr>
      <w:tcPr>
        <w:tcBorders/>
      </w:tcPr>
    </w:tblStylePr>
    <w:tblStylePr w:type="lastRow">
      <w:pPr>
        <w:pBdr/>
        <w:spacing/>
        <w:ind/>
      </w:pPr>
      <w:rPr>
        <w:b w:val="1"/>
        <w:color w:val="d09d00" w:themeColor="accent4" w:themeShade="000095" w:themeTint="00009A"/>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accent4" w:themeShade="000095" w:themeTint="00009A"/>
        <w:sz w:val="22"/>
      </w:rPr>
      <w:tblPr>
        <w:tblBorders/>
      </w:tblPr>
      <w:tcPr>
        <w:tcBorders/>
      </w:tcPr>
    </w:tblStylePr>
  </w:style>
  <w:style w:type="table" w:styleId="768">
    <w:name w:val="Grid Table 6 Colorful - Accent 5"/>
    <w:basedOn w:val="907"/>
    <w:uiPriority w:val="99"/>
    <w:pPr>
      <w:pBdr/>
      <w:spacing w:after="0" w:line="240" w:lineRule="auto"/>
      <w:ind/>
    </w:pPr>
    <w:tblPr>
      <w:tblStyleRowBandSize w:val="1"/>
      <w:tblStyleColBandSize w:val="1"/>
      <w:tblInd w:w="0.0" w:type="dxa"/>
      <w:tblBorders>
        <w:top w:color="000000" w:space="0" w:sz="4" w:themeColor="accent5" w:val="single"/>
        <w:left w:color="000000" w:space="0" w:sz="4" w:themeColor="accent5" w:val="single"/>
        <w:bottom w:color="000000" w:space="0" w:sz="4" w:themeColor="accent5" w:val="single"/>
        <w:right w:color="000000" w:space="0" w:sz="4" w:themeColor="accent5" w:val="single"/>
        <w:insideH w:color="000000" w:space="0" w:sz="4" w:themeColor="accent5" w:val="single"/>
        <w:insideV w:color="000000" w:space="0" w:sz="4" w:themeColor="accent5" w:val="single"/>
      </w:tblBorders>
    </w:tblPr>
    <w:tcPr>
      <w:tcBorders/>
    </w:tcPr>
    <w:tblStylePr w:type="band1Horz">
      <w:pPr>
        <w:pBdr/>
        <w:spacing/>
        <w:ind/>
      </w:pPr>
      <w:rPr>
        <w:rFonts w:ascii="Arial" w:hAnsi="Arial"/>
        <w:color w:val="404040" w:themeColor="accent5" w:themeShade="000095"/>
        <w:sz w:val="22"/>
      </w:rPr>
      <w:tblPr>
        <w:tblBorders/>
      </w:tblPr>
      <w:tcPr>
        <w:tcBorders/>
        <w:shd w:color="ffffff" w:fill="d9e2f3" w:themeColor="accent5" w:themeFill="accent5" w:themeFillTint="000034" w:themeTint="000034" w:val="clear"/>
      </w:tcPr>
    </w:tblStylePr>
    <w:tblStylePr w:type="band1Vert">
      <w:pPr>
        <w:pBdr/>
        <w:spacing/>
        <w:ind/>
      </w:pPr>
      <w:tblPr>
        <w:tblBorders/>
      </w:tblPr>
      <w:tcPr>
        <w:tcBorders/>
        <w:shd w:color="ffffff" w:fill="d9e2f3" w:themeColor="accent5" w:themeFill="accent5" w:themeFillTint="000034" w:themeTint="000034" w:val="clear"/>
      </w:tcPr>
    </w:tblStylePr>
    <w:tblStylePr w:type="band2Horz">
      <w:pPr>
        <w:pBdr/>
        <w:spacing/>
        <w:ind/>
      </w:pPr>
      <w:rPr>
        <w:rFonts w:ascii="Arial" w:hAnsi="Arial"/>
        <w:color w:val="404040" w:themeColor="accent5" w:themeShade="000095"/>
        <w:sz w:val="22"/>
      </w:rPr>
      <w:tblPr>
        <w:tblBorders/>
      </w:tblPr>
      <w:tcPr>
        <w:tcBorders/>
      </w:tcPr>
    </w:tblStylePr>
    <w:tblStylePr w:type="band2Vert">
      <w:pPr>
        <w:pBdr/>
        <w:spacing/>
        <w:ind/>
      </w:pPr>
      <w:tblPr>
        <w:tblBorders/>
      </w:tblPr>
      <w:tcPr>
        <w:tcBorders/>
      </w:tcPr>
    </w:tblStylePr>
    <w:tblStylePr w:type="firstCol">
      <w:pPr>
        <w:pBdr/>
        <w:spacing/>
        <w:ind/>
      </w:pPr>
      <w:rPr>
        <w:b w:val="1"/>
        <w:color w:val="254275" w:themeColor="accent5" w:themeShade="000095"/>
      </w:rPr>
      <w:tblPr>
        <w:tblBorders/>
      </w:tblPr>
      <w:tcPr>
        <w:tcBorders/>
      </w:tcPr>
    </w:tblStylePr>
    <w:tblStylePr w:type="firstRow">
      <w:pPr>
        <w:pBdr/>
        <w:spacing/>
        <w:ind/>
      </w:pPr>
      <w:rPr>
        <w:b w:val="1"/>
        <w:color w:val="254275" w:themeColor="accent5" w:themeShade="000095"/>
      </w:rPr>
      <w:tblPr>
        <w:tblBorders/>
      </w:tblPr>
      <w:tcPr>
        <w:tcBorders>
          <w:bottom w:color="000000" w:space="0" w:sz="12" w:themeColor="accent5" w:val="single"/>
        </w:tcBorders>
      </w:tcPr>
    </w:tblStylePr>
    <w:tblStylePr w:type="lastCol">
      <w:pPr>
        <w:pBdr/>
        <w:spacing/>
        <w:ind/>
      </w:pPr>
      <w:rPr>
        <w:b w:val="1"/>
        <w:color w:val="254275" w:themeColor="accent5" w:themeShade="000095"/>
      </w:rPr>
      <w:tblPr>
        <w:tblBorders/>
      </w:tblPr>
      <w:tcPr>
        <w:tcBorders/>
      </w:tcPr>
    </w:tblStylePr>
    <w:tblStylePr w:type="lastRow">
      <w:pPr>
        <w:pBdr/>
        <w:spacing/>
        <w:ind/>
      </w:pPr>
      <w:rPr>
        <w:b w:val="1"/>
        <w:color w:val="254275" w:themeColor="accent5" w:themeShade="000095"/>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accent5" w:themeShade="000095"/>
        <w:sz w:val="22"/>
      </w:rPr>
      <w:tblPr>
        <w:tblBorders/>
      </w:tblPr>
      <w:tcPr>
        <w:tcBorders/>
      </w:tcPr>
    </w:tblStylePr>
  </w:style>
  <w:style w:type="table" w:styleId="769">
    <w:name w:val="Grid Table 6 Colorful - Accent 6"/>
    <w:basedOn w:val="907"/>
    <w:uiPriority w:val="99"/>
    <w:pPr>
      <w:pBdr/>
      <w:spacing w:after="0" w:line="240" w:lineRule="auto"/>
      <w:ind/>
    </w:pPr>
    <w:tblPr>
      <w:tblStyleRowBandSize w:val="1"/>
      <w:tblStyleColBandSize w:val="1"/>
      <w:tblInd w:w="0.0" w:type="dxa"/>
      <w:tblBorders>
        <w:top w:color="000000" w:space="0" w:sz="4" w:themeColor="accent6" w:val="single"/>
        <w:left w:color="000000" w:space="0" w:sz="4" w:themeColor="accent6" w:val="single"/>
        <w:bottom w:color="000000" w:space="0" w:sz="4" w:themeColor="accent6" w:val="single"/>
        <w:right w:color="000000" w:space="0" w:sz="4" w:themeColor="accent6" w:val="single"/>
        <w:insideH w:color="000000" w:space="0" w:sz="4" w:themeColor="accent6" w:val="single"/>
        <w:insideV w:color="000000" w:space="0" w:sz="4" w:themeColor="accent6" w:val="single"/>
      </w:tblBorders>
    </w:tblPr>
    <w:tcPr>
      <w:tcBorders/>
    </w:tcPr>
    <w:tblStylePr w:type="band1Horz">
      <w:pPr>
        <w:pBdr/>
        <w:spacing/>
        <w:ind/>
      </w:pPr>
      <w:rPr>
        <w:rFonts w:ascii="Arial" w:hAnsi="Arial"/>
        <w:color w:val="404040" w:themeColor="accent5" w:themeShade="000095"/>
        <w:sz w:val="22"/>
      </w:rPr>
      <w:tblPr>
        <w:tblBorders/>
      </w:tblPr>
      <w:tcPr>
        <w:tcBorders/>
        <w:shd w:color="ffffff" w:fill="e2efd9" w:themeColor="accent6" w:themeFill="accent6" w:themeFillTint="000034" w:themeTint="000034" w:val="clear"/>
      </w:tcPr>
    </w:tblStylePr>
    <w:tblStylePr w:type="band1Vert">
      <w:pPr>
        <w:pBdr/>
        <w:spacing/>
        <w:ind/>
      </w:pPr>
      <w:tblPr>
        <w:tblBorders/>
      </w:tblPr>
      <w:tcPr>
        <w:tcBorders/>
        <w:shd w:color="ffffff" w:fill="e2efd9" w:themeColor="accent6" w:themeFill="accent6" w:themeFillTint="000034" w:themeTint="000034" w:val="clear"/>
      </w:tcPr>
    </w:tblStylePr>
    <w:tblStylePr w:type="band2Horz">
      <w:pPr>
        <w:pBdr/>
        <w:spacing/>
        <w:ind/>
      </w:pPr>
      <w:rPr>
        <w:rFonts w:ascii="Arial" w:hAnsi="Arial"/>
        <w:color w:val="404040" w:themeColor="accent5" w:themeShade="000095"/>
        <w:sz w:val="22"/>
      </w:rPr>
      <w:tblPr>
        <w:tblBorders/>
      </w:tblPr>
      <w:tcPr>
        <w:tcBorders/>
      </w:tcPr>
    </w:tblStylePr>
    <w:tblStylePr w:type="band2Vert">
      <w:pPr>
        <w:pBdr/>
        <w:spacing/>
        <w:ind/>
      </w:pPr>
      <w:tblPr>
        <w:tblBorders/>
      </w:tblPr>
      <w:tcPr>
        <w:tcBorders/>
      </w:tcPr>
    </w:tblStylePr>
    <w:tblStylePr w:type="firstCol">
      <w:pPr>
        <w:pBdr/>
        <w:spacing/>
        <w:ind/>
      </w:pPr>
      <w:rPr>
        <w:b w:val="1"/>
        <w:color w:val="254275" w:themeColor="accent5" w:themeShade="000095"/>
      </w:rPr>
      <w:tblPr>
        <w:tblBorders/>
      </w:tblPr>
      <w:tcPr>
        <w:tcBorders/>
      </w:tcPr>
    </w:tblStylePr>
    <w:tblStylePr w:type="firstRow">
      <w:pPr>
        <w:pBdr/>
        <w:spacing/>
        <w:ind/>
      </w:pPr>
      <w:rPr>
        <w:b w:val="1"/>
        <w:color w:val="254275" w:themeColor="accent5" w:themeShade="000095"/>
      </w:rPr>
      <w:tblPr>
        <w:tblBorders/>
      </w:tblPr>
      <w:tcPr>
        <w:tcBorders>
          <w:bottom w:color="000000" w:space="0" w:sz="12" w:themeColor="accent6" w:val="single"/>
        </w:tcBorders>
      </w:tcPr>
    </w:tblStylePr>
    <w:tblStylePr w:type="lastCol">
      <w:pPr>
        <w:pBdr/>
        <w:spacing/>
        <w:ind/>
      </w:pPr>
      <w:rPr>
        <w:b w:val="1"/>
        <w:color w:val="254275" w:themeColor="accent5" w:themeShade="000095"/>
      </w:rPr>
      <w:tblPr>
        <w:tblBorders/>
      </w:tblPr>
      <w:tcPr>
        <w:tcBorders/>
      </w:tcPr>
    </w:tblStylePr>
    <w:tblStylePr w:type="lastRow">
      <w:pPr>
        <w:pBdr/>
        <w:spacing/>
        <w:ind/>
      </w:pPr>
      <w:rPr>
        <w:b w:val="1"/>
        <w:color w:val="254275" w:themeColor="accent5" w:themeShade="000095"/>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accent5" w:themeShade="000095"/>
        <w:sz w:val="22"/>
      </w:rPr>
      <w:tblPr>
        <w:tblBorders/>
      </w:tblPr>
      <w:tcPr>
        <w:tcBorders/>
      </w:tcPr>
    </w:tblStylePr>
  </w:style>
  <w:style w:type="table" w:styleId="770">
    <w:name w:val="Grid Table 7 Colorful"/>
    <w:basedOn w:val="907"/>
    <w:uiPriority w:val="99"/>
    <w:pPr>
      <w:pBdr/>
      <w:spacing w:after="0" w:line="240" w:lineRule="auto"/>
      <w:ind/>
    </w:pPr>
    <w:tblPr>
      <w:tblStyleRowBandSize w:val="1"/>
      <w:tblStyleColBandSize w:val="1"/>
      <w:tblInd w:w="0.0" w:type="dxa"/>
      <w:tblBorders>
        <w:bottom w:color="000000" w:space="0" w:sz="4" w:themeColor="text1" w:themeTint="000080" w:val="single"/>
        <w:right w:color="000000" w:space="0" w:sz="4" w:themeColor="text1" w:themeTint="000080" w:val="single"/>
        <w:insideH w:color="000000" w:space="0" w:sz="4" w:themeColor="text1" w:themeTint="000080" w:val="single"/>
        <w:insideV w:color="000000" w:space="0" w:sz="4" w:themeColor="text1" w:themeTint="000080" w:val="single"/>
      </w:tblBorders>
    </w:tblPr>
    <w:tcPr>
      <w:tcBorders/>
    </w:tcPr>
    <w:tblStylePr w:type="band1Horz">
      <w:pPr>
        <w:pBdr/>
        <w:spacing/>
        <w:ind/>
      </w:pPr>
      <w:rPr>
        <w:rFonts w:ascii="Arial" w:hAnsi="Arial"/>
        <w:color w:val="4a4a4a" w:themeColor="text1" w:themeShade="000095" w:themeTint="000080"/>
        <w:sz w:val="22"/>
      </w:rPr>
      <w:tblPr>
        <w:tblBorders/>
      </w:tblPr>
      <w:tcPr>
        <w:tcBorders/>
        <w:shd w:color="ffffff" w:fill="f2f2f2" w:themeColor="text1" w:themeFill="text1" w:themeFillTint="00000D" w:themeTint="00000D" w:val="clear"/>
      </w:tcPr>
    </w:tblStylePr>
    <w:tblStylePr w:type="band1Vert">
      <w:pPr>
        <w:pBdr/>
        <w:spacing/>
        <w:ind/>
      </w:pPr>
      <w:tblPr>
        <w:tblBorders/>
      </w:tblPr>
      <w:tcPr>
        <w:tcBorders/>
        <w:shd w:color="ffffff" w:fill="f2f2f2" w:themeColor="text1" w:themeFill="text1" w:themeFillTint="00000D" w:themeTint="00000D" w:val="clear"/>
      </w:tcPr>
    </w:tblStylePr>
    <w:tblStylePr w:type="band2Horz">
      <w:pPr>
        <w:pBdr/>
        <w:spacing/>
        <w:ind/>
      </w:pPr>
      <w:rPr>
        <w:rFonts w:ascii="Arial" w:hAnsi="Arial"/>
        <w:color w:val="4a4a4a" w:themeColor="text1" w:themeShade="000095" w:themeTint="00008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4a4a4a" w:themeColor="text1" w:themeShade="000095" w:themeTint="000080"/>
        <w:sz w:val="22"/>
      </w:rPr>
      <w:tblPr>
        <w:tblBorders/>
      </w:tblPr>
      <w:tcPr>
        <w:tcBorders>
          <w:top w:color="000000" w:space="0" w:sz="4" w:val="none"/>
          <w:left w:color="000000" w:space="0" w:sz="4" w:val="none"/>
          <w:bottom w:color="000000" w:space="0" w:sz="4" w:val="none"/>
          <w:right w:color="000000" w:space="0" w:sz="4" w:themeColor="text1" w:themeTint="000080" w:val="single"/>
        </w:tcBorders>
        <w:shd w:color="ffffff" w:val="clear"/>
      </w:tcPr>
    </w:tblStylePr>
    <w:tblStylePr w:type="firstRow">
      <w:pPr>
        <w:pBdr/>
        <w:spacing/>
        <w:ind/>
      </w:pPr>
      <w:rPr>
        <w:rFonts w:ascii="Arial" w:hAnsi="Arial"/>
        <w:b w:val="1"/>
        <w:color w:val="4a4a4a" w:themeColor="text1" w:themeShade="000095" w:themeTint="000080"/>
        <w:sz w:val="22"/>
      </w:rPr>
      <w:tblPr>
        <w:tblBorders/>
      </w:tblPr>
      <w:tcPr>
        <w:tcBorders>
          <w:top w:color="000000" w:space="0" w:sz="4" w:val="none"/>
          <w:left w:color="000000" w:space="0" w:sz="4" w:val="none"/>
          <w:bottom w:color="000000" w:space="0" w:sz="4" w:themeColor="text1" w:themeTint="000080" w:val="single"/>
          <w:right w:color="000000" w:space="0" w:sz="4" w:val="none"/>
        </w:tcBorders>
        <w:shd w:color="ffffff" w:fill="ffffff" w:themeColor="light1" w:themeFill="light1" w:val="clear"/>
      </w:tcPr>
    </w:tblStylePr>
    <w:tblStylePr w:type="lastCol">
      <w:pPr>
        <w:pBdr/>
        <w:spacing/>
        <w:ind/>
      </w:pPr>
      <w:rPr>
        <w:rFonts w:ascii="Arial" w:hAnsi="Arial"/>
        <w:i w:val="1"/>
        <w:color w:val="4a4a4a" w:themeColor="text1" w:themeShade="000095" w:themeTint="000080"/>
        <w:sz w:val="22"/>
      </w:rPr>
      <w:tblPr>
        <w:tblBorders/>
      </w:tblPr>
      <w:tcPr>
        <w:tcBorders>
          <w:top w:color="000000" w:space="0" w:sz="4" w:val="none"/>
          <w:left w:color="000000" w:space="0" w:sz="4" w:themeColor="text1" w:themeTint="000080" w:val="single"/>
          <w:bottom w:color="000000" w:space="0" w:sz="4" w:val="none"/>
          <w:right w:color="000000" w:space="0" w:sz="4" w:val="none"/>
        </w:tcBorders>
        <w:shd w:color="ffffff" w:val="clear"/>
      </w:tcPr>
    </w:tblStylePr>
    <w:tblStylePr w:type="lastRow">
      <w:pPr>
        <w:pBdr/>
        <w:spacing/>
        <w:ind/>
      </w:pPr>
      <w:rPr>
        <w:rFonts w:ascii="Arial" w:hAnsi="Arial"/>
        <w:b w:val="1"/>
        <w:color w:val="4a4a4a" w:themeColor="text1" w:themeShade="000095" w:themeTint="000080"/>
        <w:sz w:val="22"/>
      </w:rPr>
      <w:tblPr>
        <w:tblBorders/>
      </w:tblPr>
      <w:tcPr>
        <w:tcBorders>
          <w:top w:color="000000" w:space="0" w:sz="4" w:themeColor="text1" w:themeTint="000080"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7 Colorful - Accent 1"/>
    <w:basedOn w:val="907"/>
    <w:uiPriority w:val="99"/>
    <w:pPr>
      <w:pBdr/>
      <w:spacing w:after="0" w:line="240" w:lineRule="auto"/>
      <w:ind/>
    </w:pPr>
    <w:tblPr>
      <w:tblStyleRowBandSize w:val="1"/>
      <w:tblStyleColBandSize w:val="1"/>
      <w:tblInd w:w="0.0" w:type="dxa"/>
      <w:tblBorders>
        <w:bottom w:color="000000" w:space="0" w:sz="4" w:themeColor="accent1" w:themeTint="000080" w:val="single"/>
        <w:right w:color="000000" w:space="0" w:sz="4" w:themeColor="accent1" w:themeTint="000080" w:val="single"/>
        <w:insideH w:color="000000" w:space="0" w:sz="4" w:themeColor="accent1" w:themeTint="000080" w:val="single"/>
        <w:insideV w:color="000000" w:space="0" w:sz="4" w:themeColor="accent1" w:themeTint="000080" w:val="single"/>
      </w:tblBorders>
    </w:tblPr>
    <w:tcPr>
      <w:tcBorders/>
    </w:tcPr>
    <w:tblStylePr w:type="band1Horz">
      <w:pPr>
        <w:pBdr/>
        <w:spacing/>
        <w:ind/>
      </w:pPr>
      <w:rPr>
        <w:rFonts w:ascii="Arial" w:hAnsi="Arial"/>
        <w:color w:val="307abd" w:themeColor="accent1" w:themeShade="000095" w:themeTint="000080"/>
        <w:sz w:val="22"/>
      </w:rPr>
      <w:tblPr>
        <w:tblBorders/>
      </w:tblPr>
      <w:tcPr>
        <w:tcBorders/>
        <w:shd w:color="ffffff" w:fill="deebf6" w:themeColor="accent1" w:themeFill="accent1" w:themeFillTint="000034" w:themeTint="000034" w:val="clear"/>
      </w:tcPr>
    </w:tblStylePr>
    <w:tblStylePr w:type="band1Vert">
      <w:pPr>
        <w:pBdr/>
        <w:spacing/>
        <w:ind/>
      </w:pPr>
      <w:tblPr>
        <w:tblBorders/>
      </w:tblPr>
      <w:tcPr>
        <w:tcBorders/>
        <w:shd w:color="ffffff" w:fill="deebf6" w:themeColor="accent1" w:themeFill="accent1" w:themeFillTint="000034" w:themeTint="000034" w:val="clear"/>
      </w:tcPr>
    </w:tblStylePr>
    <w:tblStylePr w:type="band2Horz">
      <w:pPr>
        <w:pBdr/>
        <w:spacing/>
        <w:ind/>
      </w:pPr>
      <w:rPr>
        <w:rFonts w:ascii="Arial" w:hAnsi="Arial"/>
        <w:color w:val="307abd" w:themeColor="accent1" w:themeShade="000095" w:themeTint="00008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307abd" w:themeColor="accent1" w:themeShade="000095" w:themeTint="000080"/>
        <w:sz w:val="22"/>
      </w:rPr>
      <w:tblPr>
        <w:tblBorders/>
      </w:tblPr>
      <w:tcPr>
        <w:tcBorders>
          <w:top w:color="000000" w:space="0" w:sz="4" w:val="none"/>
          <w:left w:color="000000" w:space="0" w:sz="4" w:val="none"/>
          <w:bottom w:color="000000" w:space="0" w:sz="4" w:val="none"/>
          <w:right w:color="000000" w:space="0" w:sz="4" w:themeColor="accent1" w:themeTint="000080" w:val="single"/>
        </w:tcBorders>
        <w:shd w:color="ffffff" w:val="clear"/>
      </w:tcPr>
    </w:tblStylePr>
    <w:tblStylePr w:type="firstRow">
      <w:pPr>
        <w:pBdr/>
        <w:spacing/>
        <w:ind/>
      </w:pPr>
      <w:rPr>
        <w:rFonts w:ascii="Arial" w:hAnsi="Arial"/>
        <w:b w:val="1"/>
        <w:color w:val="307abd" w:themeColor="accent1" w:themeShade="000095" w:themeTint="000080"/>
        <w:sz w:val="22"/>
      </w:rPr>
      <w:tblPr>
        <w:tblBorders/>
      </w:tblPr>
      <w:tcPr>
        <w:tcBorders>
          <w:top w:color="000000" w:space="0" w:sz="4" w:val="none"/>
          <w:left w:color="000000" w:space="0" w:sz="4" w:val="none"/>
          <w:bottom w:color="000000" w:space="0" w:sz="4" w:themeColor="accent1" w:themeTint="000080" w:val="single"/>
          <w:right w:color="000000" w:space="0" w:sz="4" w:val="none"/>
        </w:tcBorders>
        <w:shd w:color="ffffff" w:fill="ffffff" w:themeColor="light1" w:themeFill="light1" w:val="clear"/>
      </w:tcPr>
    </w:tblStylePr>
    <w:tblStylePr w:type="lastCol">
      <w:pPr>
        <w:pBdr/>
        <w:spacing/>
        <w:ind/>
      </w:pPr>
      <w:rPr>
        <w:rFonts w:ascii="Arial" w:hAnsi="Arial"/>
        <w:i w:val="1"/>
        <w:color w:val="307abd" w:themeColor="accent1" w:themeShade="000095" w:themeTint="000080"/>
        <w:sz w:val="22"/>
      </w:rPr>
      <w:tblPr>
        <w:tblBorders/>
      </w:tblPr>
      <w:tcPr>
        <w:tcBorders>
          <w:top w:color="000000" w:space="0" w:sz="4" w:val="none"/>
          <w:left w:color="000000" w:space="0" w:sz="4" w:themeColor="accent1" w:themeTint="000080" w:val="single"/>
          <w:bottom w:color="000000" w:space="0" w:sz="4" w:val="none"/>
          <w:right w:color="000000" w:space="0" w:sz="4" w:val="none"/>
        </w:tcBorders>
        <w:shd w:color="ffffff" w:val="clear"/>
      </w:tcPr>
    </w:tblStylePr>
    <w:tblStylePr w:type="lastRow">
      <w:pPr>
        <w:pBdr/>
        <w:spacing/>
        <w:ind/>
      </w:pPr>
      <w:rPr>
        <w:rFonts w:ascii="Arial" w:hAnsi="Arial"/>
        <w:b w:val="1"/>
        <w:color w:val="307abd" w:themeColor="accent1" w:themeShade="000095" w:themeTint="000080"/>
        <w:sz w:val="22"/>
      </w:rPr>
      <w:tblPr>
        <w:tblBorders/>
      </w:tblPr>
      <w:tcPr>
        <w:tcBorders>
          <w:top w:color="000000" w:space="0" w:sz="4" w:themeColor="accent1" w:themeTint="000080"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7 Colorful - Accent 2"/>
    <w:basedOn w:val="907"/>
    <w:uiPriority w:val="99"/>
    <w:pPr>
      <w:pBdr/>
      <w:spacing w:after="0" w:line="240" w:lineRule="auto"/>
      <w:ind/>
    </w:pPr>
    <w:tblPr>
      <w:tblStyleRowBandSize w:val="1"/>
      <w:tblStyleColBandSize w:val="1"/>
      <w:tblInd w:w="0.0" w:type="dxa"/>
      <w:tblBorders>
        <w:bottom w:color="000000" w:space="0" w:sz="4" w:themeColor="accent2" w:themeTint="000097" w:val="single"/>
        <w:right w:color="000000" w:space="0" w:sz="4" w:themeColor="accent2" w:themeTint="000097" w:val="single"/>
        <w:insideH w:color="000000" w:space="0" w:sz="4" w:themeColor="accent2" w:themeTint="000097" w:val="single"/>
        <w:insideV w:color="000000" w:space="0" w:sz="4" w:themeColor="accent2" w:themeTint="000097" w:val="single"/>
      </w:tblBorders>
    </w:tblPr>
    <w:tcPr>
      <w:tcBorders/>
    </w:tcPr>
    <w:tblStylePr w:type="band1Horz">
      <w:pPr>
        <w:pBdr/>
        <w:spacing/>
        <w:ind/>
      </w:pPr>
      <w:rPr>
        <w:rFonts w:ascii="Arial" w:hAnsi="Arial"/>
        <w:color w:val="cb5d12" w:themeColor="accent2" w:themeShade="000095" w:themeTint="000097"/>
        <w:sz w:val="22"/>
      </w:rPr>
      <w:tblPr>
        <w:tblBorders/>
      </w:tblPr>
      <w:tcPr>
        <w:tcBorders/>
        <w:shd w:color="ffffff" w:fill="fbe6d7" w:themeColor="accent2" w:themeFill="accent2" w:themeFillTint="000032" w:themeTint="000032" w:val="clear"/>
      </w:tcPr>
    </w:tblStylePr>
    <w:tblStylePr w:type="band1Vert">
      <w:pPr>
        <w:pBdr/>
        <w:spacing/>
        <w:ind/>
      </w:pPr>
      <w:tblPr>
        <w:tblBorders/>
      </w:tblPr>
      <w:tcPr>
        <w:tcBorders/>
        <w:shd w:color="ffffff" w:fill="fbe6d7" w:themeColor="accent2" w:themeFill="accent2" w:themeFillTint="000032" w:themeTint="000032" w:val="clear"/>
      </w:tcPr>
    </w:tblStylePr>
    <w:tblStylePr w:type="band2Horz">
      <w:pPr>
        <w:pBdr/>
        <w:spacing/>
        <w:ind/>
      </w:pPr>
      <w:rPr>
        <w:rFonts w:ascii="Arial" w:hAnsi="Arial"/>
        <w:color w:val="cb5d12" w:themeColor="accent2" w:themeShade="000095" w:themeTint="000097"/>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cb5d12" w:themeColor="accent2" w:themeShade="000095" w:themeTint="000097"/>
        <w:sz w:val="22"/>
      </w:rPr>
      <w:tblPr>
        <w:tblBorders/>
      </w:tblPr>
      <w:tcPr>
        <w:tcBorders>
          <w:top w:color="000000" w:space="0" w:sz="4" w:val="none"/>
          <w:left w:color="000000" w:space="0" w:sz="4" w:val="none"/>
          <w:bottom w:color="000000" w:space="0" w:sz="4" w:val="none"/>
          <w:right w:color="000000" w:space="0" w:sz="4" w:themeColor="accent2" w:themeTint="000097" w:val="single"/>
        </w:tcBorders>
        <w:shd w:color="ffffff" w:val="clear"/>
      </w:tcPr>
    </w:tblStylePr>
    <w:tblStylePr w:type="firstRow">
      <w:pPr>
        <w:pBdr/>
        <w:spacing/>
        <w:ind/>
      </w:pPr>
      <w:rPr>
        <w:rFonts w:ascii="Arial" w:hAnsi="Arial"/>
        <w:b w:val="1"/>
        <w:color w:val="cb5d12" w:themeColor="accent2" w:themeShade="000095" w:themeTint="000097"/>
        <w:sz w:val="22"/>
      </w:rPr>
      <w:tblPr>
        <w:tblBorders/>
      </w:tblPr>
      <w:tcPr>
        <w:tcBorders>
          <w:top w:color="000000" w:space="0" w:sz="4" w:val="none"/>
          <w:left w:color="000000" w:space="0" w:sz="4" w:val="none"/>
          <w:bottom w:color="000000" w:space="0" w:sz="4" w:themeColor="accent2" w:themeTint="000097" w:val="single"/>
          <w:right w:color="000000" w:space="0" w:sz="4" w:val="none"/>
        </w:tcBorders>
        <w:shd w:color="ffffff" w:fill="ffffff" w:themeColor="light1" w:themeFill="light1" w:val="clear"/>
      </w:tcPr>
    </w:tblStylePr>
    <w:tblStylePr w:type="lastCol">
      <w:pPr>
        <w:pBdr/>
        <w:spacing/>
        <w:ind/>
      </w:pPr>
      <w:rPr>
        <w:rFonts w:ascii="Arial" w:hAnsi="Arial"/>
        <w:i w:val="1"/>
        <w:color w:val="cb5d12" w:themeColor="accent2" w:themeShade="000095" w:themeTint="000097"/>
        <w:sz w:val="22"/>
      </w:rPr>
      <w:tblPr>
        <w:tblBorders/>
      </w:tblPr>
      <w:tcPr>
        <w:tcBorders>
          <w:top w:color="000000" w:space="0" w:sz="4" w:val="none"/>
          <w:left w:color="000000" w:space="0" w:sz="4" w:themeColor="accent2" w:themeTint="000097" w:val="single"/>
          <w:bottom w:color="000000" w:space="0" w:sz="4" w:val="none"/>
          <w:right w:color="000000" w:space="0" w:sz="4" w:val="none"/>
        </w:tcBorders>
        <w:shd w:color="ffffff" w:val="clear"/>
      </w:tcPr>
    </w:tblStylePr>
    <w:tblStylePr w:type="lastRow">
      <w:pPr>
        <w:pBdr/>
        <w:spacing/>
        <w:ind/>
      </w:pPr>
      <w:rPr>
        <w:rFonts w:ascii="Arial" w:hAnsi="Arial"/>
        <w:b w:val="1"/>
        <w:color w:val="cb5d12" w:themeColor="accent2" w:themeShade="000095" w:themeTint="000097"/>
        <w:sz w:val="22"/>
      </w:rPr>
      <w:tblPr>
        <w:tblBorders/>
      </w:tblPr>
      <w:tcPr>
        <w:tcBorders>
          <w:top w:color="000000" w:space="0" w:sz="4" w:themeColor="accent2" w:themeTint="000097"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7 Colorful - Accent 3"/>
    <w:basedOn w:val="907"/>
    <w:uiPriority w:val="99"/>
    <w:pPr>
      <w:pBdr/>
      <w:spacing w:after="0" w:line="240" w:lineRule="auto"/>
      <w:ind/>
    </w:pPr>
    <w:tblPr>
      <w:tblStyleRowBandSize w:val="1"/>
      <w:tblStyleColBandSize w:val="1"/>
      <w:tblInd w:w="0.0" w:type="dxa"/>
      <w:tblBorders>
        <w:bottom w:color="000000" w:space="0" w:sz="4" w:themeColor="accent3" w:themeTint="0000FE" w:val="single"/>
        <w:right w:color="000000" w:space="0" w:sz="4" w:themeColor="accent3" w:themeTint="0000FE" w:val="single"/>
        <w:insideH w:color="000000" w:space="0" w:sz="4" w:themeColor="accent3" w:themeTint="0000FE" w:val="single"/>
        <w:insideV w:color="000000" w:space="0" w:sz="4" w:themeColor="accent3" w:themeTint="0000FE" w:val="single"/>
      </w:tblBorders>
    </w:tblPr>
    <w:tcPr>
      <w:tcBorders/>
    </w:tcPr>
    <w:tblStylePr w:type="band1Horz">
      <w:pPr>
        <w:pBdr/>
        <w:spacing/>
        <w:ind/>
      </w:pPr>
      <w:rPr>
        <w:rFonts w:ascii="Arial" w:hAnsi="Arial"/>
        <w:color w:val="616161" w:themeColor="accent3" w:themeShade="000095" w:themeTint="0000FE"/>
        <w:sz w:val="22"/>
      </w:rPr>
      <w:tblPr>
        <w:tblBorders/>
      </w:tblPr>
      <w:tcPr>
        <w:tcBorders/>
        <w:shd w:color="ffffff" w:fill="ededed" w:themeColor="accent3" w:themeFill="accent3" w:themeFillTint="000034" w:themeTint="000034" w:val="clear"/>
      </w:tcPr>
    </w:tblStylePr>
    <w:tblStylePr w:type="band1Vert">
      <w:pPr>
        <w:pBdr/>
        <w:spacing/>
        <w:ind/>
      </w:pPr>
      <w:tblPr>
        <w:tblBorders/>
      </w:tblPr>
      <w:tcPr>
        <w:tcBorders/>
        <w:shd w:color="ffffff" w:fill="ededed" w:themeColor="accent3" w:themeFill="accent3" w:themeFillTint="000034" w:themeTint="000034" w:val="clear"/>
      </w:tcPr>
    </w:tblStylePr>
    <w:tblStylePr w:type="band2Horz">
      <w:pPr>
        <w:pBdr/>
        <w:spacing/>
        <w:ind/>
      </w:pPr>
      <w:rPr>
        <w:rFonts w:ascii="Arial" w:hAnsi="Arial"/>
        <w:color w:val="616161" w:themeColor="accent3" w:themeShade="000095" w:themeTint="0000FE"/>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616161" w:themeColor="accent3" w:themeShade="000095" w:themeTint="0000FE"/>
        <w:sz w:val="22"/>
      </w:rPr>
      <w:tblPr>
        <w:tblBorders/>
      </w:tblPr>
      <w:tcPr>
        <w:tcBorders>
          <w:top w:color="000000" w:space="0" w:sz="4" w:val="none"/>
          <w:left w:color="000000" w:space="0" w:sz="4" w:val="none"/>
          <w:bottom w:color="000000" w:space="0" w:sz="4" w:val="none"/>
          <w:right w:color="000000" w:space="0" w:sz="4" w:themeColor="accent3" w:themeTint="0000FE" w:val="single"/>
        </w:tcBorders>
        <w:shd w:color="ffffff" w:val="clear"/>
      </w:tcPr>
    </w:tblStylePr>
    <w:tblStylePr w:type="firstRow">
      <w:pPr>
        <w:pBdr/>
        <w:spacing/>
        <w:ind/>
      </w:pPr>
      <w:rPr>
        <w:rFonts w:ascii="Arial" w:hAnsi="Arial"/>
        <w:b w:val="1"/>
        <w:color w:val="616161" w:themeColor="accent3" w:themeShade="000095" w:themeTint="0000FE"/>
        <w:sz w:val="22"/>
      </w:rPr>
      <w:tblPr>
        <w:tblBorders/>
      </w:tblPr>
      <w:tcPr>
        <w:tcBorders>
          <w:top w:color="000000" w:space="0" w:sz="4" w:val="none"/>
          <w:left w:color="000000" w:space="0" w:sz="4" w:val="none"/>
          <w:bottom w:color="000000" w:space="0" w:sz="4" w:themeColor="accent3" w:themeTint="0000FE" w:val="single"/>
          <w:right w:color="000000" w:space="0" w:sz="4" w:val="none"/>
        </w:tcBorders>
        <w:shd w:color="ffffff" w:fill="ffffff" w:themeColor="light1" w:themeFill="light1" w:val="clear"/>
      </w:tcPr>
    </w:tblStylePr>
    <w:tblStylePr w:type="lastCol">
      <w:pPr>
        <w:pBdr/>
        <w:spacing/>
        <w:ind/>
      </w:pPr>
      <w:rPr>
        <w:rFonts w:ascii="Arial" w:hAnsi="Arial"/>
        <w:i w:val="1"/>
        <w:color w:val="616161" w:themeColor="accent3" w:themeShade="000095" w:themeTint="0000FE"/>
        <w:sz w:val="22"/>
      </w:rPr>
      <w:tblPr>
        <w:tblBorders/>
      </w:tblPr>
      <w:tcPr>
        <w:tcBorders>
          <w:top w:color="000000" w:space="0" w:sz="4" w:val="none"/>
          <w:left w:color="000000" w:space="0" w:sz="4" w:themeColor="accent3" w:themeTint="0000FE" w:val="single"/>
          <w:bottom w:color="000000" w:space="0" w:sz="4" w:val="none"/>
          <w:right w:color="000000" w:space="0" w:sz="4" w:val="none"/>
        </w:tcBorders>
        <w:shd w:color="ffffff" w:val="clear"/>
      </w:tcPr>
    </w:tblStylePr>
    <w:tblStylePr w:type="lastRow">
      <w:pPr>
        <w:pBdr/>
        <w:spacing/>
        <w:ind/>
      </w:pPr>
      <w:rPr>
        <w:rFonts w:ascii="Arial" w:hAnsi="Arial"/>
        <w:b w:val="1"/>
        <w:color w:val="616161" w:themeColor="accent3" w:themeShade="000095" w:themeTint="0000FE"/>
        <w:sz w:val="22"/>
      </w:rPr>
      <w:tblPr>
        <w:tblBorders/>
      </w:tblPr>
      <w:tcPr>
        <w:tcBorders>
          <w:top w:color="000000" w:space="0" w:sz="4" w:themeColor="accent3" w:themeTint="0000FE"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4"/>
    <w:basedOn w:val="907"/>
    <w:uiPriority w:val="99"/>
    <w:pPr>
      <w:pBdr/>
      <w:spacing w:after="0" w:line="240" w:lineRule="auto"/>
      <w:ind/>
    </w:pPr>
    <w:tblPr>
      <w:tblStyleRowBandSize w:val="1"/>
      <w:tblStyleColBandSize w:val="1"/>
      <w:tblInd w:w="0.0" w:type="dxa"/>
      <w:tblBorders>
        <w:bottom w:color="000000" w:space="0" w:sz="4" w:themeColor="accent4" w:themeTint="00009A" w:val="single"/>
        <w:right w:color="000000" w:space="0" w:sz="4" w:themeColor="accent4" w:themeTint="00009A" w:val="single"/>
        <w:insideH w:color="000000" w:space="0" w:sz="4" w:themeColor="accent4" w:themeTint="00009A" w:val="single"/>
        <w:insideV w:color="000000" w:space="0" w:sz="4" w:themeColor="accent4" w:themeTint="00009A" w:val="single"/>
      </w:tblBorders>
    </w:tblPr>
    <w:tcPr>
      <w:tcBorders/>
    </w:tcPr>
    <w:tblStylePr w:type="band1Horz">
      <w:pPr>
        <w:pBdr/>
        <w:spacing/>
        <w:ind/>
      </w:pPr>
      <w:rPr>
        <w:rFonts w:ascii="Arial" w:hAnsi="Arial"/>
        <w:color w:val="d09d00" w:themeColor="accent4" w:themeShade="000095" w:themeTint="00009A"/>
        <w:sz w:val="22"/>
      </w:rPr>
      <w:tblPr>
        <w:tblBorders/>
      </w:tblPr>
      <w:tcPr>
        <w:tcBorders/>
        <w:shd w:color="ffffff" w:fill="fff2cb" w:themeColor="accent4" w:themeFill="accent4" w:themeFillTint="000034" w:themeTint="000034" w:val="clear"/>
      </w:tcPr>
    </w:tblStylePr>
    <w:tblStylePr w:type="band1Vert">
      <w:pPr>
        <w:pBdr/>
        <w:spacing/>
        <w:ind/>
      </w:pPr>
      <w:tblPr>
        <w:tblBorders/>
      </w:tblPr>
      <w:tcPr>
        <w:tcBorders/>
        <w:shd w:color="ffffff" w:fill="fff2cb" w:themeColor="accent4" w:themeFill="accent4" w:themeFillTint="000034" w:themeTint="000034" w:val="clear"/>
      </w:tcPr>
    </w:tblStylePr>
    <w:tblStylePr w:type="band2Horz">
      <w:pPr>
        <w:pBdr/>
        <w:spacing/>
        <w:ind/>
      </w:pPr>
      <w:rPr>
        <w:rFonts w:ascii="Arial" w:hAnsi="Arial"/>
        <w:color w:val="d09d00" w:themeColor="accent4" w:themeShade="000095" w:themeTint="00009A"/>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d09d00" w:themeColor="accent4" w:themeShade="000095" w:themeTint="00009A"/>
        <w:sz w:val="22"/>
      </w:rPr>
      <w:tblPr>
        <w:tblBorders/>
      </w:tblPr>
      <w:tcPr>
        <w:tcBorders>
          <w:top w:color="000000" w:space="0" w:sz="4" w:val="none"/>
          <w:left w:color="000000" w:space="0" w:sz="4" w:val="none"/>
          <w:bottom w:color="000000" w:space="0" w:sz="4" w:val="none"/>
          <w:right w:color="000000" w:space="0" w:sz="4" w:themeColor="accent4" w:themeTint="00009A" w:val="single"/>
        </w:tcBorders>
        <w:shd w:color="ffffff" w:val="clear"/>
      </w:tcPr>
    </w:tblStylePr>
    <w:tblStylePr w:type="firstRow">
      <w:pPr>
        <w:pBdr/>
        <w:spacing/>
        <w:ind/>
      </w:pPr>
      <w:rPr>
        <w:rFonts w:ascii="Arial" w:hAnsi="Arial"/>
        <w:b w:val="1"/>
        <w:color w:val="d09d00" w:themeColor="accent4" w:themeShade="000095" w:themeTint="00009A"/>
        <w:sz w:val="22"/>
      </w:rPr>
      <w:tblPr>
        <w:tblBorders/>
      </w:tblPr>
      <w:tcPr>
        <w:tcBorders>
          <w:top w:color="000000" w:space="0" w:sz="4" w:val="none"/>
          <w:left w:color="000000" w:space="0" w:sz="4" w:val="none"/>
          <w:bottom w:color="000000" w:space="0" w:sz="4" w:themeColor="accent4" w:themeTint="00009A" w:val="single"/>
          <w:right w:color="000000" w:space="0" w:sz="4" w:val="none"/>
        </w:tcBorders>
        <w:shd w:color="ffffff" w:fill="ffffff" w:themeColor="light1" w:themeFill="light1" w:val="clear"/>
      </w:tcPr>
    </w:tblStylePr>
    <w:tblStylePr w:type="lastCol">
      <w:pPr>
        <w:pBdr/>
        <w:spacing/>
        <w:ind/>
      </w:pPr>
      <w:rPr>
        <w:rFonts w:ascii="Arial" w:hAnsi="Arial"/>
        <w:i w:val="1"/>
        <w:color w:val="d09d00" w:themeColor="accent4" w:themeShade="000095" w:themeTint="00009A"/>
        <w:sz w:val="22"/>
      </w:rPr>
      <w:tblPr>
        <w:tblBorders/>
      </w:tblPr>
      <w:tcPr>
        <w:tcBorders>
          <w:top w:color="000000" w:space="0" w:sz="4" w:val="none"/>
          <w:left w:color="000000" w:space="0" w:sz="4" w:themeColor="accent4" w:themeTint="00009A" w:val="single"/>
          <w:bottom w:color="000000" w:space="0" w:sz="4" w:val="none"/>
          <w:right w:color="000000" w:space="0" w:sz="4" w:val="none"/>
        </w:tcBorders>
        <w:shd w:color="ffffff" w:val="clear"/>
      </w:tcPr>
    </w:tblStylePr>
    <w:tblStylePr w:type="lastRow">
      <w:pPr>
        <w:pBdr/>
        <w:spacing/>
        <w:ind/>
      </w:pPr>
      <w:rPr>
        <w:rFonts w:ascii="Arial" w:hAnsi="Arial"/>
        <w:b w:val="1"/>
        <w:color w:val="d09d00" w:themeColor="accent4" w:themeShade="000095" w:themeTint="00009A"/>
        <w:sz w:val="22"/>
      </w:rPr>
      <w:tblPr>
        <w:tblBorders/>
      </w:tblPr>
      <w:tcPr>
        <w:tcBorders>
          <w:top w:color="000000" w:space="0" w:sz="4" w:themeColor="accent4" w:themeTint="00009A"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5"/>
    <w:basedOn w:val="907"/>
    <w:uiPriority w:val="99"/>
    <w:pPr>
      <w:pBdr/>
      <w:spacing w:after="0" w:line="240" w:lineRule="auto"/>
      <w:ind/>
    </w:pPr>
    <w:tblPr>
      <w:tblStyleRowBandSize w:val="1"/>
      <w:tblStyleColBandSize w:val="1"/>
      <w:tblInd w:w="0.0" w:type="dxa"/>
      <w:tblBorders>
        <w:bottom w:color="000000" w:space="0" w:sz="4" w:themeColor="accent5" w:themeTint="000090" w:val="single"/>
        <w:right w:color="000000" w:space="0" w:sz="4" w:themeColor="accent5" w:themeTint="000090" w:val="single"/>
        <w:insideH w:color="000000" w:space="0" w:sz="4" w:themeColor="accent5" w:themeTint="000090" w:val="single"/>
        <w:insideV w:color="000000" w:space="0" w:sz="4" w:themeColor="accent5" w:themeTint="000090" w:val="single"/>
      </w:tblBorders>
    </w:tblPr>
    <w:tcPr>
      <w:tcBorders/>
    </w:tcPr>
    <w:tblStylePr w:type="band1Horz">
      <w:pPr>
        <w:pBdr/>
        <w:spacing/>
        <w:ind/>
      </w:pPr>
      <w:rPr>
        <w:rFonts w:ascii="Arial" w:hAnsi="Arial"/>
        <w:color w:val="254275" w:themeColor="accent5" w:themeShade="000095"/>
        <w:sz w:val="22"/>
      </w:rPr>
      <w:tblPr>
        <w:tblBorders/>
      </w:tblPr>
      <w:tcPr>
        <w:tcBorders/>
        <w:shd w:color="ffffff" w:fill="d9e2f3" w:themeColor="accent5" w:themeFill="accent5" w:themeFillTint="000034" w:themeTint="000034" w:val="clear"/>
      </w:tcPr>
    </w:tblStylePr>
    <w:tblStylePr w:type="band1Vert">
      <w:pPr>
        <w:pBdr/>
        <w:spacing/>
        <w:ind/>
      </w:pPr>
      <w:tblPr>
        <w:tblBorders/>
      </w:tblPr>
      <w:tcPr>
        <w:tcBorders/>
        <w:shd w:color="ffffff" w:fill="d9e2f3" w:themeColor="accent5" w:themeFill="accent5" w:themeFillTint="000034" w:themeTint="000034" w:val="clear"/>
      </w:tcPr>
    </w:tblStylePr>
    <w:tblStylePr w:type="band2Horz">
      <w:pPr>
        <w:pBdr/>
        <w:spacing/>
        <w:ind/>
      </w:pPr>
      <w:rPr>
        <w:rFonts w:ascii="Arial" w:hAnsi="Arial"/>
        <w:color w:val="254275" w:themeColor="accent5" w:themeShade="000095"/>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254275" w:themeColor="accent5" w:themeShade="000095"/>
        <w:sz w:val="22"/>
      </w:rPr>
      <w:tblPr>
        <w:tblBorders/>
      </w:tblPr>
      <w:tcPr>
        <w:tcBorders>
          <w:top w:color="000000" w:space="0" w:sz="4" w:val="none"/>
          <w:left w:color="000000" w:space="0" w:sz="4" w:val="none"/>
          <w:bottom w:color="000000" w:space="0" w:sz="4" w:val="none"/>
          <w:right w:color="000000" w:space="0" w:sz="4" w:themeColor="accent5" w:themeTint="000090" w:val="single"/>
        </w:tcBorders>
        <w:shd w:color="ffffff" w:val="clear"/>
      </w:tcPr>
    </w:tblStylePr>
    <w:tblStylePr w:type="firstRow">
      <w:pPr>
        <w:pBdr/>
        <w:spacing/>
        <w:ind/>
      </w:pPr>
      <w:rPr>
        <w:rFonts w:ascii="Arial" w:hAnsi="Arial"/>
        <w:b w:val="1"/>
        <w:color w:val="254275" w:themeColor="accent5" w:themeShade="000095"/>
        <w:sz w:val="22"/>
      </w:rPr>
      <w:tblPr>
        <w:tblBorders/>
      </w:tblPr>
      <w:tcPr>
        <w:tcBorders>
          <w:top w:color="000000" w:space="0" w:sz="4" w:val="none"/>
          <w:left w:color="000000" w:space="0" w:sz="4" w:val="none"/>
          <w:bottom w:color="000000" w:space="0" w:sz="4" w:themeColor="accent5" w:themeTint="000090" w:val="single"/>
          <w:right w:color="000000" w:space="0" w:sz="4" w:val="none"/>
        </w:tcBorders>
        <w:shd w:color="ffffff" w:fill="ffffff" w:themeColor="light1" w:themeFill="light1" w:val="clear"/>
      </w:tcPr>
    </w:tblStylePr>
    <w:tblStylePr w:type="lastCol">
      <w:pPr>
        <w:pBdr/>
        <w:spacing/>
        <w:ind/>
      </w:pPr>
      <w:rPr>
        <w:rFonts w:ascii="Arial" w:hAnsi="Arial"/>
        <w:i w:val="1"/>
        <w:color w:val="254275" w:themeColor="accent5" w:themeShade="000095"/>
        <w:sz w:val="22"/>
      </w:rPr>
      <w:tblPr>
        <w:tblBorders/>
      </w:tblPr>
      <w:tcPr>
        <w:tcBorders>
          <w:top w:color="000000" w:space="0" w:sz="4" w:val="none"/>
          <w:left w:color="000000" w:space="0" w:sz="4" w:themeColor="accent5" w:themeTint="000090" w:val="single"/>
          <w:bottom w:color="000000" w:space="0" w:sz="4" w:val="none"/>
          <w:right w:color="000000" w:space="0" w:sz="4" w:val="none"/>
        </w:tcBorders>
        <w:shd w:color="ffffff" w:val="clear"/>
      </w:tcPr>
    </w:tblStylePr>
    <w:tblStylePr w:type="lastRow">
      <w:pPr>
        <w:pBdr/>
        <w:spacing/>
        <w:ind/>
      </w:pPr>
      <w:rPr>
        <w:rFonts w:ascii="Arial" w:hAnsi="Arial"/>
        <w:b w:val="1"/>
        <w:color w:val="254275" w:themeColor="accent5" w:themeShade="000095"/>
        <w:sz w:val="22"/>
      </w:rPr>
      <w:tblPr>
        <w:tblBorders/>
      </w:tblPr>
      <w:tcPr>
        <w:tcBorders>
          <w:top w:color="000000" w:space="0" w:sz="4" w:themeColor="accent5" w:themeTint="000090"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6"/>
    <w:basedOn w:val="907"/>
    <w:uiPriority w:val="99"/>
    <w:pPr>
      <w:pBdr/>
      <w:spacing w:after="0" w:line="240" w:lineRule="auto"/>
      <w:ind/>
    </w:pPr>
    <w:tblPr>
      <w:tblStyleRowBandSize w:val="1"/>
      <w:tblStyleColBandSize w:val="1"/>
      <w:tblInd w:w="0.0" w:type="dxa"/>
      <w:tblBorders>
        <w:bottom w:color="000000" w:space="0" w:sz="4" w:themeColor="accent6" w:themeTint="000090" w:val="single"/>
        <w:right w:color="000000" w:space="0" w:sz="4" w:themeColor="accent6" w:themeTint="000090" w:val="single"/>
        <w:insideH w:color="000000" w:space="0" w:sz="4" w:themeColor="accent6" w:themeTint="000090" w:val="single"/>
        <w:insideV w:color="000000" w:space="0" w:sz="4" w:themeColor="accent6" w:themeTint="000090" w:val="single"/>
      </w:tblBorders>
    </w:tblPr>
    <w:tcPr>
      <w:tcBorders/>
    </w:tcPr>
    <w:tblStylePr w:type="band1Horz">
      <w:pPr>
        <w:pBdr/>
        <w:spacing/>
        <w:ind/>
      </w:pPr>
      <w:rPr>
        <w:rFonts w:ascii="Arial" w:hAnsi="Arial"/>
        <w:color w:val="416529" w:themeColor="accent6" w:themeShade="000095"/>
        <w:sz w:val="22"/>
      </w:rPr>
      <w:tblPr>
        <w:tblBorders/>
      </w:tblPr>
      <w:tcPr>
        <w:tcBorders/>
        <w:shd w:color="ffffff" w:fill="e2efd9" w:themeColor="accent6" w:themeFill="accent6" w:themeFillTint="000034" w:themeTint="000034" w:val="clear"/>
      </w:tcPr>
    </w:tblStylePr>
    <w:tblStylePr w:type="band1Vert">
      <w:pPr>
        <w:pBdr/>
        <w:spacing/>
        <w:ind/>
      </w:pPr>
      <w:tblPr>
        <w:tblBorders/>
      </w:tblPr>
      <w:tcPr>
        <w:tcBorders/>
        <w:shd w:color="ffffff" w:fill="e2efd9" w:themeColor="accent6" w:themeFill="accent6" w:themeFillTint="000034" w:themeTint="000034" w:val="clear"/>
      </w:tcPr>
    </w:tblStylePr>
    <w:tblStylePr w:type="band2Horz">
      <w:pPr>
        <w:pBdr/>
        <w:spacing/>
        <w:ind/>
      </w:pPr>
      <w:rPr>
        <w:rFonts w:ascii="Arial" w:hAnsi="Arial"/>
        <w:color w:val="416529" w:themeColor="accent6" w:themeShade="000095"/>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416529" w:themeColor="accent6" w:themeShade="000095"/>
        <w:sz w:val="22"/>
      </w:rPr>
      <w:tblPr>
        <w:tblBorders/>
      </w:tblPr>
      <w:tcPr>
        <w:tcBorders>
          <w:top w:color="000000" w:space="0" w:sz="4" w:val="none"/>
          <w:left w:color="000000" w:space="0" w:sz="4" w:val="none"/>
          <w:bottom w:color="000000" w:space="0" w:sz="4" w:val="none"/>
          <w:right w:color="000000" w:space="0" w:sz="4" w:themeColor="accent6" w:themeTint="000090" w:val="single"/>
        </w:tcBorders>
        <w:shd w:color="ffffff" w:val="clear"/>
      </w:tcPr>
    </w:tblStylePr>
    <w:tblStylePr w:type="firstRow">
      <w:pPr>
        <w:pBdr/>
        <w:spacing/>
        <w:ind/>
      </w:pPr>
      <w:rPr>
        <w:rFonts w:ascii="Arial" w:hAnsi="Arial"/>
        <w:b w:val="1"/>
        <w:color w:val="416529" w:themeColor="accent6" w:themeShade="000095"/>
        <w:sz w:val="22"/>
      </w:rPr>
      <w:tblPr>
        <w:tblBorders/>
      </w:tblPr>
      <w:tcPr>
        <w:tcBorders>
          <w:top w:color="000000" w:space="0" w:sz="4" w:val="none"/>
          <w:left w:color="000000" w:space="0" w:sz="4" w:val="none"/>
          <w:bottom w:color="000000" w:space="0" w:sz="4" w:themeColor="accent6" w:themeTint="000090" w:val="single"/>
          <w:right w:color="000000" w:space="0" w:sz="4" w:val="none"/>
        </w:tcBorders>
        <w:shd w:color="ffffff" w:fill="ffffff" w:themeColor="light1" w:themeFill="light1" w:val="clear"/>
      </w:tcPr>
    </w:tblStylePr>
    <w:tblStylePr w:type="lastCol">
      <w:pPr>
        <w:pBdr/>
        <w:spacing/>
        <w:ind/>
      </w:pPr>
      <w:rPr>
        <w:rFonts w:ascii="Arial" w:hAnsi="Arial"/>
        <w:i w:val="1"/>
        <w:color w:val="416529" w:themeColor="accent6" w:themeShade="000095"/>
        <w:sz w:val="22"/>
      </w:rPr>
      <w:tblPr>
        <w:tblBorders/>
      </w:tblPr>
      <w:tcPr>
        <w:tcBorders>
          <w:top w:color="000000" w:space="0" w:sz="4" w:val="none"/>
          <w:left w:color="000000" w:space="0" w:sz="4" w:themeColor="accent6" w:themeTint="000090" w:val="single"/>
          <w:bottom w:color="000000" w:space="0" w:sz="4" w:val="none"/>
          <w:right w:color="000000" w:space="0" w:sz="4" w:val="none"/>
        </w:tcBorders>
        <w:shd w:color="ffffff" w:val="clear"/>
      </w:tcPr>
    </w:tblStylePr>
    <w:tblStylePr w:type="lastRow">
      <w:pPr>
        <w:pBdr/>
        <w:spacing/>
        <w:ind/>
      </w:pPr>
      <w:rPr>
        <w:rFonts w:ascii="Arial" w:hAnsi="Arial"/>
        <w:b w:val="1"/>
        <w:color w:val="416529" w:themeColor="accent6" w:themeShade="000095"/>
        <w:sz w:val="22"/>
      </w:rPr>
      <w:tblPr>
        <w:tblBorders/>
      </w:tblPr>
      <w:tcPr>
        <w:tcBorders>
          <w:top w:color="000000" w:space="0" w:sz="4" w:themeColor="accent6" w:themeTint="000090"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1 Light"/>
    <w:basedOn w:val="907"/>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bfbfbf" w:themeColor="text1" w:themeFill="text1" w:themeFillTint="000040" w:themeTint="000040" w:val="clear"/>
      </w:tcPr>
    </w:tblStylePr>
    <w:tblStylePr w:type="band1Vert">
      <w:pPr>
        <w:pBdr/>
        <w:spacing/>
        <w:ind/>
      </w:pPr>
      <w:tblPr>
        <w:tblBorders/>
      </w:tblPr>
      <w:tcPr>
        <w:tcBorders/>
        <w:shd w:color="ffffff" w:fill="bfbfbf" w:themeColor="text1" w:themeFill="text1"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text1"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text1"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1 Light - Accent 1"/>
    <w:basedOn w:val="907"/>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d6e6f4" w:themeColor="accent1" w:themeFill="accent1" w:themeFillTint="000040" w:themeTint="000040" w:val="clear"/>
      </w:tcPr>
    </w:tblStylePr>
    <w:tblStylePr w:type="band1Vert">
      <w:pPr>
        <w:pBdr/>
        <w:spacing/>
        <w:ind/>
      </w:pPr>
      <w:tblPr>
        <w:tblBorders/>
      </w:tblPr>
      <w:tcPr>
        <w:tcBorders/>
        <w:shd w:color="ffffff" w:fill="d6e6f4" w:themeColor="accent1" w:themeFill="accent1"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accent1"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1"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1 Light - Accent 2"/>
    <w:basedOn w:val="907"/>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fadecb" w:themeColor="accent2" w:themeFill="accent2" w:themeFillTint="000040" w:themeTint="000040" w:val="clear"/>
      </w:tcPr>
    </w:tblStylePr>
    <w:tblStylePr w:type="band1Vert">
      <w:pPr>
        <w:pBdr/>
        <w:spacing/>
        <w:ind/>
      </w:pPr>
      <w:tblPr>
        <w:tblBorders/>
      </w:tblPr>
      <w:tcPr>
        <w:tcBorders/>
        <w:shd w:color="ffffff" w:fill="fadecb" w:themeColor="accent2" w:themeFill="accent2"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accent2"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2"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 Accent 3"/>
    <w:basedOn w:val="907"/>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e8e8e8" w:themeColor="accent3" w:themeFill="accent3" w:themeFillTint="000040" w:themeTint="000040" w:val="clear"/>
      </w:tcPr>
    </w:tblStylePr>
    <w:tblStylePr w:type="band1Vert">
      <w:pPr>
        <w:pBdr/>
        <w:spacing/>
        <w:ind/>
      </w:pPr>
      <w:tblPr>
        <w:tblBorders/>
      </w:tblPr>
      <w:tcPr>
        <w:tcBorders/>
        <w:shd w:color="ffffff" w:fill="e8e8e8" w:themeColor="accent3" w:themeFill="accent3"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accent3"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3"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4"/>
    <w:basedOn w:val="907"/>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ffefbf" w:themeColor="accent4" w:themeFill="accent4" w:themeFillTint="000040" w:themeTint="000040" w:val="clear"/>
      </w:tcPr>
    </w:tblStylePr>
    <w:tblStylePr w:type="band1Vert">
      <w:pPr>
        <w:pBdr/>
        <w:spacing/>
        <w:ind/>
      </w:pPr>
      <w:tblPr>
        <w:tblBorders/>
      </w:tblPr>
      <w:tcPr>
        <w:tcBorders/>
        <w:shd w:color="ffffff" w:fill="ffefbf" w:themeColor="accent4" w:themeFill="accent4"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accent4"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4"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5"/>
    <w:basedOn w:val="907"/>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d0dcf0" w:themeColor="accent5" w:themeFill="accent5" w:themeFillTint="000040" w:themeTint="000040" w:val="clear"/>
      </w:tcPr>
    </w:tblStylePr>
    <w:tblStylePr w:type="band1Vert">
      <w:pPr>
        <w:pBdr/>
        <w:spacing/>
        <w:ind/>
      </w:pPr>
      <w:tblPr>
        <w:tblBorders/>
      </w:tblPr>
      <w:tcPr>
        <w:tcBorders/>
        <w:shd w:color="ffffff" w:fill="d0dcf0" w:themeColor="accent5" w:themeFill="accent5"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accent5"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5"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6"/>
    <w:basedOn w:val="907"/>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dbecd0" w:themeColor="accent6" w:themeFill="accent6" w:themeFillTint="000040" w:themeTint="000040" w:val="clear"/>
      </w:tcPr>
    </w:tblStylePr>
    <w:tblStylePr w:type="band1Vert">
      <w:pPr>
        <w:pBdr/>
        <w:spacing/>
        <w:ind/>
      </w:pPr>
      <w:tblPr>
        <w:tblBorders/>
      </w:tblPr>
      <w:tcPr>
        <w:tcBorders/>
        <w:shd w:color="ffffff" w:fill="dbecd0" w:themeColor="accent6" w:themeFill="accent6"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accent6"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6"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2"/>
    <w:basedOn w:val="907"/>
    <w:uiPriority w:val="99"/>
    <w:pPr>
      <w:pBdr/>
      <w:spacing w:after="0" w:line="240" w:lineRule="auto"/>
      <w:ind/>
    </w:pPr>
    <w:tblPr>
      <w:tblStyleRowBandSize w:val="1"/>
      <w:tblStyleColBandSize w:val="1"/>
      <w:tblInd w:w="0.0" w:type="dxa"/>
      <w:tblBorders>
        <w:top w:color="000000" w:space="0" w:sz="4" w:themeColor="text1" w:themeTint="000090" w:val="single"/>
        <w:bottom w:color="000000" w:space="0" w:sz="4" w:themeColor="text1" w:themeTint="000090" w:val="single"/>
        <w:insideH w:color="000000" w:space="0" w:sz="4" w:themeColor="text1" w:themeTint="000090" w:val="single"/>
      </w:tblBorders>
    </w:tblPr>
    <w:tcPr>
      <w:tcBorders/>
    </w:tcPr>
    <w:tblStylePr w:type="band1Horz">
      <w:pPr>
        <w:pBdr/>
        <w:spacing/>
        <w:ind/>
      </w:pPr>
      <w:rPr>
        <w:rFonts w:ascii="Arial" w:hAnsi="Arial"/>
        <w:color w:val="404040"/>
        <w:sz w:val="22"/>
      </w:rPr>
      <w:tblPr>
        <w:tblBorders/>
      </w:tblPr>
      <w:tcPr>
        <w:tcBorders/>
        <w:shd w:color="ffffff" w:fill="bfbfbf" w:themeColor="text1" w:themeFill="text1" w:themeFillTint="000040" w:themeTint="000040" w:val="clear"/>
      </w:tcPr>
    </w:tblStylePr>
    <w:tblStylePr w:type="band1Vert">
      <w:pPr>
        <w:pBdr/>
        <w:spacing/>
        <w:ind/>
      </w:pPr>
      <w:rPr>
        <w:rFonts w:ascii="Arial" w:hAnsi="Arial"/>
        <w:color w:val="404040"/>
        <w:sz w:val="22"/>
      </w:rPr>
      <w:tblPr>
        <w:tblBorders/>
      </w:tblPr>
      <w:tcPr>
        <w:tcBorders/>
        <w:shd w:color="ffffff" w:fill="bfbfbf" w:themeColor="text1" w:themeFill="text1"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text1" w:themeTint="000090" w:val="single"/>
          <w:left w:color="000000" w:space="0" w:sz="4" w:val="none"/>
          <w:bottom w:color="000000" w:space="0" w:sz="4" w:themeColor="text1" w:themeTint="00009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text1" w:themeTint="000090" w:val="single"/>
          <w:left w:color="000000" w:space="0" w:sz="4" w:val="none"/>
          <w:bottom w:color="000000" w:space="0" w:sz="4" w:themeColor="text1" w:themeTint="0000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2 - Accent 1"/>
    <w:basedOn w:val="907"/>
    <w:uiPriority w:val="99"/>
    <w:pPr>
      <w:pBdr/>
      <w:spacing w:after="0" w:line="240" w:lineRule="auto"/>
      <w:ind/>
    </w:pPr>
    <w:tblPr>
      <w:tblStyleRowBandSize w:val="1"/>
      <w:tblStyleColBandSize w:val="1"/>
      <w:tblInd w:w="0.0" w:type="dxa"/>
      <w:tblBorders>
        <w:top w:color="000000" w:space="0" w:sz="4" w:themeColor="accent1" w:themeTint="000090" w:val="single"/>
        <w:bottom w:color="000000" w:space="0" w:sz="4" w:themeColor="accent1" w:themeTint="000090" w:val="single"/>
        <w:insideH w:color="000000" w:space="0" w:sz="4" w:themeColor="accent1" w:themeTint="000090" w:val="single"/>
      </w:tblBorders>
    </w:tblPr>
    <w:tcPr>
      <w:tcBorders/>
    </w:tcPr>
    <w:tblStylePr w:type="band1Horz">
      <w:pPr>
        <w:pBdr/>
        <w:spacing/>
        <w:ind/>
      </w:pPr>
      <w:rPr>
        <w:rFonts w:ascii="Arial" w:hAnsi="Arial"/>
        <w:color w:val="404040"/>
        <w:sz w:val="22"/>
      </w:rPr>
      <w:tblPr>
        <w:tblBorders/>
      </w:tblPr>
      <w:tcPr>
        <w:tcBorders/>
        <w:shd w:color="ffffff" w:fill="d6e6f4" w:themeColor="accent1" w:themeFill="accent1" w:themeFillTint="000040" w:themeTint="000040" w:val="clear"/>
      </w:tcPr>
    </w:tblStylePr>
    <w:tblStylePr w:type="band1Vert">
      <w:pPr>
        <w:pBdr/>
        <w:spacing/>
        <w:ind/>
      </w:pPr>
      <w:rPr>
        <w:rFonts w:ascii="Arial" w:hAnsi="Arial"/>
        <w:color w:val="404040"/>
        <w:sz w:val="22"/>
      </w:rPr>
      <w:tblPr>
        <w:tblBorders/>
      </w:tblPr>
      <w:tcPr>
        <w:tcBorders/>
        <w:shd w:color="ffffff" w:fill="d6e6f4" w:themeColor="accent1" w:themeFill="accent1"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accent1" w:themeTint="000090" w:val="single"/>
          <w:left w:color="000000" w:space="0" w:sz="4" w:val="none"/>
          <w:bottom w:color="000000" w:space="0" w:sz="4" w:themeColor="accent1" w:themeTint="00009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accent1" w:themeTint="000090" w:val="single"/>
          <w:left w:color="000000" w:space="0" w:sz="4" w:val="none"/>
          <w:bottom w:color="000000" w:space="0" w:sz="4" w:themeColor="accent1" w:themeTint="0000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2 - Accent 2"/>
    <w:basedOn w:val="907"/>
    <w:uiPriority w:val="99"/>
    <w:pPr>
      <w:pBdr/>
      <w:spacing w:after="0" w:line="240" w:lineRule="auto"/>
      <w:ind/>
    </w:pPr>
    <w:tblPr>
      <w:tblStyleRowBandSize w:val="1"/>
      <w:tblStyleColBandSize w:val="1"/>
      <w:tblInd w:w="0.0" w:type="dxa"/>
      <w:tblBorders>
        <w:top w:color="000000" w:space="0" w:sz="4" w:themeColor="accent2" w:themeTint="000090" w:val="single"/>
        <w:bottom w:color="000000" w:space="0" w:sz="4" w:themeColor="accent2" w:themeTint="000090" w:val="single"/>
        <w:insideH w:color="000000" w:space="0" w:sz="4" w:themeColor="accent2" w:themeTint="000090" w:val="single"/>
      </w:tblBorders>
    </w:tblPr>
    <w:tcPr>
      <w:tcBorders/>
    </w:tcPr>
    <w:tblStylePr w:type="band1Horz">
      <w:pPr>
        <w:pBdr/>
        <w:spacing/>
        <w:ind/>
      </w:pPr>
      <w:rPr>
        <w:rFonts w:ascii="Arial" w:hAnsi="Arial"/>
        <w:color w:val="404040"/>
        <w:sz w:val="22"/>
      </w:rPr>
      <w:tblPr>
        <w:tblBorders/>
      </w:tblPr>
      <w:tcPr>
        <w:tcBorders/>
        <w:shd w:color="ffffff" w:fill="fadecb" w:themeColor="accent2" w:themeFill="accent2" w:themeFillTint="000040" w:themeTint="000040" w:val="clear"/>
      </w:tcPr>
    </w:tblStylePr>
    <w:tblStylePr w:type="band1Vert">
      <w:pPr>
        <w:pBdr/>
        <w:spacing/>
        <w:ind/>
      </w:pPr>
      <w:rPr>
        <w:rFonts w:ascii="Arial" w:hAnsi="Arial"/>
        <w:color w:val="404040"/>
        <w:sz w:val="22"/>
      </w:rPr>
      <w:tblPr>
        <w:tblBorders/>
      </w:tblPr>
      <w:tcPr>
        <w:tcBorders/>
        <w:shd w:color="ffffff" w:fill="fadecb" w:themeColor="accent2" w:themeFill="accent2"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accent2" w:themeTint="000090" w:val="single"/>
          <w:left w:color="000000" w:space="0" w:sz="4" w:val="none"/>
          <w:bottom w:color="000000" w:space="0" w:sz="4" w:themeColor="accent2" w:themeTint="00009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accent2" w:themeTint="000090" w:val="single"/>
          <w:left w:color="000000" w:space="0" w:sz="4" w:val="none"/>
          <w:bottom w:color="000000" w:space="0" w:sz="4" w:themeColor="accent2" w:themeTint="0000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 Accent 3"/>
    <w:basedOn w:val="907"/>
    <w:uiPriority w:val="99"/>
    <w:pPr>
      <w:pBdr/>
      <w:spacing w:after="0" w:line="240" w:lineRule="auto"/>
      <w:ind/>
    </w:pPr>
    <w:tblPr>
      <w:tblStyleRowBandSize w:val="1"/>
      <w:tblStyleColBandSize w:val="1"/>
      <w:tblInd w:w="0.0" w:type="dxa"/>
      <w:tblBorders>
        <w:top w:color="000000" w:space="0" w:sz="4" w:themeColor="accent3" w:themeTint="000090" w:val="single"/>
        <w:bottom w:color="000000" w:space="0" w:sz="4" w:themeColor="accent3" w:themeTint="000090" w:val="single"/>
        <w:insideH w:color="000000" w:space="0" w:sz="4" w:themeColor="accent3" w:themeTint="000090" w:val="single"/>
      </w:tblBorders>
    </w:tblPr>
    <w:tcPr>
      <w:tcBorders/>
    </w:tcPr>
    <w:tblStylePr w:type="band1Horz">
      <w:pPr>
        <w:pBdr/>
        <w:spacing/>
        <w:ind/>
      </w:pPr>
      <w:rPr>
        <w:rFonts w:ascii="Arial" w:hAnsi="Arial"/>
        <w:color w:val="404040"/>
        <w:sz w:val="22"/>
      </w:rPr>
      <w:tblPr>
        <w:tblBorders/>
      </w:tblPr>
      <w:tcPr>
        <w:tcBorders/>
        <w:shd w:color="ffffff" w:fill="e8e8e8" w:themeColor="accent3" w:themeFill="accent3" w:themeFillTint="000040" w:themeTint="000040" w:val="clear"/>
      </w:tcPr>
    </w:tblStylePr>
    <w:tblStylePr w:type="band1Vert">
      <w:pPr>
        <w:pBdr/>
        <w:spacing/>
        <w:ind/>
      </w:pPr>
      <w:rPr>
        <w:rFonts w:ascii="Arial" w:hAnsi="Arial"/>
        <w:color w:val="404040"/>
        <w:sz w:val="22"/>
      </w:rPr>
      <w:tblPr>
        <w:tblBorders/>
      </w:tblPr>
      <w:tcPr>
        <w:tcBorders/>
        <w:shd w:color="ffffff" w:fill="e8e8e8" w:themeColor="accent3" w:themeFill="accent3"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accent3" w:themeTint="000090" w:val="single"/>
          <w:left w:color="000000" w:space="0" w:sz="4" w:val="none"/>
          <w:bottom w:color="000000" w:space="0" w:sz="4" w:themeColor="accent3" w:themeTint="00009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accent3" w:themeTint="000090" w:val="single"/>
          <w:left w:color="000000" w:space="0" w:sz="4" w:val="none"/>
          <w:bottom w:color="000000" w:space="0" w:sz="4" w:themeColor="accent3" w:themeTint="0000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4"/>
    <w:basedOn w:val="907"/>
    <w:uiPriority w:val="99"/>
    <w:pPr>
      <w:pBdr/>
      <w:spacing w:after="0" w:line="240" w:lineRule="auto"/>
      <w:ind/>
    </w:pPr>
    <w:tblPr>
      <w:tblStyleRowBandSize w:val="1"/>
      <w:tblStyleColBandSize w:val="1"/>
      <w:tblInd w:w="0.0" w:type="dxa"/>
      <w:tblBorders>
        <w:top w:color="000000" w:space="0" w:sz="4" w:themeColor="accent4" w:themeTint="000090" w:val="single"/>
        <w:bottom w:color="000000" w:space="0" w:sz="4" w:themeColor="accent4" w:themeTint="000090" w:val="single"/>
        <w:insideH w:color="000000" w:space="0" w:sz="4" w:themeColor="accent4" w:themeTint="000090" w:val="single"/>
      </w:tblBorders>
    </w:tblPr>
    <w:tcPr>
      <w:tcBorders/>
    </w:tcPr>
    <w:tblStylePr w:type="band1Horz">
      <w:pPr>
        <w:pBdr/>
        <w:spacing/>
        <w:ind/>
      </w:pPr>
      <w:rPr>
        <w:rFonts w:ascii="Arial" w:hAnsi="Arial"/>
        <w:color w:val="404040"/>
        <w:sz w:val="22"/>
      </w:rPr>
      <w:tblPr>
        <w:tblBorders/>
      </w:tblPr>
      <w:tcPr>
        <w:tcBorders/>
        <w:shd w:color="ffffff" w:fill="ffefbf" w:themeColor="accent4" w:themeFill="accent4" w:themeFillTint="000040" w:themeTint="000040" w:val="clear"/>
      </w:tcPr>
    </w:tblStylePr>
    <w:tblStylePr w:type="band1Vert">
      <w:pPr>
        <w:pBdr/>
        <w:spacing/>
        <w:ind/>
      </w:pPr>
      <w:rPr>
        <w:rFonts w:ascii="Arial" w:hAnsi="Arial"/>
        <w:color w:val="404040"/>
        <w:sz w:val="22"/>
      </w:rPr>
      <w:tblPr>
        <w:tblBorders/>
      </w:tblPr>
      <w:tcPr>
        <w:tcBorders/>
        <w:shd w:color="ffffff" w:fill="ffefbf" w:themeColor="accent4" w:themeFill="accent4"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accent4" w:themeTint="000090" w:val="single"/>
          <w:left w:color="000000" w:space="0" w:sz="4" w:val="none"/>
          <w:bottom w:color="000000" w:space="0" w:sz="4" w:themeColor="accent4" w:themeTint="00009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accent4" w:themeTint="000090" w:val="single"/>
          <w:left w:color="000000" w:space="0" w:sz="4" w:val="none"/>
          <w:bottom w:color="000000" w:space="0" w:sz="4" w:themeColor="accent4" w:themeTint="0000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5"/>
    <w:basedOn w:val="907"/>
    <w:uiPriority w:val="99"/>
    <w:pPr>
      <w:pBdr/>
      <w:spacing w:after="0" w:line="240" w:lineRule="auto"/>
      <w:ind/>
    </w:pPr>
    <w:tblPr>
      <w:tblStyleRowBandSize w:val="1"/>
      <w:tblStyleColBandSize w:val="1"/>
      <w:tblInd w:w="0.0" w:type="dxa"/>
      <w:tblBorders>
        <w:top w:color="000000" w:space="0" w:sz="4" w:themeColor="accent5" w:themeTint="000090" w:val="single"/>
        <w:bottom w:color="000000" w:space="0" w:sz="4" w:themeColor="accent5" w:themeTint="000090" w:val="single"/>
        <w:insideH w:color="000000" w:space="0" w:sz="4" w:themeColor="accent5" w:themeTint="000090" w:val="single"/>
      </w:tblBorders>
    </w:tblPr>
    <w:tcPr>
      <w:tcBorders/>
    </w:tcPr>
    <w:tblStylePr w:type="band1Horz">
      <w:pPr>
        <w:pBdr/>
        <w:spacing/>
        <w:ind/>
      </w:pPr>
      <w:rPr>
        <w:rFonts w:ascii="Arial" w:hAnsi="Arial"/>
        <w:color w:val="404040"/>
        <w:sz w:val="22"/>
      </w:rPr>
      <w:tblPr>
        <w:tblBorders/>
      </w:tblPr>
      <w:tcPr>
        <w:tcBorders/>
        <w:shd w:color="ffffff" w:fill="d0dcf0" w:themeColor="accent5" w:themeFill="accent5" w:themeFillTint="000040" w:themeTint="000040" w:val="clear"/>
      </w:tcPr>
    </w:tblStylePr>
    <w:tblStylePr w:type="band1Vert">
      <w:pPr>
        <w:pBdr/>
        <w:spacing/>
        <w:ind/>
      </w:pPr>
      <w:rPr>
        <w:rFonts w:ascii="Arial" w:hAnsi="Arial"/>
        <w:color w:val="404040"/>
        <w:sz w:val="22"/>
      </w:rPr>
      <w:tblPr>
        <w:tblBorders/>
      </w:tblPr>
      <w:tcPr>
        <w:tcBorders/>
        <w:shd w:color="ffffff" w:fill="d0dcf0" w:themeColor="accent5" w:themeFill="accent5"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accent5" w:themeTint="000090" w:val="single"/>
          <w:left w:color="000000" w:space="0" w:sz="4" w:val="none"/>
          <w:bottom w:color="000000" w:space="0" w:sz="4" w:themeColor="accent5" w:themeTint="00009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accent5" w:themeTint="000090" w:val="single"/>
          <w:left w:color="000000" w:space="0" w:sz="4" w:val="none"/>
          <w:bottom w:color="000000" w:space="0" w:sz="4" w:themeColor="accent5" w:themeTint="0000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6"/>
    <w:basedOn w:val="907"/>
    <w:uiPriority w:val="99"/>
    <w:pPr>
      <w:pBdr/>
      <w:spacing w:after="0" w:line="240" w:lineRule="auto"/>
      <w:ind/>
    </w:pPr>
    <w:tblPr>
      <w:tblStyleRowBandSize w:val="1"/>
      <w:tblStyleColBandSize w:val="1"/>
      <w:tblInd w:w="0.0" w:type="dxa"/>
      <w:tblBorders>
        <w:top w:color="000000" w:space="0" w:sz="4" w:themeColor="accent6" w:themeTint="000090" w:val="single"/>
        <w:bottom w:color="000000" w:space="0" w:sz="4" w:themeColor="accent6" w:themeTint="000090" w:val="single"/>
        <w:insideH w:color="000000" w:space="0" w:sz="4" w:themeColor="accent6" w:themeTint="000090" w:val="single"/>
      </w:tblBorders>
    </w:tblPr>
    <w:tcPr>
      <w:tcBorders/>
    </w:tcPr>
    <w:tblStylePr w:type="band1Horz">
      <w:pPr>
        <w:pBdr/>
        <w:spacing/>
        <w:ind/>
      </w:pPr>
      <w:rPr>
        <w:rFonts w:ascii="Arial" w:hAnsi="Arial"/>
        <w:color w:val="404040"/>
        <w:sz w:val="22"/>
      </w:rPr>
      <w:tblPr>
        <w:tblBorders/>
      </w:tblPr>
      <w:tcPr>
        <w:tcBorders/>
        <w:shd w:color="ffffff" w:fill="dbecd0" w:themeColor="accent6" w:themeFill="accent6" w:themeFillTint="000040" w:themeTint="000040" w:val="clear"/>
      </w:tcPr>
    </w:tblStylePr>
    <w:tblStylePr w:type="band1Vert">
      <w:pPr>
        <w:pBdr/>
        <w:spacing/>
        <w:ind/>
      </w:pPr>
      <w:rPr>
        <w:rFonts w:ascii="Arial" w:hAnsi="Arial"/>
        <w:color w:val="404040"/>
        <w:sz w:val="22"/>
      </w:rPr>
      <w:tblPr>
        <w:tblBorders/>
      </w:tblPr>
      <w:tcPr>
        <w:tcBorders/>
        <w:shd w:color="ffffff" w:fill="dbecd0" w:themeColor="accent6" w:themeFill="accent6"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accent6" w:themeTint="000090" w:val="single"/>
          <w:left w:color="000000" w:space="0" w:sz="4" w:val="none"/>
          <w:bottom w:color="000000" w:space="0" w:sz="4" w:themeColor="accent6" w:themeTint="00009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accent6" w:themeTint="000090" w:val="single"/>
          <w:left w:color="000000" w:space="0" w:sz="4" w:val="none"/>
          <w:bottom w:color="000000" w:space="0" w:sz="4" w:themeColor="accent6" w:themeTint="0000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3"/>
    <w:basedOn w:val="907"/>
    <w:uiPriority w:val="99"/>
    <w:pPr>
      <w:pBdr/>
      <w:spacing w:after="0" w:line="240" w:lineRule="auto"/>
      <w:ind/>
    </w:pPr>
    <w:tblPr>
      <w:tblStyleRowBandSize w:val="1"/>
      <w:tblStyleColBandSize w:val="1"/>
      <w:tblInd w:w="0.0" w:type="dxa"/>
      <w:tblBorders>
        <w:top w:color="000000" w:space="0" w:sz="4" w:themeColor="text1" w:val="single"/>
        <w:left w:color="000000" w:space="0" w:sz="4" w:themeColor="text1" w:val="single"/>
        <w:bottom w:color="000000" w:space="0" w:sz="4" w:themeColor="text1" w:val="single"/>
        <w:right w:color="000000" w:space="0" w:sz="4" w:themeColor="text1" w:val="single"/>
      </w:tblBorders>
    </w:tblPr>
    <w:tcPr>
      <w:tcBorders/>
    </w:tcPr>
    <w:tblStylePr w:type="band1Horz">
      <w:pPr>
        <w:pBdr/>
        <w:spacing/>
        <w:ind/>
      </w:pPr>
      <w:rPr>
        <w:rFonts w:ascii="Arial" w:hAnsi="Arial"/>
        <w:color w:val="404040"/>
        <w:sz w:val="22"/>
      </w:rPr>
      <w:tblPr>
        <w:tblBorders/>
      </w:tblPr>
      <w:tcPr>
        <w:tcBorders>
          <w:top w:color="000000" w:space="0" w:sz="4" w:themeColor="text1" w:val="single"/>
          <w:bottom w:color="000000" w:space="0" w:sz="4" w:themeColor="text1" w:val="single"/>
        </w:tcBorders>
      </w:tcPr>
    </w:tblStylePr>
    <w:tblStylePr w:type="band1Vert">
      <w:pPr>
        <w:pBdr/>
        <w:spacing/>
        <w:ind/>
      </w:pPr>
      <w:rPr>
        <w:rFonts w:ascii="Arial" w:hAnsi="Arial"/>
        <w:color w:val="404040"/>
        <w:sz w:val="22"/>
      </w:rPr>
      <w:tblPr>
        <w:tblBorders/>
      </w:tblPr>
      <w:tcPr>
        <w:tcBorders>
          <w:left w:color="000000" w:space="0" w:sz="4" w:themeColor="text1" w:val="single"/>
          <w:right w:color="000000" w:space="0" w:sz="4" w:themeColor="text1"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000000" w:themeColor="text1" w:themeFill="text1"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3 - Accent 1"/>
    <w:basedOn w:val="907"/>
    <w:uiPriority w:val="99"/>
    <w:pPr>
      <w:pBdr/>
      <w:spacing w:after="0" w:line="240" w:lineRule="auto"/>
      <w:ind/>
    </w:pPr>
    <w:tblPr>
      <w:tblStyleRowBandSize w:val="1"/>
      <w:tblStyleColBandSize w:val="1"/>
      <w:tblInd w:w="0.0" w:type="dxa"/>
      <w:tblBorders>
        <w:top w:color="000000" w:space="0" w:sz="4" w:themeColor="accent1" w:val="single"/>
        <w:left w:color="000000" w:space="0" w:sz="4" w:themeColor="accent1" w:val="single"/>
        <w:bottom w:color="000000" w:space="0" w:sz="4" w:themeColor="accent1" w:val="single"/>
        <w:right w:color="000000" w:space="0" w:sz="4" w:themeColor="accent1" w:val="single"/>
      </w:tblBorders>
    </w:tblPr>
    <w:tcPr>
      <w:tcBorders/>
    </w:tcPr>
    <w:tblStylePr w:type="band1Horz">
      <w:pPr>
        <w:pBdr/>
        <w:spacing/>
        <w:ind/>
      </w:pPr>
      <w:rPr>
        <w:rFonts w:ascii="Arial" w:hAnsi="Arial"/>
        <w:color w:val="404040"/>
        <w:sz w:val="22"/>
      </w:rPr>
      <w:tblPr>
        <w:tblBorders/>
      </w:tblPr>
      <w:tcPr>
        <w:tcBorders>
          <w:top w:color="000000" w:space="0" w:sz="4" w:themeColor="accent1" w:val="single"/>
          <w:bottom w:color="000000" w:space="0" w:sz="4" w:themeColor="accent1" w:val="single"/>
        </w:tcBorders>
      </w:tcPr>
    </w:tblStylePr>
    <w:tblStylePr w:type="band1Vert">
      <w:pPr>
        <w:pBdr/>
        <w:spacing/>
        <w:ind/>
      </w:pPr>
      <w:rPr>
        <w:rFonts w:ascii="Arial" w:hAnsi="Arial"/>
        <w:color w:val="404040"/>
        <w:sz w:val="22"/>
      </w:rPr>
      <w:tblPr>
        <w:tblBorders/>
      </w:tblPr>
      <w:tcPr>
        <w:tcBorders>
          <w:left w:color="000000" w:space="0" w:sz="4" w:themeColor="accent1" w:val="single"/>
          <w:right w:color="000000" w:space="0" w:sz="4" w:themeColor="accent1"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5b9bd5" w:themeColor="accent1" w:themeFill="accent1"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3 - Accent 2"/>
    <w:basedOn w:val="907"/>
    <w:uiPriority w:val="99"/>
    <w:pPr>
      <w:pBdr/>
      <w:spacing w:after="0" w:line="240" w:lineRule="auto"/>
      <w:ind/>
    </w:pPr>
    <w:tblPr>
      <w:tblStyleRowBandSize w:val="1"/>
      <w:tblStyleColBandSize w:val="1"/>
      <w:tblInd w:w="0.0" w:type="dxa"/>
      <w:tblBorders>
        <w:top w:color="000000" w:space="0" w:sz="4" w:themeColor="accent2" w:themeTint="000097" w:val="single"/>
        <w:left w:color="000000" w:space="0" w:sz="4" w:themeColor="accent2" w:themeTint="000097" w:val="single"/>
        <w:bottom w:color="000000" w:space="0" w:sz="4" w:themeColor="accent2" w:themeTint="000097" w:val="single"/>
        <w:right w:color="000000" w:space="0" w:sz="4" w:themeColor="accent2" w:themeTint="000097" w:val="single"/>
      </w:tblBorders>
    </w:tblPr>
    <w:tcPr>
      <w:tcBorders/>
    </w:tcPr>
    <w:tblStylePr w:type="band1Horz">
      <w:pPr>
        <w:pBdr/>
        <w:spacing/>
        <w:ind/>
      </w:pPr>
      <w:rPr>
        <w:rFonts w:ascii="Arial" w:hAnsi="Arial"/>
        <w:color w:val="404040"/>
        <w:sz w:val="22"/>
      </w:rPr>
      <w:tblPr>
        <w:tblBorders/>
      </w:tblPr>
      <w:tcPr>
        <w:tcBorders>
          <w:top w:color="000000" w:space="0" w:sz="4" w:themeColor="accent2" w:themeTint="000097" w:val="single"/>
          <w:bottom w:color="000000" w:space="0" w:sz="4" w:themeColor="accent2" w:themeTint="000097" w:val="single"/>
        </w:tcBorders>
      </w:tcPr>
    </w:tblStylePr>
    <w:tblStylePr w:type="band1Vert">
      <w:pPr>
        <w:pBdr/>
        <w:spacing/>
        <w:ind/>
      </w:pPr>
      <w:rPr>
        <w:rFonts w:ascii="Arial" w:hAnsi="Arial"/>
        <w:color w:val="404040"/>
        <w:sz w:val="22"/>
      </w:rPr>
      <w:tblPr>
        <w:tblBorders/>
      </w:tblPr>
      <w:tcPr>
        <w:tcBorders>
          <w:left w:color="000000" w:space="0" w:sz="4" w:themeColor="accent2" w:themeTint="000097" w:val="single"/>
          <w:right w:color="000000" w:space="0" w:sz="4" w:themeColor="accent2" w:themeTint="000097"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f4b285" w:themeColor="accent2" w:themeFill="accent2" w:themeFillTint="000097" w:themeTint="000097"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 Accent 3"/>
    <w:basedOn w:val="907"/>
    <w:uiPriority w:val="99"/>
    <w:pPr>
      <w:pBdr/>
      <w:spacing w:after="0" w:line="240" w:lineRule="auto"/>
      <w:ind/>
    </w:pPr>
    <w:tblPr>
      <w:tblStyleRowBandSize w:val="1"/>
      <w:tblStyleColBandSize w:val="1"/>
      <w:tblInd w:w="0.0" w:type="dxa"/>
      <w:tblBorders>
        <w:top w:color="000000" w:space="0" w:sz="4" w:themeColor="accent3" w:themeTint="000098" w:val="single"/>
        <w:left w:color="000000" w:space="0" w:sz="4" w:themeColor="accent3" w:themeTint="000098" w:val="single"/>
        <w:bottom w:color="000000" w:space="0" w:sz="4" w:themeColor="accent3" w:themeTint="000098" w:val="single"/>
        <w:right w:color="000000" w:space="0" w:sz="4" w:themeColor="accent3" w:themeTint="000098" w:val="single"/>
      </w:tblBorders>
    </w:tblPr>
    <w:tcPr>
      <w:tcBorders/>
    </w:tcPr>
    <w:tblStylePr w:type="band1Horz">
      <w:pPr>
        <w:pBdr/>
        <w:spacing/>
        <w:ind/>
      </w:pPr>
      <w:rPr>
        <w:rFonts w:ascii="Arial" w:hAnsi="Arial"/>
        <w:color w:val="404040"/>
        <w:sz w:val="22"/>
      </w:rPr>
      <w:tblPr>
        <w:tblBorders/>
      </w:tblPr>
      <w:tcPr>
        <w:tcBorders>
          <w:top w:color="000000" w:space="0" w:sz="4" w:themeColor="accent3" w:themeTint="000098" w:val="single"/>
          <w:bottom w:color="000000" w:space="0" w:sz="4" w:themeColor="accent3" w:themeTint="000098" w:val="single"/>
        </w:tcBorders>
      </w:tcPr>
    </w:tblStylePr>
    <w:tblStylePr w:type="band1Vert">
      <w:pPr>
        <w:pBdr/>
        <w:spacing/>
        <w:ind/>
      </w:pPr>
      <w:rPr>
        <w:rFonts w:ascii="Arial" w:hAnsi="Arial"/>
        <w:color w:val="404040"/>
        <w:sz w:val="22"/>
      </w:rPr>
      <w:tblPr>
        <w:tblBorders/>
      </w:tblPr>
      <w:tcPr>
        <w:tcBorders>
          <w:left w:color="000000" w:space="0" w:sz="4" w:themeColor="accent3" w:themeTint="000098" w:val="single"/>
          <w:right w:color="000000" w:space="0" w:sz="4" w:themeColor="accent3" w:themeTint="000098"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c9c9c9" w:themeColor="accent3" w:themeFill="accent3" w:themeFillTint="000098" w:themeTint="000098"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4"/>
    <w:basedOn w:val="907"/>
    <w:uiPriority w:val="99"/>
    <w:pPr>
      <w:pBdr/>
      <w:spacing w:after="0" w:line="240" w:lineRule="auto"/>
      <w:ind/>
    </w:pPr>
    <w:tblPr>
      <w:tblStyleRowBandSize w:val="1"/>
      <w:tblStyleColBandSize w:val="1"/>
      <w:tblInd w:w="0.0" w:type="dxa"/>
      <w:tblBorders>
        <w:top w:color="000000" w:space="0" w:sz="4" w:themeColor="accent4" w:themeTint="00009A" w:val="single"/>
        <w:left w:color="000000" w:space="0" w:sz="4" w:themeColor="accent4" w:themeTint="00009A" w:val="single"/>
        <w:bottom w:color="000000" w:space="0" w:sz="4" w:themeColor="accent4" w:themeTint="00009A" w:val="single"/>
        <w:right w:color="000000" w:space="0" w:sz="4" w:themeColor="accent4" w:themeTint="00009A" w:val="single"/>
      </w:tblBorders>
    </w:tblPr>
    <w:tcPr>
      <w:tcBorders/>
    </w:tcPr>
    <w:tblStylePr w:type="band1Horz">
      <w:pPr>
        <w:pBdr/>
        <w:spacing/>
        <w:ind/>
      </w:pPr>
      <w:rPr>
        <w:rFonts w:ascii="Arial" w:hAnsi="Arial"/>
        <w:color w:val="404040"/>
        <w:sz w:val="22"/>
      </w:rPr>
      <w:tblPr>
        <w:tblBorders/>
      </w:tblPr>
      <w:tcPr>
        <w:tcBorders>
          <w:top w:color="000000" w:space="0" w:sz="4" w:themeColor="accent4" w:themeTint="00009A" w:val="single"/>
          <w:bottom w:color="000000" w:space="0" w:sz="4" w:themeColor="accent4" w:themeTint="00009A" w:val="single"/>
        </w:tcBorders>
      </w:tcPr>
    </w:tblStylePr>
    <w:tblStylePr w:type="band1Vert">
      <w:pPr>
        <w:pBdr/>
        <w:spacing/>
        <w:ind/>
      </w:pPr>
      <w:rPr>
        <w:rFonts w:ascii="Arial" w:hAnsi="Arial"/>
        <w:color w:val="404040"/>
        <w:sz w:val="22"/>
      </w:rPr>
      <w:tblPr>
        <w:tblBorders/>
      </w:tblPr>
      <w:tcPr>
        <w:tcBorders>
          <w:left w:color="000000" w:space="0" w:sz="4" w:themeColor="accent4" w:themeTint="00009A" w:val="single"/>
          <w:right w:color="000000" w:space="0" w:sz="4" w:themeColor="accent4" w:themeTint="00009A"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ffd965" w:themeColor="accent4" w:themeFill="accent4" w:themeFillTint="00009A" w:themeTint="00009A"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5"/>
    <w:basedOn w:val="907"/>
    <w:uiPriority w:val="99"/>
    <w:pPr>
      <w:pBdr/>
      <w:spacing w:after="0" w:line="240" w:lineRule="auto"/>
      <w:ind/>
    </w:pPr>
    <w:tblPr>
      <w:tblStyleRowBandSize w:val="1"/>
      <w:tblStyleColBandSize w:val="1"/>
      <w:tblInd w:w="0.0" w:type="dxa"/>
      <w:tblBorders>
        <w:top w:color="000000" w:space="0" w:sz="4" w:themeColor="accent5" w:themeTint="00009A" w:val="single"/>
        <w:left w:color="000000" w:space="0" w:sz="4" w:themeColor="accent5" w:themeTint="00009A" w:val="single"/>
        <w:bottom w:color="000000" w:space="0" w:sz="4" w:themeColor="accent5" w:themeTint="00009A" w:val="single"/>
        <w:right w:color="000000" w:space="0" w:sz="4" w:themeColor="accent5" w:themeTint="00009A" w:val="single"/>
      </w:tblBorders>
    </w:tblPr>
    <w:tcPr>
      <w:tcBorders/>
    </w:tcPr>
    <w:tblStylePr w:type="band1Horz">
      <w:pPr>
        <w:pBdr/>
        <w:spacing/>
        <w:ind/>
      </w:pPr>
      <w:rPr>
        <w:rFonts w:ascii="Arial" w:hAnsi="Arial"/>
        <w:color w:val="404040"/>
        <w:sz w:val="22"/>
      </w:rPr>
      <w:tblPr>
        <w:tblBorders/>
      </w:tblPr>
      <w:tcPr>
        <w:tcBorders>
          <w:top w:color="000000" w:space="0" w:sz="4" w:themeColor="accent5" w:themeTint="00009A" w:val="single"/>
          <w:bottom w:color="000000" w:space="0" w:sz="4" w:themeColor="accent5" w:themeTint="00009A" w:val="single"/>
        </w:tcBorders>
      </w:tcPr>
    </w:tblStylePr>
    <w:tblStylePr w:type="band1Vert">
      <w:pPr>
        <w:pBdr/>
        <w:spacing/>
        <w:ind/>
      </w:pPr>
      <w:rPr>
        <w:rFonts w:ascii="Arial" w:hAnsi="Arial"/>
        <w:color w:val="404040"/>
        <w:sz w:val="22"/>
      </w:rPr>
      <w:tblPr>
        <w:tblBorders/>
      </w:tblPr>
      <w:tcPr>
        <w:tcBorders>
          <w:left w:color="000000" w:space="0" w:sz="4" w:themeColor="accent5" w:themeTint="00009A" w:val="single"/>
          <w:right w:color="000000" w:space="0" w:sz="4" w:themeColor="accent5" w:themeTint="00009A"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8eaadb" w:themeColor="accent5" w:themeFill="accent5" w:themeFillTint="00009A" w:themeTint="00009A"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6"/>
    <w:basedOn w:val="907"/>
    <w:uiPriority w:val="99"/>
    <w:pPr>
      <w:pBdr/>
      <w:spacing w:after="0" w:line="240" w:lineRule="auto"/>
      <w:ind/>
    </w:pPr>
    <w:tblPr>
      <w:tblStyleRowBandSize w:val="1"/>
      <w:tblStyleColBandSize w:val="1"/>
      <w:tblInd w:w="0.0" w:type="dxa"/>
      <w:tblBorders>
        <w:top w:color="000000" w:space="0" w:sz="4" w:themeColor="accent6" w:themeTint="000098" w:val="single"/>
        <w:left w:color="000000" w:space="0" w:sz="4" w:themeColor="accent6" w:themeTint="000098" w:val="single"/>
        <w:bottom w:color="000000" w:space="0" w:sz="4" w:themeColor="accent6" w:themeTint="000098" w:val="single"/>
        <w:right w:color="000000" w:space="0" w:sz="4" w:themeColor="accent6" w:themeTint="000098" w:val="single"/>
      </w:tblBorders>
    </w:tblPr>
    <w:tcPr>
      <w:tcBorders/>
    </w:tcPr>
    <w:tblStylePr w:type="band1Horz">
      <w:pPr>
        <w:pBdr/>
        <w:spacing/>
        <w:ind/>
      </w:pPr>
      <w:rPr>
        <w:rFonts w:ascii="Arial" w:hAnsi="Arial"/>
        <w:color w:val="404040"/>
        <w:sz w:val="22"/>
      </w:rPr>
      <w:tblPr>
        <w:tblBorders/>
      </w:tblPr>
      <w:tcPr>
        <w:tcBorders>
          <w:top w:color="000000" w:space="0" w:sz="4" w:themeColor="accent6" w:themeTint="000098" w:val="single"/>
          <w:bottom w:color="000000" w:space="0" w:sz="4" w:themeColor="accent6" w:themeTint="000098" w:val="single"/>
        </w:tcBorders>
      </w:tcPr>
    </w:tblStylePr>
    <w:tblStylePr w:type="band1Vert">
      <w:pPr>
        <w:pBdr/>
        <w:spacing/>
        <w:ind/>
      </w:pPr>
      <w:rPr>
        <w:rFonts w:ascii="Arial" w:hAnsi="Arial"/>
        <w:color w:val="404040"/>
        <w:sz w:val="22"/>
      </w:rPr>
      <w:tblPr>
        <w:tblBorders/>
      </w:tblPr>
      <w:tcPr>
        <w:tcBorders>
          <w:left w:color="000000" w:space="0" w:sz="4" w:themeColor="accent6" w:themeTint="000098" w:val="single"/>
          <w:right w:color="000000" w:space="0" w:sz="4" w:themeColor="accent6" w:themeTint="000098"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a9d18f" w:themeColor="accent6" w:themeFill="accent6" w:themeFillTint="000098" w:themeTint="000098"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4"/>
    <w:basedOn w:val="907"/>
    <w:uiPriority w:val="99"/>
    <w:pPr>
      <w:pBdr/>
      <w:spacing w:after="0" w:line="240" w:lineRule="auto"/>
      <w:ind/>
    </w:pPr>
    <w:tblPr>
      <w:tblStyleRowBandSize w:val="1"/>
      <w:tblStyleColBandSize w:val="1"/>
      <w:tblInd w:w="0.0" w:type="dxa"/>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tblBorders>
    </w:tblPr>
    <w:tcPr>
      <w:tcBorders/>
    </w:tcPr>
    <w:tblStylePr w:type="band1Horz">
      <w:pPr>
        <w:pBdr/>
        <w:spacing/>
        <w:ind/>
      </w:pPr>
      <w:rPr>
        <w:rFonts w:ascii="Arial" w:hAnsi="Arial"/>
        <w:color w:val="404040"/>
        <w:sz w:val="22"/>
      </w:rPr>
      <w:tblPr>
        <w:tblBorders/>
      </w:tblPr>
      <w:tcPr>
        <w:tcBorders/>
        <w:shd w:color="ffffff" w:fill="bfbfbf" w:themeColor="text1" w:themeFill="text1" w:themeFillTint="000040" w:themeTint="000040" w:val="clear"/>
      </w:tcPr>
    </w:tblStylePr>
    <w:tblStylePr w:type="band1Vert">
      <w:pPr>
        <w:pBdr/>
        <w:spacing/>
        <w:ind/>
      </w:pPr>
      <w:rPr>
        <w:rFonts w:ascii="Arial" w:hAnsi="Arial"/>
        <w:color w:val="404040"/>
        <w:sz w:val="22"/>
      </w:rPr>
      <w:tblPr>
        <w:tblBorders/>
      </w:tblPr>
      <w:tcPr>
        <w:tcBorders/>
        <w:shd w:color="ffffff" w:fill="bfbfbf" w:themeColor="text1" w:themeFill="text1"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000000" w:themeColor="text1" w:themeFill="text1"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4 - Accent 1"/>
    <w:basedOn w:val="907"/>
    <w:uiPriority w:val="99"/>
    <w:pPr>
      <w:pBdr/>
      <w:spacing w:after="0" w:line="240" w:lineRule="auto"/>
      <w:ind/>
    </w:pPr>
    <w:tblPr>
      <w:tblStyleRowBandSize w:val="1"/>
      <w:tblStyleColBandSize w:val="1"/>
      <w:tblInd w:w="0.0" w:type="dxa"/>
      <w:tblBorders>
        <w:top w:color="000000" w:space="0" w:sz="4" w:themeColor="accent1" w:themeTint="000090" w:val="single"/>
        <w:left w:color="000000" w:space="0" w:sz="4" w:themeColor="accent1" w:themeTint="000090" w:val="single"/>
        <w:bottom w:color="000000" w:space="0" w:sz="4" w:themeColor="accent1" w:themeTint="000090" w:val="single"/>
        <w:right w:color="000000" w:space="0" w:sz="4" w:themeColor="accent1" w:themeTint="000090" w:val="single"/>
        <w:insideH w:color="000000" w:space="0" w:sz="4" w:themeColor="accent1" w:themeTint="000090" w:val="single"/>
      </w:tblBorders>
    </w:tblPr>
    <w:tcPr>
      <w:tcBorders/>
    </w:tcPr>
    <w:tblStylePr w:type="band1Horz">
      <w:pPr>
        <w:pBdr/>
        <w:spacing/>
        <w:ind/>
      </w:pPr>
      <w:rPr>
        <w:rFonts w:ascii="Arial" w:hAnsi="Arial"/>
        <w:color w:val="404040"/>
        <w:sz w:val="22"/>
      </w:rPr>
      <w:tblPr>
        <w:tblBorders/>
      </w:tblPr>
      <w:tcPr>
        <w:tcBorders/>
        <w:shd w:color="ffffff" w:fill="d6e6f4" w:themeColor="accent1" w:themeFill="accent1" w:themeFillTint="000040" w:themeTint="000040" w:val="clear"/>
      </w:tcPr>
    </w:tblStylePr>
    <w:tblStylePr w:type="band1Vert">
      <w:pPr>
        <w:pBdr/>
        <w:spacing/>
        <w:ind/>
      </w:pPr>
      <w:rPr>
        <w:rFonts w:ascii="Arial" w:hAnsi="Arial"/>
        <w:color w:val="404040"/>
        <w:sz w:val="22"/>
      </w:rPr>
      <w:tblPr>
        <w:tblBorders/>
      </w:tblPr>
      <w:tcPr>
        <w:tcBorders/>
        <w:shd w:color="ffffff" w:fill="d6e6f4" w:themeColor="accent1" w:themeFill="accent1"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5b9bd5" w:themeColor="accent1" w:themeFill="accent1"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4 - Accent 2"/>
    <w:basedOn w:val="907"/>
    <w:uiPriority w:val="99"/>
    <w:pPr>
      <w:pBdr/>
      <w:spacing w:after="0" w:line="240" w:lineRule="auto"/>
      <w:ind/>
    </w:pPr>
    <w:tblPr>
      <w:tblStyleRowBandSize w:val="1"/>
      <w:tblStyleColBandSize w:val="1"/>
      <w:tblInd w:w="0.0" w:type="dxa"/>
      <w:tblBorders>
        <w:top w:color="000000" w:space="0" w:sz="4" w:themeColor="accent2" w:themeTint="000090" w:val="single"/>
        <w:left w:color="000000" w:space="0" w:sz="4" w:themeColor="accent2" w:themeTint="000090" w:val="single"/>
        <w:bottom w:color="000000" w:space="0" w:sz="4" w:themeColor="accent2" w:themeTint="000090" w:val="single"/>
        <w:right w:color="000000" w:space="0" w:sz="4" w:themeColor="accent2" w:themeTint="000090" w:val="single"/>
        <w:insideH w:color="000000" w:space="0" w:sz="4" w:themeColor="accent2" w:themeTint="000090" w:val="single"/>
      </w:tblBorders>
    </w:tblPr>
    <w:tcPr>
      <w:tcBorders/>
    </w:tcPr>
    <w:tblStylePr w:type="band1Horz">
      <w:pPr>
        <w:pBdr/>
        <w:spacing/>
        <w:ind/>
      </w:pPr>
      <w:rPr>
        <w:rFonts w:ascii="Arial" w:hAnsi="Arial"/>
        <w:color w:val="404040"/>
        <w:sz w:val="22"/>
      </w:rPr>
      <w:tblPr>
        <w:tblBorders/>
      </w:tblPr>
      <w:tcPr>
        <w:tcBorders/>
        <w:shd w:color="ffffff" w:fill="fadecb" w:themeColor="accent2" w:themeFill="accent2" w:themeFillTint="000040" w:themeTint="000040" w:val="clear"/>
      </w:tcPr>
    </w:tblStylePr>
    <w:tblStylePr w:type="band1Vert">
      <w:pPr>
        <w:pBdr/>
        <w:spacing/>
        <w:ind/>
      </w:pPr>
      <w:rPr>
        <w:rFonts w:ascii="Arial" w:hAnsi="Arial"/>
        <w:color w:val="404040"/>
        <w:sz w:val="22"/>
      </w:rPr>
      <w:tblPr>
        <w:tblBorders/>
      </w:tblPr>
      <w:tcPr>
        <w:tcBorders/>
        <w:shd w:color="ffffff" w:fill="fadecb" w:themeColor="accent2" w:themeFill="accent2"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ed7d31" w:themeColor="accent2" w:themeFill="accent2"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 Accent 3"/>
    <w:basedOn w:val="907"/>
    <w:uiPriority w:val="99"/>
    <w:pPr>
      <w:pBdr/>
      <w:spacing w:after="0" w:line="240" w:lineRule="auto"/>
      <w:ind/>
    </w:pPr>
    <w:tblPr>
      <w:tblStyleRowBandSize w:val="1"/>
      <w:tblStyleColBandSize w:val="1"/>
      <w:tblInd w:w="0.0" w:type="dxa"/>
      <w:tblBorders>
        <w:top w:color="000000" w:space="0" w:sz="4" w:themeColor="accent3" w:themeTint="000090" w:val="single"/>
        <w:left w:color="000000" w:space="0" w:sz="4" w:themeColor="accent3" w:themeTint="000090" w:val="single"/>
        <w:bottom w:color="000000" w:space="0" w:sz="4" w:themeColor="accent3" w:themeTint="000090" w:val="single"/>
        <w:right w:color="000000" w:space="0" w:sz="4" w:themeColor="accent3" w:themeTint="000090" w:val="single"/>
        <w:insideH w:color="000000" w:space="0" w:sz="4" w:themeColor="accent3" w:themeTint="000090" w:val="single"/>
      </w:tblBorders>
    </w:tblPr>
    <w:tcPr>
      <w:tcBorders/>
    </w:tcPr>
    <w:tblStylePr w:type="band1Horz">
      <w:pPr>
        <w:pBdr/>
        <w:spacing/>
        <w:ind/>
      </w:pPr>
      <w:rPr>
        <w:rFonts w:ascii="Arial" w:hAnsi="Arial"/>
        <w:color w:val="404040"/>
        <w:sz w:val="22"/>
      </w:rPr>
      <w:tblPr>
        <w:tblBorders/>
      </w:tblPr>
      <w:tcPr>
        <w:tcBorders/>
        <w:shd w:color="ffffff" w:fill="e8e8e8" w:themeColor="accent3" w:themeFill="accent3" w:themeFillTint="000040" w:themeTint="000040" w:val="clear"/>
      </w:tcPr>
    </w:tblStylePr>
    <w:tblStylePr w:type="band1Vert">
      <w:pPr>
        <w:pBdr/>
        <w:spacing/>
        <w:ind/>
      </w:pPr>
      <w:rPr>
        <w:rFonts w:ascii="Arial" w:hAnsi="Arial"/>
        <w:color w:val="404040"/>
        <w:sz w:val="22"/>
      </w:rPr>
      <w:tblPr>
        <w:tblBorders/>
      </w:tblPr>
      <w:tcPr>
        <w:tcBorders/>
        <w:shd w:color="ffffff" w:fill="e8e8e8" w:themeColor="accent3" w:themeFill="accent3"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a5a5a5" w:themeColor="accent3" w:themeFill="accent3"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4"/>
    <w:basedOn w:val="907"/>
    <w:uiPriority w:val="99"/>
    <w:pPr>
      <w:pBdr/>
      <w:spacing w:after="0" w:line="240" w:lineRule="auto"/>
      <w:ind/>
    </w:pPr>
    <w:tblPr>
      <w:tblStyleRowBandSize w:val="1"/>
      <w:tblStyleColBandSize w:val="1"/>
      <w:tblInd w:w="0.0" w:type="dxa"/>
      <w:tblBorders>
        <w:top w:color="000000" w:space="0" w:sz="4" w:themeColor="accent4" w:themeTint="000090" w:val="single"/>
        <w:left w:color="000000" w:space="0" w:sz="4" w:themeColor="accent4" w:themeTint="000090" w:val="single"/>
        <w:bottom w:color="000000" w:space="0" w:sz="4" w:themeColor="accent4" w:themeTint="000090" w:val="single"/>
        <w:right w:color="000000" w:space="0" w:sz="4" w:themeColor="accent4" w:themeTint="000090" w:val="single"/>
        <w:insideH w:color="000000" w:space="0" w:sz="4" w:themeColor="accent4" w:themeTint="000090" w:val="single"/>
      </w:tblBorders>
    </w:tblPr>
    <w:tcPr>
      <w:tcBorders/>
    </w:tcPr>
    <w:tblStylePr w:type="band1Horz">
      <w:pPr>
        <w:pBdr/>
        <w:spacing/>
        <w:ind/>
      </w:pPr>
      <w:rPr>
        <w:rFonts w:ascii="Arial" w:hAnsi="Arial"/>
        <w:color w:val="404040"/>
        <w:sz w:val="22"/>
      </w:rPr>
      <w:tblPr>
        <w:tblBorders/>
      </w:tblPr>
      <w:tcPr>
        <w:tcBorders/>
        <w:shd w:color="ffffff" w:fill="ffefbf" w:themeColor="accent4" w:themeFill="accent4" w:themeFillTint="000040" w:themeTint="000040" w:val="clear"/>
      </w:tcPr>
    </w:tblStylePr>
    <w:tblStylePr w:type="band1Vert">
      <w:pPr>
        <w:pBdr/>
        <w:spacing/>
        <w:ind/>
      </w:pPr>
      <w:rPr>
        <w:rFonts w:ascii="Arial" w:hAnsi="Arial"/>
        <w:color w:val="404040"/>
        <w:sz w:val="22"/>
      </w:rPr>
      <w:tblPr>
        <w:tblBorders/>
      </w:tblPr>
      <w:tcPr>
        <w:tcBorders/>
        <w:shd w:color="ffffff" w:fill="ffefbf" w:themeColor="accent4" w:themeFill="accent4"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ffc000" w:themeColor="accent4" w:themeFill="accent4"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5"/>
    <w:basedOn w:val="907"/>
    <w:uiPriority w:val="99"/>
    <w:pPr>
      <w:pBdr/>
      <w:spacing w:after="0" w:line="240" w:lineRule="auto"/>
      <w:ind/>
    </w:pPr>
    <w:tblPr>
      <w:tblStyleRowBandSize w:val="1"/>
      <w:tblStyleColBandSize w:val="1"/>
      <w:tblInd w:w="0.0" w:type="dxa"/>
      <w:tblBorders>
        <w:top w:color="000000" w:space="0" w:sz="4" w:themeColor="accent5" w:themeTint="000090" w:val="single"/>
        <w:left w:color="000000" w:space="0" w:sz="4" w:themeColor="accent5" w:themeTint="000090" w:val="single"/>
        <w:bottom w:color="000000" w:space="0" w:sz="4" w:themeColor="accent5" w:themeTint="000090" w:val="single"/>
        <w:right w:color="000000" w:space="0" w:sz="4" w:themeColor="accent5" w:themeTint="000090" w:val="single"/>
        <w:insideH w:color="000000" w:space="0" w:sz="4" w:themeColor="accent5" w:themeTint="000090" w:val="single"/>
      </w:tblBorders>
    </w:tblPr>
    <w:tcPr>
      <w:tcBorders/>
    </w:tcPr>
    <w:tblStylePr w:type="band1Horz">
      <w:pPr>
        <w:pBdr/>
        <w:spacing/>
        <w:ind/>
      </w:pPr>
      <w:rPr>
        <w:rFonts w:ascii="Arial" w:hAnsi="Arial"/>
        <w:color w:val="404040"/>
        <w:sz w:val="22"/>
      </w:rPr>
      <w:tblPr>
        <w:tblBorders/>
      </w:tblPr>
      <w:tcPr>
        <w:tcBorders/>
        <w:shd w:color="ffffff" w:fill="d0dcf0" w:themeColor="accent5" w:themeFill="accent5" w:themeFillTint="000040" w:themeTint="000040" w:val="clear"/>
      </w:tcPr>
    </w:tblStylePr>
    <w:tblStylePr w:type="band1Vert">
      <w:pPr>
        <w:pBdr/>
        <w:spacing/>
        <w:ind/>
      </w:pPr>
      <w:rPr>
        <w:rFonts w:ascii="Arial" w:hAnsi="Arial"/>
        <w:color w:val="404040"/>
        <w:sz w:val="22"/>
      </w:rPr>
      <w:tblPr>
        <w:tblBorders/>
      </w:tblPr>
      <w:tcPr>
        <w:tcBorders/>
        <w:shd w:color="ffffff" w:fill="d0dcf0" w:themeColor="accent5" w:themeFill="accent5"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4472c4" w:themeColor="accent5" w:themeFill="accent5"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6"/>
    <w:basedOn w:val="907"/>
    <w:uiPriority w:val="99"/>
    <w:pPr>
      <w:pBdr/>
      <w:spacing w:after="0" w:line="240" w:lineRule="auto"/>
      <w:ind/>
    </w:pPr>
    <w:tblPr>
      <w:tblStyleRowBandSize w:val="1"/>
      <w:tblStyleColBandSize w:val="1"/>
      <w:tblInd w:w="0.0" w:type="dxa"/>
      <w:tblBorders>
        <w:top w:color="000000" w:space="0" w:sz="4" w:themeColor="accent6" w:themeTint="000090" w:val="single"/>
        <w:left w:color="000000" w:space="0" w:sz="4" w:themeColor="accent6" w:themeTint="000090" w:val="single"/>
        <w:bottom w:color="000000" w:space="0" w:sz="4" w:themeColor="accent6" w:themeTint="000090" w:val="single"/>
        <w:right w:color="000000" w:space="0" w:sz="4" w:themeColor="accent6" w:themeTint="000090" w:val="single"/>
        <w:insideH w:color="000000" w:space="0" w:sz="4" w:themeColor="accent6" w:themeTint="000090" w:val="single"/>
      </w:tblBorders>
    </w:tblPr>
    <w:tcPr>
      <w:tcBorders/>
    </w:tcPr>
    <w:tblStylePr w:type="band1Horz">
      <w:pPr>
        <w:pBdr/>
        <w:spacing/>
        <w:ind/>
      </w:pPr>
      <w:rPr>
        <w:rFonts w:ascii="Arial" w:hAnsi="Arial"/>
        <w:color w:val="404040"/>
        <w:sz w:val="22"/>
      </w:rPr>
      <w:tblPr>
        <w:tblBorders/>
      </w:tblPr>
      <w:tcPr>
        <w:tcBorders/>
        <w:shd w:color="ffffff" w:fill="dbecd0" w:themeColor="accent6" w:themeFill="accent6" w:themeFillTint="000040" w:themeTint="000040" w:val="clear"/>
      </w:tcPr>
    </w:tblStylePr>
    <w:tblStylePr w:type="band1Vert">
      <w:pPr>
        <w:pBdr/>
        <w:spacing/>
        <w:ind/>
      </w:pPr>
      <w:rPr>
        <w:rFonts w:ascii="Arial" w:hAnsi="Arial"/>
        <w:color w:val="404040"/>
        <w:sz w:val="22"/>
      </w:rPr>
      <w:tblPr>
        <w:tblBorders/>
      </w:tblPr>
      <w:tcPr>
        <w:tcBorders/>
        <w:shd w:color="ffffff" w:fill="dbecd0" w:themeColor="accent6" w:themeFill="accent6"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70ad47" w:themeColor="accent6" w:themeFill="accent6"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5 Dark"/>
    <w:basedOn w:val="907"/>
    <w:uiPriority w:val="99"/>
    <w:pPr>
      <w:pBdr/>
      <w:spacing w:after="0" w:line="240" w:lineRule="auto"/>
      <w:ind/>
    </w:pPr>
    <w:tblPr>
      <w:tblStyleRowBandSize w:val="1"/>
      <w:tblStyleColBandSize w:val="1"/>
      <w:tblInd w:w="0.0" w:type="dxa"/>
      <w:tblBorders>
        <w:top w:color="000000" w:space="0" w:sz="32" w:themeColor="text1" w:themeTint="000080" w:val="single"/>
        <w:left w:color="000000" w:space="0" w:sz="32" w:themeColor="text1" w:themeTint="000080" w:val="single"/>
        <w:bottom w:color="000000" w:space="0" w:sz="32" w:themeColor="text1" w:themeTint="000080" w:val="single"/>
        <w:right w:color="000000" w:space="0" w:sz="32" w:themeColor="text1" w:themeTint="000080" w:val="single"/>
      </w:tblBorders>
      <w:shd w:color="ffffff" w:fill="7f7f7f" w:themeColor="text1" w:themeFill="text1" w:themeFillTint="000080" w:themeTint="000080"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7f7f7f" w:themeColor="text1" w:themeFill="text1" w:themeFillTint="000080" w:themeTint="000080"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7f7f7f" w:themeColor="text1" w:themeFill="text1" w:themeFillTint="000080" w:themeTint="000080"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7f7f7f" w:themeColor="text1" w:themeFill="text1" w:themeFillTint="000080" w:themeTint="000080"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text1" w:themeTint="000080"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text1" w:themeTint="000080" w:val="single"/>
          <w:bottom w:color="000000" w:space="0" w:sz="12" w:themeColor="light1" w:val="single"/>
        </w:tcBorders>
        <w:shd w:color="ffffff" w:fill="7f7f7f" w:themeColor="text1" w:themeFill="text1" w:themeFillTint="000080" w:themeTint="000080" w:val="clear"/>
      </w:tcPr>
    </w:tblStylePr>
    <w:tblStylePr w:type="lastCol">
      <w:pPr>
        <w:pBdr/>
        <w:spacing/>
        <w:ind/>
      </w:pPr>
      <w:tblPr>
        <w:tblBorders/>
      </w:tblPr>
      <w:tcPr>
        <w:tcBorders>
          <w:left w:color="000000" w:space="0" w:sz="4" w:themeColor="light1" w:val="single"/>
          <w:right w:color="000000" w:space="0" w:sz="32" w:themeColor="text1" w:themeTint="000080"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806">
    <w:name w:val="List Table 5 Dark - Accent 1"/>
    <w:basedOn w:val="907"/>
    <w:uiPriority w:val="99"/>
    <w:pPr>
      <w:pBdr/>
      <w:spacing w:after="0" w:line="240" w:lineRule="auto"/>
      <w:ind/>
    </w:pPr>
    <w:tblPr>
      <w:tblStyleRowBandSize w:val="1"/>
      <w:tblStyleColBandSize w:val="1"/>
      <w:tblInd w:w="0.0" w:type="dxa"/>
      <w:tblBorders>
        <w:top w:color="000000" w:space="0" w:sz="32" w:themeColor="accent1" w:val="single"/>
        <w:left w:color="000000" w:space="0" w:sz="32" w:themeColor="accent1" w:val="single"/>
        <w:bottom w:color="000000" w:space="0" w:sz="32" w:themeColor="accent1" w:val="single"/>
        <w:right w:color="000000" w:space="0" w:sz="32" w:themeColor="accent1" w:val="single"/>
      </w:tblBorders>
      <w:shd w:color="ffffff" w:fill="5b9bd5" w:themeColor="accent1" w:themeFill="accent1"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5b9bd5" w:themeColor="accent1" w:themeFill="accent1"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5b9bd5" w:themeColor="accent1" w:themeFill="accent1"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5b9bd5" w:themeColor="accent1" w:themeFill="accent1"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accent1"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accent1" w:val="single"/>
          <w:bottom w:color="000000" w:space="0" w:sz="12" w:themeColor="light1" w:val="single"/>
        </w:tcBorders>
        <w:shd w:color="ffffff" w:fill="5b9bd5" w:themeColor="accent1" w:themeFill="accent1" w:val="clear"/>
      </w:tcPr>
    </w:tblStylePr>
    <w:tblStylePr w:type="lastCol">
      <w:pPr>
        <w:pBdr/>
        <w:spacing/>
        <w:ind/>
      </w:pPr>
      <w:tblPr>
        <w:tblBorders/>
      </w:tblPr>
      <w:tcPr>
        <w:tcBorders>
          <w:left w:color="000000" w:space="0" w:sz="4" w:themeColor="light1" w:val="single"/>
          <w:right w:color="000000" w:space="0" w:sz="32" w:themeColor="accent1"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807">
    <w:name w:val="List Table 5 Dark - Accent 2"/>
    <w:basedOn w:val="907"/>
    <w:uiPriority w:val="99"/>
    <w:pPr>
      <w:pBdr/>
      <w:spacing w:after="0" w:line="240" w:lineRule="auto"/>
      <w:ind/>
    </w:pPr>
    <w:tblPr>
      <w:tblStyleRowBandSize w:val="1"/>
      <w:tblStyleColBandSize w:val="1"/>
      <w:tblInd w:w="0.0" w:type="dxa"/>
      <w:tblBorders>
        <w:top w:color="000000" w:space="0" w:sz="32" w:themeColor="accent2" w:themeTint="000097" w:val="single"/>
        <w:left w:color="000000" w:space="0" w:sz="32" w:themeColor="accent2" w:themeTint="000097" w:val="single"/>
        <w:bottom w:color="000000" w:space="0" w:sz="32" w:themeColor="accent2" w:themeTint="000097" w:val="single"/>
        <w:right w:color="000000" w:space="0" w:sz="32" w:themeColor="accent2" w:themeTint="000097" w:val="single"/>
      </w:tblBorders>
      <w:shd w:color="ffffff" w:fill="f4b285" w:themeColor="accent2" w:themeFill="accent2" w:themeFillTint="000097" w:themeTint="000097"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f4b285" w:themeColor="accent2" w:themeFill="accent2" w:themeFillTint="000097" w:themeTint="000097"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f4b285" w:themeColor="accent2" w:themeFill="accent2" w:themeFillTint="000097" w:themeTint="000097"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f4b285" w:themeColor="accent2" w:themeFill="accent2" w:themeFillTint="000097" w:themeTint="000097"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accent2" w:themeTint="000097"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accent2" w:themeTint="000097" w:val="single"/>
          <w:bottom w:color="000000" w:space="0" w:sz="12" w:themeColor="light1" w:val="single"/>
        </w:tcBorders>
        <w:shd w:color="ffffff" w:fill="f4b285" w:themeColor="accent2" w:themeFill="accent2" w:themeFillTint="000097" w:themeTint="000097" w:val="clear"/>
      </w:tcPr>
    </w:tblStylePr>
    <w:tblStylePr w:type="lastCol">
      <w:pPr>
        <w:pBdr/>
        <w:spacing/>
        <w:ind/>
      </w:pPr>
      <w:tblPr>
        <w:tblBorders/>
      </w:tblPr>
      <w:tcPr>
        <w:tcBorders>
          <w:left w:color="000000" w:space="0" w:sz="4" w:themeColor="light1" w:val="single"/>
          <w:right w:color="000000" w:space="0" w:sz="32" w:themeColor="accent2" w:themeTint="000097"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808">
    <w:name w:val="List Table 5 Dark - Accent 3"/>
    <w:basedOn w:val="907"/>
    <w:uiPriority w:val="99"/>
    <w:pPr>
      <w:pBdr/>
      <w:spacing w:after="0" w:line="240" w:lineRule="auto"/>
      <w:ind/>
    </w:pPr>
    <w:tblPr>
      <w:tblStyleRowBandSize w:val="1"/>
      <w:tblStyleColBandSize w:val="1"/>
      <w:tblInd w:w="0.0" w:type="dxa"/>
      <w:tblBorders>
        <w:top w:color="000000" w:space="0" w:sz="32" w:themeColor="accent3" w:themeTint="000098" w:val="single"/>
        <w:left w:color="000000" w:space="0" w:sz="32" w:themeColor="accent3" w:themeTint="000098" w:val="single"/>
        <w:bottom w:color="000000" w:space="0" w:sz="32" w:themeColor="accent3" w:themeTint="000098" w:val="single"/>
        <w:right w:color="000000" w:space="0" w:sz="32" w:themeColor="accent3" w:themeTint="000098" w:val="single"/>
      </w:tblBorders>
      <w:shd w:color="ffffff" w:fill="c9c9c9" w:themeColor="accent3" w:themeFill="accent3" w:themeFillTint="000098" w:themeTint="000098"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c9c9c9" w:themeColor="accent3" w:themeFill="accent3" w:themeFillTint="000098" w:themeTint="000098"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c9c9c9" w:themeColor="accent3" w:themeFill="accent3" w:themeFillTint="000098" w:themeTint="000098"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c9c9c9" w:themeColor="accent3" w:themeFill="accent3" w:themeFillTint="000098" w:themeTint="000098"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accent3" w:themeTint="000098"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accent3" w:themeTint="000098" w:val="single"/>
          <w:bottom w:color="000000" w:space="0" w:sz="12" w:themeColor="light1" w:val="single"/>
        </w:tcBorders>
        <w:shd w:color="ffffff" w:fill="c9c9c9" w:themeColor="accent3" w:themeFill="accent3" w:themeFillTint="000098" w:themeTint="000098" w:val="clear"/>
      </w:tcPr>
    </w:tblStylePr>
    <w:tblStylePr w:type="lastCol">
      <w:pPr>
        <w:pBdr/>
        <w:spacing/>
        <w:ind/>
      </w:pPr>
      <w:tblPr>
        <w:tblBorders/>
      </w:tblPr>
      <w:tcPr>
        <w:tcBorders>
          <w:left w:color="000000" w:space="0" w:sz="4" w:themeColor="light1" w:val="single"/>
          <w:right w:color="000000" w:space="0" w:sz="32" w:themeColor="accent3" w:themeTint="000098"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809">
    <w:name w:val="List Table 5 Dark - Accent 4"/>
    <w:basedOn w:val="907"/>
    <w:uiPriority w:val="99"/>
    <w:pPr>
      <w:pBdr/>
      <w:spacing w:after="0" w:line="240" w:lineRule="auto"/>
      <w:ind/>
    </w:pPr>
    <w:tblPr>
      <w:tblStyleRowBandSize w:val="1"/>
      <w:tblStyleColBandSize w:val="1"/>
      <w:tblInd w:w="0.0" w:type="dxa"/>
      <w:tblBorders>
        <w:top w:color="000000" w:space="0" w:sz="32" w:themeColor="accent4" w:themeTint="00009A" w:val="single"/>
        <w:left w:color="000000" w:space="0" w:sz="32" w:themeColor="accent4" w:themeTint="00009A" w:val="single"/>
        <w:bottom w:color="000000" w:space="0" w:sz="32" w:themeColor="accent4" w:themeTint="00009A" w:val="single"/>
        <w:right w:color="000000" w:space="0" w:sz="32" w:themeColor="accent4" w:themeTint="00009A" w:val="single"/>
      </w:tblBorders>
      <w:shd w:color="ffffff" w:fill="ffd965" w:themeColor="accent4" w:themeFill="accent4" w:themeFillTint="00009A" w:themeTint="00009A"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ffd965" w:themeColor="accent4" w:themeFill="accent4" w:themeFillTint="00009A" w:themeTint="00009A"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ffd965" w:themeColor="accent4" w:themeFill="accent4" w:themeFillTint="00009A" w:themeTint="00009A"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ffd965" w:themeColor="accent4" w:themeFill="accent4" w:themeFillTint="00009A" w:themeTint="00009A"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accent4" w:themeTint="00009A"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accent4" w:themeTint="00009A" w:val="single"/>
          <w:bottom w:color="000000" w:space="0" w:sz="12" w:themeColor="light1" w:val="single"/>
        </w:tcBorders>
        <w:shd w:color="ffffff" w:fill="ffd965" w:themeColor="accent4" w:themeFill="accent4" w:themeFillTint="00009A" w:themeTint="00009A" w:val="clear"/>
      </w:tcPr>
    </w:tblStylePr>
    <w:tblStylePr w:type="lastCol">
      <w:pPr>
        <w:pBdr/>
        <w:spacing/>
        <w:ind/>
      </w:pPr>
      <w:tblPr>
        <w:tblBorders/>
      </w:tblPr>
      <w:tcPr>
        <w:tcBorders>
          <w:left w:color="000000" w:space="0" w:sz="4" w:themeColor="light1" w:val="single"/>
          <w:right w:color="000000" w:space="0" w:sz="32" w:themeColor="accent4" w:themeTint="00009A"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810">
    <w:name w:val="List Table 5 Dark - Accent 5"/>
    <w:basedOn w:val="907"/>
    <w:uiPriority w:val="99"/>
    <w:pPr>
      <w:pBdr/>
      <w:spacing w:after="0" w:line="240" w:lineRule="auto"/>
      <w:ind/>
    </w:pPr>
    <w:tblPr>
      <w:tblStyleRowBandSize w:val="1"/>
      <w:tblStyleColBandSize w:val="1"/>
      <w:tblInd w:w="0.0" w:type="dxa"/>
      <w:tblBorders>
        <w:top w:color="000000" w:space="0" w:sz="32" w:themeColor="accent5" w:themeTint="00009A" w:val="single"/>
        <w:left w:color="000000" w:space="0" w:sz="32" w:themeColor="accent5" w:themeTint="00009A" w:val="single"/>
        <w:bottom w:color="000000" w:space="0" w:sz="32" w:themeColor="accent5" w:themeTint="00009A" w:val="single"/>
        <w:right w:color="000000" w:space="0" w:sz="32" w:themeColor="accent5" w:themeTint="00009A" w:val="single"/>
      </w:tblBorders>
      <w:shd w:color="ffffff" w:fill="8eaadb" w:themeColor="accent5" w:themeFill="accent5" w:themeFillTint="00009A" w:themeTint="00009A"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8eaadb" w:themeColor="accent5" w:themeFill="accent5" w:themeFillTint="00009A" w:themeTint="00009A"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8eaadb" w:themeColor="accent5" w:themeFill="accent5" w:themeFillTint="00009A" w:themeTint="00009A"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8eaadb" w:themeColor="accent5" w:themeFill="accent5" w:themeFillTint="00009A" w:themeTint="00009A"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accent5" w:themeTint="00009A"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accent5" w:themeTint="00009A" w:val="single"/>
          <w:bottom w:color="000000" w:space="0" w:sz="12" w:themeColor="light1" w:val="single"/>
        </w:tcBorders>
        <w:shd w:color="ffffff" w:fill="8eaadb" w:themeColor="accent5" w:themeFill="accent5" w:themeFillTint="00009A" w:themeTint="00009A" w:val="clear"/>
      </w:tcPr>
    </w:tblStylePr>
    <w:tblStylePr w:type="lastCol">
      <w:pPr>
        <w:pBdr/>
        <w:spacing/>
        <w:ind/>
      </w:pPr>
      <w:tblPr>
        <w:tblBorders/>
      </w:tblPr>
      <w:tcPr>
        <w:tcBorders>
          <w:left w:color="000000" w:space="0" w:sz="4" w:themeColor="light1" w:val="single"/>
          <w:right w:color="000000" w:space="0" w:sz="32" w:themeColor="accent5" w:themeTint="00009A"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811">
    <w:name w:val="List Table 5 Dark - Accent 6"/>
    <w:basedOn w:val="907"/>
    <w:uiPriority w:val="99"/>
    <w:pPr>
      <w:pBdr/>
      <w:spacing w:after="0" w:line="240" w:lineRule="auto"/>
      <w:ind/>
    </w:pPr>
    <w:tblPr>
      <w:tblStyleRowBandSize w:val="1"/>
      <w:tblStyleColBandSize w:val="1"/>
      <w:tblInd w:w="0.0" w:type="dxa"/>
      <w:tblBorders>
        <w:top w:color="000000" w:space="0" w:sz="32" w:themeColor="accent6" w:themeTint="000098" w:val="single"/>
        <w:left w:color="000000" w:space="0" w:sz="32" w:themeColor="accent6" w:themeTint="000098" w:val="single"/>
        <w:bottom w:color="000000" w:space="0" w:sz="32" w:themeColor="accent6" w:themeTint="000098" w:val="single"/>
        <w:right w:color="000000" w:space="0" w:sz="32" w:themeColor="accent6" w:themeTint="000098" w:val="single"/>
      </w:tblBorders>
      <w:shd w:color="ffffff" w:fill="a9d18f" w:themeColor="accent6" w:themeFill="accent6" w:themeFillTint="000098" w:themeTint="000098"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a9d18f" w:themeColor="accent6" w:themeFill="accent6" w:themeFillTint="000098" w:themeTint="000098"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a9d18f" w:themeColor="accent6" w:themeFill="accent6" w:themeFillTint="000098" w:themeTint="000098"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a9d18f" w:themeColor="accent6" w:themeFill="accent6" w:themeFillTint="000098" w:themeTint="000098"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accent6" w:themeTint="000098"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accent6" w:themeTint="000098" w:val="single"/>
          <w:bottom w:color="000000" w:space="0" w:sz="12" w:themeColor="light1" w:val="single"/>
        </w:tcBorders>
        <w:shd w:color="ffffff" w:fill="a9d18f" w:themeColor="accent6" w:themeFill="accent6" w:themeFillTint="000098" w:themeTint="000098" w:val="clear"/>
      </w:tcPr>
    </w:tblStylePr>
    <w:tblStylePr w:type="lastCol">
      <w:pPr>
        <w:pBdr/>
        <w:spacing/>
        <w:ind/>
      </w:pPr>
      <w:tblPr>
        <w:tblBorders/>
      </w:tblPr>
      <w:tcPr>
        <w:tcBorders>
          <w:left w:color="000000" w:space="0" w:sz="4" w:themeColor="light1" w:val="single"/>
          <w:right w:color="000000" w:space="0" w:sz="32" w:themeColor="accent6" w:themeTint="000098"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812">
    <w:name w:val="List Table 6 Colorful"/>
    <w:basedOn w:val="907"/>
    <w:uiPriority w:val="99"/>
    <w:pPr>
      <w:pBdr/>
      <w:spacing w:after="0" w:line="240" w:lineRule="auto"/>
      <w:ind/>
    </w:pPr>
    <w:tblPr>
      <w:tblStyleRowBandSize w:val="1"/>
      <w:tblStyleColBandSize w:val="1"/>
      <w:tblInd w:w="0.0" w:type="dxa"/>
      <w:tblBorders>
        <w:top w:color="000000" w:space="0" w:sz="4" w:themeColor="text1" w:themeTint="000080" w:val="single"/>
        <w:bottom w:color="000000" w:space="0" w:sz="4" w:themeColor="text1" w:themeTint="000080" w:val="single"/>
      </w:tblBorders>
    </w:tblPr>
    <w:tcPr>
      <w:tcBorders/>
    </w:tcPr>
    <w:tblStylePr w:type="band1Horz">
      <w:pPr>
        <w:pBdr/>
        <w:spacing/>
        <w:ind/>
      </w:pPr>
      <w:rPr>
        <w:rFonts w:ascii="Arial" w:hAnsi="Arial"/>
        <w:color w:val="404040" w:themeColor="text1"/>
        <w:sz w:val="22"/>
      </w:rPr>
      <w:tblPr>
        <w:tblBorders/>
      </w:tblPr>
      <w:tcPr>
        <w:tcBorders/>
        <w:shd w:color="ffffff" w:fill="bfbfbf" w:themeColor="text1" w:themeFill="text1" w:themeFillTint="000040" w:themeTint="000040" w:val="clear"/>
      </w:tcPr>
    </w:tblStylePr>
    <w:tblStylePr w:type="band1Vert">
      <w:pPr>
        <w:pBdr/>
        <w:spacing/>
        <w:ind/>
      </w:pPr>
      <w:tblPr>
        <w:tblBorders/>
      </w:tblPr>
      <w:tcPr>
        <w:tcBorders/>
        <w:shd w:color="ffffff" w:fill="bfbfbf" w:themeColor="text1" w:themeFill="text1" w:themeFillTint="000040" w:themeTint="000040" w:val="clear"/>
      </w:tcPr>
    </w:tblStylePr>
    <w:tblStylePr w:type="band2Horz">
      <w:pPr>
        <w:pBdr/>
        <w:spacing/>
        <w:ind/>
      </w:pPr>
      <w:rPr>
        <w:rFonts w:ascii="Arial" w:hAnsi="Arial"/>
        <w:color w:val="404040" w:themeColor="text1"/>
        <w:sz w:val="22"/>
      </w:rPr>
      <w:tblPr>
        <w:tblBorders/>
      </w:tblPr>
      <w:tcPr>
        <w:tcBorders/>
      </w:tcPr>
    </w:tblStylePr>
    <w:tblStylePr w:type="band2Vert">
      <w:pPr>
        <w:pBdr/>
        <w:spacing/>
        <w:ind/>
      </w:pPr>
      <w:tblPr>
        <w:tblBorders/>
      </w:tblPr>
      <w:tcPr>
        <w:tcBorders/>
      </w:tcPr>
    </w:tblStylePr>
    <w:tblStylePr w:type="firstCol">
      <w:pPr>
        <w:pBdr/>
        <w:spacing/>
        <w:ind/>
      </w:pPr>
      <w:rPr>
        <w:b w:val="1"/>
        <w:color w:val="000000" w:themeColor="text1"/>
      </w:rPr>
      <w:tblPr>
        <w:tblBorders/>
      </w:tblPr>
      <w:tcPr>
        <w:tcBorders/>
      </w:tcPr>
    </w:tblStylePr>
    <w:tblStylePr w:type="firstRow">
      <w:pPr>
        <w:pBdr/>
        <w:spacing/>
        <w:ind/>
      </w:pPr>
      <w:rPr>
        <w:b w:val="1"/>
        <w:color w:val="000000" w:themeColor="text1"/>
      </w:rPr>
      <w:tblPr>
        <w:tblBorders/>
      </w:tblPr>
      <w:tcPr>
        <w:tcBorders>
          <w:bottom w:color="000000" w:space="0" w:sz="4" w:themeColor="text1" w:themeTint="000080" w:val="single"/>
        </w:tcBorders>
      </w:tcPr>
    </w:tblStylePr>
    <w:tblStylePr w:type="lastCol">
      <w:pPr>
        <w:pBdr/>
        <w:spacing/>
        <w:ind/>
      </w:pPr>
      <w:rPr>
        <w:b w:val="1"/>
        <w:color w:val="000000" w:themeColor="text1"/>
      </w:rPr>
      <w:tblPr>
        <w:tblBorders/>
      </w:tblPr>
      <w:tcPr>
        <w:tcBorders/>
      </w:tcPr>
    </w:tblStylePr>
    <w:tblStylePr w:type="lastRow">
      <w:pPr>
        <w:pBdr/>
        <w:spacing/>
        <w:ind/>
      </w:pPr>
      <w:rPr>
        <w:b w:val="1"/>
        <w:color w:val="000000" w:themeColor="text1"/>
      </w:rPr>
      <w:tblPr>
        <w:tblBorders/>
      </w:tblPr>
      <w:tcPr>
        <w:tcBorders>
          <w:top w:color="000000" w:space="0" w:sz="4" w:themeColor="text1" w:themeTint="00008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6 Colorful - Accent 1"/>
    <w:basedOn w:val="907"/>
    <w:uiPriority w:val="99"/>
    <w:pPr>
      <w:pBdr/>
      <w:spacing w:after="0" w:line="240" w:lineRule="auto"/>
      <w:ind/>
    </w:pPr>
    <w:tblPr>
      <w:tblStyleRowBandSize w:val="1"/>
      <w:tblStyleColBandSize w:val="1"/>
      <w:tblInd w:w="0.0" w:type="dxa"/>
      <w:tblBorders>
        <w:top w:color="000000" w:space="0" w:sz="4" w:themeColor="accent1" w:val="single"/>
        <w:bottom w:color="000000" w:space="0" w:sz="4" w:themeColor="accent1" w:val="single"/>
      </w:tblBorders>
    </w:tblPr>
    <w:tcPr>
      <w:tcBorders/>
    </w:tcPr>
    <w:tblStylePr w:type="band1Horz">
      <w:pPr>
        <w:pBdr/>
        <w:spacing/>
        <w:ind/>
      </w:pPr>
      <w:rPr>
        <w:rFonts w:ascii="Arial" w:hAnsi="Arial"/>
        <w:color w:val="404040" w:themeColor="accent1" w:themeShade="000095"/>
        <w:sz w:val="22"/>
      </w:rPr>
      <w:tblPr>
        <w:tblBorders/>
      </w:tblPr>
      <w:tcPr>
        <w:tcBorders/>
        <w:shd w:color="ffffff" w:fill="d6e6f4" w:themeColor="accent1" w:themeFill="accent1" w:themeFillTint="000040" w:themeTint="000040" w:val="clear"/>
      </w:tcPr>
    </w:tblStylePr>
    <w:tblStylePr w:type="band1Vert">
      <w:pPr>
        <w:pBdr/>
        <w:spacing/>
        <w:ind/>
      </w:pPr>
      <w:tblPr>
        <w:tblBorders/>
      </w:tblPr>
      <w:tcPr>
        <w:tcBorders/>
        <w:shd w:color="ffffff" w:fill="d6e6f4" w:themeColor="accent1" w:themeFill="accent1" w:themeFillTint="000040" w:themeTint="000040" w:val="clear"/>
      </w:tcPr>
    </w:tblStylePr>
    <w:tblStylePr w:type="band2Horz">
      <w:pPr>
        <w:pBdr/>
        <w:spacing/>
        <w:ind/>
      </w:pPr>
      <w:rPr>
        <w:rFonts w:ascii="Arial" w:hAnsi="Arial"/>
        <w:color w:val="404040" w:themeColor="accent1" w:themeShade="000095"/>
        <w:sz w:val="22"/>
      </w:rPr>
      <w:tblPr>
        <w:tblBorders/>
      </w:tblPr>
      <w:tcPr>
        <w:tcBorders/>
      </w:tcPr>
    </w:tblStylePr>
    <w:tblStylePr w:type="band2Vert">
      <w:pPr>
        <w:pBdr/>
        <w:spacing/>
        <w:ind/>
      </w:pPr>
      <w:tblPr>
        <w:tblBorders/>
      </w:tblPr>
      <w:tcPr>
        <w:tcBorders/>
      </w:tcPr>
    </w:tblStylePr>
    <w:tblStylePr w:type="firstCol">
      <w:pPr>
        <w:pBdr/>
        <w:spacing/>
        <w:ind/>
      </w:pPr>
      <w:rPr>
        <w:b w:val="1"/>
        <w:color w:val="245b8d" w:themeColor="accent1" w:themeShade="000095"/>
      </w:rPr>
      <w:tblPr>
        <w:tblBorders/>
      </w:tblPr>
      <w:tcPr>
        <w:tcBorders/>
      </w:tcPr>
    </w:tblStylePr>
    <w:tblStylePr w:type="firstRow">
      <w:pPr>
        <w:pBdr/>
        <w:spacing/>
        <w:ind/>
      </w:pPr>
      <w:rPr>
        <w:b w:val="1"/>
        <w:color w:val="245b8d" w:themeColor="accent1" w:themeShade="000095"/>
      </w:rPr>
      <w:tblPr>
        <w:tblBorders/>
      </w:tblPr>
      <w:tcPr>
        <w:tcBorders>
          <w:bottom w:color="000000" w:space="0" w:sz="4" w:themeColor="accent1" w:val="single"/>
        </w:tcBorders>
      </w:tcPr>
    </w:tblStylePr>
    <w:tblStylePr w:type="lastCol">
      <w:pPr>
        <w:pBdr/>
        <w:spacing/>
        <w:ind/>
      </w:pPr>
      <w:rPr>
        <w:b w:val="1"/>
        <w:color w:val="245b8d" w:themeColor="accent1" w:themeShade="000095"/>
      </w:rPr>
      <w:tblPr>
        <w:tblBorders/>
      </w:tblPr>
      <w:tcPr>
        <w:tcBorders/>
      </w:tcPr>
    </w:tblStylePr>
    <w:tblStylePr w:type="lastRow">
      <w:pPr>
        <w:pBdr/>
        <w:spacing/>
        <w:ind/>
      </w:pPr>
      <w:rPr>
        <w:b w:val="1"/>
        <w:color w:val="245b8d" w:themeColor="accent1" w:themeShade="000095"/>
      </w:rPr>
      <w:tblPr>
        <w:tblBorders/>
      </w:tblPr>
      <w:tcPr>
        <w:tcBorders>
          <w:top w:color="000000" w:space="0" w:sz="4" w:themeColor="accent1"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6 Colorful - Accent 2"/>
    <w:basedOn w:val="907"/>
    <w:uiPriority w:val="99"/>
    <w:pPr>
      <w:pBdr/>
      <w:spacing w:after="0" w:line="240" w:lineRule="auto"/>
      <w:ind/>
    </w:pPr>
    <w:tblPr>
      <w:tblStyleRowBandSize w:val="1"/>
      <w:tblStyleColBandSize w:val="1"/>
      <w:tblInd w:w="0.0" w:type="dxa"/>
      <w:tblBorders>
        <w:top w:color="000000" w:space="0" w:sz="4" w:themeColor="accent2" w:themeTint="000097" w:val="single"/>
        <w:bottom w:color="000000" w:space="0" w:sz="4" w:themeColor="accent2" w:themeTint="000097" w:val="single"/>
      </w:tblBorders>
    </w:tblPr>
    <w:tcPr>
      <w:tcBorders/>
    </w:tcPr>
    <w:tblStylePr w:type="band1Horz">
      <w:pPr>
        <w:pBdr/>
        <w:spacing/>
        <w:ind/>
      </w:pPr>
      <w:rPr>
        <w:rFonts w:ascii="Arial" w:hAnsi="Arial"/>
        <w:color w:val="404040" w:themeColor="accent2" w:themeShade="000095" w:themeTint="000097"/>
        <w:sz w:val="22"/>
      </w:rPr>
      <w:tblPr>
        <w:tblBorders/>
      </w:tblPr>
      <w:tcPr>
        <w:tcBorders/>
        <w:shd w:color="ffffff" w:fill="fadecb" w:themeColor="accent2" w:themeFill="accent2" w:themeFillTint="000040" w:themeTint="000040" w:val="clear"/>
      </w:tcPr>
    </w:tblStylePr>
    <w:tblStylePr w:type="band1Vert">
      <w:pPr>
        <w:pBdr/>
        <w:spacing/>
        <w:ind/>
      </w:pPr>
      <w:tblPr>
        <w:tblBorders/>
      </w:tblPr>
      <w:tcPr>
        <w:tcBorders/>
        <w:shd w:color="ffffff" w:fill="fadecb" w:themeColor="accent2" w:themeFill="accent2" w:themeFillTint="000040" w:themeTint="000040" w:val="clear"/>
      </w:tcPr>
    </w:tblStylePr>
    <w:tblStylePr w:type="band2Horz">
      <w:pPr>
        <w:pBdr/>
        <w:spacing/>
        <w:ind/>
      </w:pPr>
      <w:rPr>
        <w:rFonts w:ascii="Arial" w:hAnsi="Arial"/>
        <w:color w:val="404040" w:themeColor="accent2" w:themeShade="000095" w:themeTint="000097"/>
        <w:sz w:val="22"/>
      </w:rPr>
      <w:tblPr>
        <w:tblBorders/>
      </w:tblPr>
      <w:tcPr>
        <w:tcBorders/>
      </w:tcPr>
    </w:tblStylePr>
    <w:tblStylePr w:type="band2Vert">
      <w:pPr>
        <w:pBdr/>
        <w:spacing/>
        <w:ind/>
      </w:pPr>
      <w:tblPr>
        <w:tblBorders/>
      </w:tblPr>
      <w:tcPr>
        <w:tcBorders/>
      </w:tcPr>
    </w:tblStylePr>
    <w:tblStylePr w:type="firstCol">
      <w:pPr>
        <w:pBdr/>
        <w:spacing/>
        <w:ind/>
      </w:pPr>
      <w:rPr>
        <w:b w:val="1"/>
        <w:color w:val="cb5d12" w:themeColor="accent2" w:themeShade="000095" w:themeTint="000097"/>
      </w:rPr>
      <w:tblPr>
        <w:tblBorders/>
      </w:tblPr>
      <w:tcPr>
        <w:tcBorders/>
      </w:tcPr>
    </w:tblStylePr>
    <w:tblStylePr w:type="firstRow">
      <w:pPr>
        <w:pBdr/>
        <w:spacing/>
        <w:ind/>
      </w:pPr>
      <w:rPr>
        <w:b w:val="1"/>
        <w:color w:val="cb5d12" w:themeColor="accent2" w:themeShade="000095" w:themeTint="000097"/>
      </w:rPr>
      <w:tblPr>
        <w:tblBorders/>
      </w:tblPr>
      <w:tcPr>
        <w:tcBorders>
          <w:bottom w:color="000000" w:space="0" w:sz="4" w:themeColor="accent2" w:themeTint="000097" w:val="single"/>
        </w:tcBorders>
      </w:tcPr>
    </w:tblStylePr>
    <w:tblStylePr w:type="lastCol">
      <w:pPr>
        <w:pBdr/>
        <w:spacing/>
        <w:ind/>
      </w:pPr>
      <w:rPr>
        <w:b w:val="1"/>
        <w:color w:val="cb5d12" w:themeColor="accent2" w:themeShade="000095" w:themeTint="000097"/>
      </w:rPr>
      <w:tblPr>
        <w:tblBorders/>
      </w:tblPr>
      <w:tcPr>
        <w:tcBorders/>
      </w:tcPr>
    </w:tblStylePr>
    <w:tblStylePr w:type="lastRow">
      <w:pPr>
        <w:pBdr/>
        <w:spacing/>
        <w:ind/>
      </w:pPr>
      <w:rPr>
        <w:b w:val="1"/>
        <w:color w:val="cb5d12" w:themeColor="accent2" w:themeShade="000095" w:themeTint="000097"/>
      </w:rPr>
      <w:tblPr>
        <w:tblBorders/>
      </w:tblPr>
      <w:tcPr>
        <w:tcBorders>
          <w:top w:color="000000" w:space="0" w:sz="4" w:themeColor="accent2" w:themeTint="000097"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6 Colorful - Accent 3"/>
    <w:basedOn w:val="907"/>
    <w:uiPriority w:val="99"/>
    <w:pPr>
      <w:pBdr/>
      <w:spacing w:after="0" w:line="240" w:lineRule="auto"/>
      <w:ind/>
    </w:pPr>
    <w:tblPr>
      <w:tblStyleRowBandSize w:val="1"/>
      <w:tblStyleColBandSize w:val="1"/>
      <w:tblInd w:w="0.0" w:type="dxa"/>
      <w:tblBorders>
        <w:top w:color="000000" w:space="0" w:sz="4" w:themeColor="accent3" w:themeTint="000098" w:val="single"/>
        <w:bottom w:color="000000" w:space="0" w:sz="4" w:themeColor="accent3" w:themeTint="000098" w:val="single"/>
      </w:tblBorders>
    </w:tblPr>
    <w:tcPr>
      <w:tcBorders/>
    </w:tcPr>
    <w:tblStylePr w:type="band1Horz">
      <w:pPr>
        <w:pBdr/>
        <w:spacing/>
        <w:ind/>
      </w:pPr>
      <w:rPr>
        <w:rFonts w:ascii="Arial" w:hAnsi="Arial"/>
        <w:color w:val="404040" w:themeColor="accent3" w:themeShade="000095" w:themeTint="000098"/>
        <w:sz w:val="22"/>
      </w:rPr>
      <w:tblPr>
        <w:tblBorders/>
      </w:tblPr>
      <w:tcPr>
        <w:tcBorders/>
        <w:shd w:color="ffffff" w:fill="e8e8e8" w:themeColor="accent3" w:themeFill="accent3" w:themeFillTint="000040" w:themeTint="000040" w:val="clear"/>
      </w:tcPr>
    </w:tblStylePr>
    <w:tblStylePr w:type="band1Vert">
      <w:pPr>
        <w:pBdr/>
        <w:spacing/>
        <w:ind/>
      </w:pPr>
      <w:tblPr>
        <w:tblBorders/>
      </w:tblPr>
      <w:tcPr>
        <w:tcBorders/>
        <w:shd w:color="ffffff" w:fill="e8e8e8" w:themeColor="accent3" w:themeFill="accent3" w:themeFillTint="000040" w:themeTint="000040" w:val="clear"/>
      </w:tcPr>
    </w:tblStylePr>
    <w:tblStylePr w:type="band2Horz">
      <w:pPr>
        <w:pBdr/>
        <w:spacing/>
        <w:ind/>
      </w:pPr>
      <w:rPr>
        <w:rFonts w:ascii="Arial" w:hAnsi="Arial"/>
        <w:color w:val="404040" w:themeColor="accent3" w:themeShade="000095" w:themeTint="000098"/>
        <w:sz w:val="22"/>
      </w:rPr>
      <w:tblPr>
        <w:tblBorders/>
      </w:tblPr>
      <w:tcPr>
        <w:tcBorders/>
      </w:tcPr>
    </w:tblStylePr>
    <w:tblStylePr w:type="band2Vert">
      <w:pPr>
        <w:pBdr/>
        <w:spacing/>
        <w:ind/>
      </w:pPr>
      <w:tblPr>
        <w:tblBorders/>
      </w:tblPr>
      <w:tcPr>
        <w:tcBorders/>
      </w:tcPr>
    </w:tblStylePr>
    <w:tblStylePr w:type="firstCol">
      <w:pPr>
        <w:pBdr/>
        <w:spacing/>
        <w:ind/>
      </w:pPr>
      <w:rPr>
        <w:b w:val="1"/>
        <w:color w:val="767676" w:themeColor="accent3" w:themeShade="000095" w:themeTint="000098"/>
      </w:rPr>
      <w:tblPr>
        <w:tblBorders/>
      </w:tblPr>
      <w:tcPr>
        <w:tcBorders/>
      </w:tcPr>
    </w:tblStylePr>
    <w:tblStylePr w:type="firstRow">
      <w:pPr>
        <w:pBdr/>
        <w:spacing/>
        <w:ind/>
      </w:pPr>
      <w:rPr>
        <w:b w:val="1"/>
        <w:color w:val="767676" w:themeColor="accent3" w:themeShade="000095" w:themeTint="000098"/>
      </w:rPr>
      <w:tblPr>
        <w:tblBorders/>
      </w:tblPr>
      <w:tcPr>
        <w:tcBorders>
          <w:bottom w:color="000000" w:space="0" w:sz="4" w:themeColor="accent3" w:themeTint="000098" w:val="single"/>
        </w:tcBorders>
      </w:tcPr>
    </w:tblStylePr>
    <w:tblStylePr w:type="lastCol">
      <w:pPr>
        <w:pBdr/>
        <w:spacing/>
        <w:ind/>
      </w:pPr>
      <w:rPr>
        <w:b w:val="1"/>
        <w:color w:val="767676" w:themeColor="accent3" w:themeShade="000095" w:themeTint="000098"/>
      </w:rPr>
      <w:tblPr>
        <w:tblBorders/>
      </w:tblPr>
      <w:tcPr>
        <w:tcBorders/>
      </w:tcPr>
    </w:tblStylePr>
    <w:tblStylePr w:type="lastRow">
      <w:pPr>
        <w:pBdr/>
        <w:spacing/>
        <w:ind/>
      </w:pPr>
      <w:rPr>
        <w:b w:val="1"/>
        <w:color w:val="767676" w:themeColor="accent3" w:themeShade="000095" w:themeTint="000098"/>
      </w:rPr>
      <w:tblPr>
        <w:tblBorders/>
      </w:tblPr>
      <w:tcPr>
        <w:tcBorders>
          <w:top w:color="000000" w:space="0" w:sz="4" w:themeColor="accent3" w:themeTint="000098"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4"/>
    <w:basedOn w:val="907"/>
    <w:uiPriority w:val="99"/>
    <w:pPr>
      <w:pBdr/>
      <w:spacing w:after="0" w:line="240" w:lineRule="auto"/>
      <w:ind/>
    </w:pPr>
    <w:tblPr>
      <w:tblStyleRowBandSize w:val="1"/>
      <w:tblStyleColBandSize w:val="1"/>
      <w:tblInd w:w="0.0" w:type="dxa"/>
      <w:tblBorders>
        <w:top w:color="000000" w:space="0" w:sz="4" w:themeColor="accent4" w:themeTint="00009A" w:val="single"/>
        <w:bottom w:color="000000" w:space="0" w:sz="4" w:themeColor="accent4" w:themeTint="00009A" w:val="single"/>
      </w:tblBorders>
    </w:tblPr>
    <w:tcPr>
      <w:tcBorders/>
    </w:tcPr>
    <w:tblStylePr w:type="band1Horz">
      <w:pPr>
        <w:pBdr/>
        <w:spacing/>
        <w:ind/>
      </w:pPr>
      <w:rPr>
        <w:rFonts w:ascii="Arial" w:hAnsi="Arial"/>
        <w:color w:val="404040" w:themeColor="accent4" w:themeShade="000095" w:themeTint="00009A"/>
        <w:sz w:val="22"/>
      </w:rPr>
      <w:tblPr>
        <w:tblBorders/>
      </w:tblPr>
      <w:tcPr>
        <w:tcBorders/>
        <w:shd w:color="ffffff" w:fill="ffefbf" w:themeColor="accent4" w:themeFill="accent4" w:themeFillTint="000040" w:themeTint="000040" w:val="clear"/>
      </w:tcPr>
    </w:tblStylePr>
    <w:tblStylePr w:type="band1Vert">
      <w:pPr>
        <w:pBdr/>
        <w:spacing/>
        <w:ind/>
      </w:pPr>
      <w:tblPr>
        <w:tblBorders/>
      </w:tblPr>
      <w:tcPr>
        <w:tcBorders/>
        <w:shd w:color="ffffff" w:fill="ffefbf" w:themeColor="accent4" w:themeFill="accent4" w:themeFillTint="000040" w:themeTint="000040" w:val="clear"/>
      </w:tcPr>
    </w:tblStylePr>
    <w:tblStylePr w:type="band2Horz">
      <w:pPr>
        <w:pBdr/>
        <w:spacing/>
        <w:ind/>
      </w:pPr>
      <w:rPr>
        <w:rFonts w:ascii="Arial" w:hAnsi="Arial"/>
        <w:color w:val="404040" w:themeColor="accent4" w:themeShade="000095" w:themeTint="00009A"/>
        <w:sz w:val="22"/>
      </w:rPr>
      <w:tblPr>
        <w:tblBorders/>
      </w:tblPr>
      <w:tcPr>
        <w:tcBorders/>
      </w:tcPr>
    </w:tblStylePr>
    <w:tblStylePr w:type="band2Vert">
      <w:pPr>
        <w:pBdr/>
        <w:spacing/>
        <w:ind/>
      </w:pPr>
      <w:tblPr>
        <w:tblBorders/>
      </w:tblPr>
      <w:tcPr>
        <w:tcBorders/>
      </w:tcPr>
    </w:tblStylePr>
    <w:tblStylePr w:type="firstCol">
      <w:pPr>
        <w:pBdr/>
        <w:spacing/>
        <w:ind/>
      </w:pPr>
      <w:rPr>
        <w:b w:val="1"/>
        <w:color w:val="d09d00" w:themeColor="accent4" w:themeShade="000095" w:themeTint="00009A"/>
      </w:rPr>
      <w:tblPr>
        <w:tblBorders/>
      </w:tblPr>
      <w:tcPr>
        <w:tcBorders/>
      </w:tcPr>
    </w:tblStylePr>
    <w:tblStylePr w:type="firstRow">
      <w:pPr>
        <w:pBdr/>
        <w:spacing/>
        <w:ind/>
      </w:pPr>
      <w:rPr>
        <w:b w:val="1"/>
        <w:color w:val="d09d00" w:themeColor="accent4" w:themeShade="000095" w:themeTint="00009A"/>
      </w:rPr>
      <w:tblPr>
        <w:tblBorders/>
      </w:tblPr>
      <w:tcPr>
        <w:tcBorders>
          <w:bottom w:color="000000" w:space="0" w:sz="4" w:themeColor="accent4" w:themeTint="00009A" w:val="single"/>
        </w:tcBorders>
      </w:tcPr>
    </w:tblStylePr>
    <w:tblStylePr w:type="lastCol">
      <w:pPr>
        <w:pBdr/>
        <w:spacing/>
        <w:ind/>
      </w:pPr>
      <w:rPr>
        <w:b w:val="1"/>
        <w:color w:val="d09d00" w:themeColor="accent4" w:themeShade="000095" w:themeTint="00009A"/>
      </w:rPr>
      <w:tblPr>
        <w:tblBorders/>
      </w:tblPr>
      <w:tcPr>
        <w:tcBorders/>
      </w:tcPr>
    </w:tblStylePr>
    <w:tblStylePr w:type="lastRow">
      <w:pPr>
        <w:pBdr/>
        <w:spacing/>
        <w:ind/>
      </w:pPr>
      <w:rPr>
        <w:b w:val="1"/>
        <w:color w:val="d09d00" w:themeColor="accent4" w:themeShade="000095" w:themeTint="00009A"/>
      </w:rPr>
      <w:tblPr>
        <w:tblBorders/>
      </w:tblPr>
      <w:tcPr>
        <w:tcBorders>
          <w:top w:color="000000" w:space="0" w:sz="4" w:themeColor="accent4" w:themeTint="00009A"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5"/>
    <w:basedOn w:val="907"/>
    <w:uiPriority w:val="99"/>
    <w:pPr>
      <w:pBdr/>
      <w:spacing w:after="0" w:line="240" w:lineRule="auto"/>
      <w:ind/>
    </w:pPr>
    <w:tblPr>
      <w:tblStyleRowBandSize w:val="1"/>
      <w:tblStyleColBandSize w:val="1"/>
      <w:tblInd w:w="0.0" w:type="dxa"/>
      <w:tblBorders>
        <w:top w:color="000000" w:space="0" w:sz="4" w:themeColor="accent5" w:themeTint="00009A" w:val="single"/>
        <w:bottom w:color="000000" w:space="0" w:sz="4" w:themeColor="accent5" w:themeTint="00009A" w:val="single"/>
      </w:tblBorders>
    </w:tblPr>
    <w:tcPr>
      <w:tcBorders/>
    </w:tcPr>
    <w:tblStylePr w:type="band1Horz">
      <w:pPr>
        <w:pBdr/>
        <w:spacing/>
        <w:ind/>
      </w:pPr>
      <w:rPr>
        <w:rFonts w:ascii="Arial" w:hAnsi="Arial"/>
        <w:color w:val="404040" w:themeColor="accent5" w:themeShade="000095" w:themeTint="00009A"/>
        <w:sz w:val="22"/>
      </w:rPr>
      <w:tblPr>
        <w:tblBorders/>
      </w:tblPr>
      <w:tcPr>
        <w:tcBorders/>
        <w:shd w:color="ffffff" w:fill="d0dcf0" w:themeColor="accent5" w:themeFill="accent5" w:themeFillTint="000040" w:themeTint="000040" w:val="clear"/>
      </w:tcPr>
    </w:tblStylePr>
    <w:tblStylePr w:type="band1Vert">
      <w:pPr>
        <w:pBdr/>
        <w:spacing/>
        <w:ind/>
      </w:pPr>
      <w:tblPr>
        <w:tblBorders/>
      </w:tblPr>
      <w:tcPr>
        <w:tcBorders/>
        <w:shd w:color="ffffff" w:fill="d0dcf0" w:themeColor="accent5" w:themeFill="accent5" w:themeFillTint="000040" w:themeTint="000040" w:val="clear"/>
      </w:tcPr>
    </w:tblStylePr>
    <w:tblStylePr w:type="band2Horz">
      <w:pPr>
        <w:pBdr/>
        <w:spacing/>
        <w:ind/>
      </w:pPr>
      <w:rPr>
        <w:rFonts w:ascii="Arial" w:hAnsi="Arial"/>
        <w:color w:val="404040" w:themeColor="accent5" w:themeShade="000095" w:themeTint="00009A"/>
        <w:sz w:val="22"/>
      </w:rPr>
      <w:tblPr>
        <w:tblBorders/>
      </w:tblPr>
      <w:tcPr>
        <w:tcBorders/>
      </w:tcPr>
    </w:tblStylePr>
    <w:tblStylePr w:type="band2Vert">
      <w:pPr>
        <w:pBdr/>
        <w:spacing/>
        <w:ind/>
      </w:pPr>
      <w:tblPr>
        <w:tblBorders/>
      </w:tblPr>
      <w:tcPr>
        <w:tcBorders/>
      </w:tcPr>
    </w:tblStylePr>
    <w:tblStylePr w:type="firstCol">
      <w:pPr>
        <w:pBdr/>
        <w:spacing/>
        <w:ind/>
      </w:pPr>
      <w:rPr>
        <w:b w:val="1"/>
        <w:color w:val="335aa1" w:themeColor="accent5" w:themeShade="000095" w:themeTint="00009A"/>
      </w:rPr>
      <w:tblPr>
        <w:tblBorders/>
      </w:tblPr>
      <w:tcPr>
        <w:tcBorders/>
      </w:tcPr>
    </w:tblStylePr>
    <w:tblStylePr w:type="firstRow">
      <w:pPr>
        <w:pBdr/>
        <w:spacing/>
        <w:ind/>
      </w:pPr>
      <w:rPr>
        <w:b w:val="1"/>
        <w:color w:val="335aa1" w:themeColor="accent5" w:themeShade="000095" w:themeTint="00009A"/>
      </w:rPr>
      <w:tblPr>
        <w:tblBorders/>
      </w:tblPr>
      <w:tcPr>
        <w:tcBorders>
          <w:bottom w:color="000000" w:space="0" w:sz="4" w:themeColor="accent5" w:themeTint="00009A" w:val="single"/>
        </w:tcBorders>
      </w:tcPr>
    </w:tblStylePr>
    <w:tblStylePr w:type="lastCol">
      <w:pPr>
        <w:pBdr/>
        <w:spacing/>
        <w:ind/>
      </w:pPr>
      <w:rPr>
        <w:b w:val="1"/>
        <w:color w:val="335aa1" w:themeColor="accent5" w:themeShade="000095" w:themeTint="00009A"/>
      </w:rPr>
      <w:tblPr>
        <w:tblBorders/>
      </w:tblPr>
      <w:tcPr>
        <w:tcBorders/>
      </w:tcPr>
    </w:tblStylePr>
    <w:tblStylePr w:type="lastRow">
      <w:pPr>
        <w:pBdr/>
        <w:spacing/>
        <w:ind/>
      </w:pPr>
      <w:rPr>
        <w:b w:val="1"/>
        <w:color w:val="335aa1" w:themeColor="accent5" w:themeShade="000095" w:themeTint="00009A"/>
      </w:rPr>
      <w:tblPr>
        <w:tblBorders/>
      </w:tblPr>
      <w:tcPr>
        <w:tcBorders>
          <w:top w:color="000000" w:space="0" w:sz="4" w:themeColor="accent5" w:themeTint="00009A"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6"/>
    <w:basedOn w:val="907"/>
    <w:uiPriority w:val="99"/>
    <w:pPr>
      <w:pBdr/>
      <w:spacing w:after="0" w:line="240" w:lineRule="auto"/>
      <w:ind/>
    </w:pPr>
    <w:tblPr>
      <w:tblStyleRowBandSize w:val="1"/>
      <w:tblStyleColBandSize w:val="1"/>
      <w:tblInd w:w="0.0" w:type="dxa"/>
      <w:tblBorders>
        <w:top w:color="000000" w:space="0" w:sz="4" w:themeColor="accent6" w:themeTint="000098" w:val="single"/>
        <w:bottom w:color="000000" w:space="0" w:sz="4" w:themeColor="accent6" w:themeTint="000098" w:val="single"/>
      </w:tblBorders>
    </w:tblPr>
    <w:tcPr>
      <w:tcBorders/>
    </w:tcPr>
    <w:tblStylePr w:type="band1Horz">
      <w:pPr>
        <w:pBdr/>
        <w:spacing/>
        <w:ind/>
      </w:pPr>
      <w:rPr>
        <w:rFonts w:ascii="Arial" w:hAnsi="Arial"/>
        <w:color w:val="404040" w:themeColor="accent6" w:themeShade="000095" w:themeTint="000098"/>
        <w:sz w:val="22"/>
      </w:rPr>
      <w:tblPr>
        <w:tblBorders/>
      </w:tblPr>
      <w:tcPr>
        <w:tcBorders/>
        <w:shd w:color="ffffff" w:fill="dbecd0" w:themeColor="accent6" w:themeFill="accent6" w:themeFillTint="000040" w:themeTint="000040" w:val="clear"/>
      </w:tcPr>
    </w:tblStylePr>
    <w:tblStylePr w:type="band1Vert">
      <w:pPr>
        <w:pBdr/>
        <w:spacing/>
        <w:ind/>
      </w:pPr>
      <w:tblPr>
        <w:tblBorders/>
      </w:tblPr>
      <w:tcPr>
        <w:tcBorders/>
        <w:shd w:color="ffffff" w:fill="dbecd0" w:themeColor="accent6" w:themeFill="accent6" w:themeFillTint="000040" w:themeTint="000040" w:val="clear"/>
      </w:tcPr>
    </w:tblStylePr>
    <w:tblStylePr w:type="band2Horz">
      <w:pPr>
        <w:pBdr/>
        <w:spacing/>
        <w:ind/>
      </w:pPr>
      <w:rPr>
        <w:rFonts w:ascii="Arial" w:hAnsi="Arial"/>
        <w:color w:val="404040" w:themeColor="accent6" w:themeShade="000095" w:themeTint="000098"/>
        <w:sz w:val="22"/>
      </w:rPr>
      <w:tblPr>
        <w:tblBorders/>
      </w:tblPr>
      <w:tcPr>
        <w:tcBorders/>
      </w:tcPr>
    </w:tblStylePr>
    <w:tblStylePr w:type="band2Vert">
      <w:pPr>
        <w:pBdr/>
        <w:spacing/>
        <w:ind/>
      </w:pPr>
      <w:tblPr>
        <w:tblBorders/>
      </w:tblPr>
      <w:tcPr>
        <w:tcBorders/>
      </w:tcPr>
    </w:tblStylePr>
    <w:tblStylePr w:type="firstCol">
      <w:pPr>
        <w:pBdr/>
        <w:spacing/>
        <w:ind/>
      </w:pPr>
      <w:rPr>
        <w:b w:val="1"/>
        <w:color w:val="5e923c" w:themeColor="accent6" w:themeShade="000095" w:themeTint="000098"/>
      </w:rPr>
      <w:tblPr>
        <w:tblBorders/>
      </w:tblPr>
      <w:tcPr>
        <w:tcBorders/>
      </w:tcPr>
    </w:tblStylePr>
    <w:tblStylePr w:type="firstRow">
      <w:pPr>
        <w:pBdr/>
        <w:spacing/>
        <w:ind/>
      </w:pPr>
      <w:rPr>
        <w:b w:val="1"/>
        <w:color w:val="5e923c" w:themeColor="accent6" w:themeShade="000095" w:themeTint="000098"/>
      </w:rPr>
      <w:tblPr>
        <w:tblBorders/>
      </w:tblPr>
      <w:tcPr>
        <w:tcBorders>
          <w:bottom w:color="000000" w:space="0" w:sz="4" w:themeColor="accent6" w:themeTint="000098" w:val="single"/>
        </w:tcBorders>
      </w:tcPr>
    </w:tblStylePr>
    <w:tblStylePr w:type="lastCol">
      <w:pPr>
        <w:pBdr/>
        <w:spacing/>
        <w:ind/>
      </w:pPr>
      <w:rPr>
        <w:b w:val="1"/>
        <w:color w:val="5e923c" w:themeColor="accent6" w:themeShade="000095" w:themeTint="000098"/>
      </w:rPr>
      <w:tblPr>
        <w:tblBorders/>
      </w:tblPr>
      <w:tcPr>
        <w:tcBorders/>
      </w:tcPr>
    </w:tblStylePr>
    <w:tblStylePr w:type="lastRow">
      <w:pPr>
        <w:pBdr/>
        <w:spacing/>
        <w:ind/>
      </w:pPr>
      <w:rPr>
        <w:b w:val="1"/>
        <w:color w:val="5e923c" w:themeColor="accent6" w:themeShade="000095" w:themeTint="000098"/>
      </w:rPr>
      <w:tblPr>
        <w:tblBorders/>
      </w:tblPr>
      <w:tcPr>
        <w:tcBorders>
          <w:top w:color="000000" w:space="0" w:sz="4" w:themeColor="accent6" w:themeTint="000098"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7 Colorful"/>
    <w:basedOn w:val="907"/>
    <w:uiPriority w:val="99"/>
    <w:pPr>
      <w:pBdr/>
      <w:spacing w:after="0" w:line="240" w:lineRule="auto"/>
      <w:ind/>
    </w:pPr>
    <w:tblPr>
      <w:tblStyleRowBandSize w:val="1"/>
      <w:tblStyleColBandSize w:val="1"/>
      <w:tblInd w:w="0.0" w:type="dxa"/>
      <w:tblBorders>
        <w:right w:color="000000" w:space="0" w:sz="4" w:themeColor="text1" w:themeTint="000080" w:val="single"/>
      </w:tblBorders>
    </w:tblPr>
    <w:tcPr>
      <w:tcBorders/>
    </w:tcPr>
    <w:tblStylePr w:type="band1Horz">
      <w:pPr>
        <w:pBdr/>
        <w:spacing/>
        <w:ind/>
      </w:pPr>
      <w:rPr>
        <w:rFonts w:ascii="Arial" w:hAnsi="Arial"/>
        <w:color w:val="4a4a4a" w:themeColor="text1" w:themeShade="000095" w:themeTint="000080"/>
        <w:sz w:val="22"/>
      </w:rPr>
      <w:tblPr>
        <w:tblBorders/>
      </w:tblPr>
      <w:tcPr>
        <w:tcBorders/>
        <w:shd w:color="ffffff" w:fill="bfbfbf" w:themeColor="text1" w:themeFill="text1" w:themeFillTint="000040" w:themeTint="000040" w:val="clear"/>
      </w:tcPr>
    </w:tblStylePr>
    <w:tblStylePr w:type="band1Vert">
      <w:pPr>
        <w:pBdr/>
        <w:spacing/>
        <w:ind/>
      </w:pPr>
      <w:tblPr>
        <w:tblBorders/>
      </w:tblPr>
      <w:tcPr>
        <w:tcBorders/>
        <w:shd w:color="ffffff" w:fill="bfbfbf" w:themeColor="text1" w:themeFill="text1" w:themeFillTint="000040" w:themeTint="000040" w:val="clear"/>
      </w:tcPr>
    </w:tblStylePr>
    <w:tblStylePr w:type="band2Horz">
      <w:pPr>
        <w:pBdr/>
        <w:spacing/>
        <w:ind/>
      </w:pPr>
      <w:rPr>
        <w:rFonts w:ascii="Arial" w:hAnsi="Arial"/>
        <w:color w:val="4a4a4a" w:themeColor="text1" w:themeShade="000095" w:themeTint="00008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4a4a4a" w:themeColor="text1" w:themeShade="000095" w:themeTint="000080"/>
        <w:sz w:val="22"/>
      </w:rPr>
      <w:tblPr>
        <w:tblBorders/>
      </w:tblPr>
      <w:tcPr>
        <w:tcBorders>
          <w:top w:color="000000" w:space="0" w:sz="4" w:val="none"/>
          <w:left w:color="000000" w:space="0" w:sz="4" w:val="none"/>
          <w:bottom w:color="000000" w:space="0" w:sz="4" w:val="none"/>
          <w:right w:color="000000" w:space="0" w:sz="4" w:themeColor="text1" w:themeTint="000080" w:val="single"/>
        </w:tcBorders>
        <w:shd w:color="ffffff" w:val="clear"/>
      </w:tcPr>
    </w:tblStylePr>
    <w:tblStylePr w:type="firstRow">
      <w:pPr>
        <w:pBdr/>
        <w:spacing/>
        <w:ind/>
      </w:pPr>
      <w:rPr>
        <w:rFonts w:ascii="Arial" w:hAnsi="Arial"/>
        <w:i w:val="1"/>
        <w:color w:val="4a4a4a" w:themeColor="text1" w:themeShade="000095" w:themeTint="000080"/>
        <w:sz w:val="22"/>
      </w:rPr>
      <w:tblPr>
        <w:tblBorders/>
      </w:tblPr>
      <w:tcPr>
        <w:tcBorders>
          <w:top w:color="000000" w:space="0" w:sz="4" w:val="none"/>
          <w:left w:color="000000" w:space="0" w:sz="4" w:val="none"/>
          <w:bottom w:color="000000" w:space="0" w:sz="4" w:themeColor="text1" w:themeTint="000080" w:val="single"/>
          <w:right w:color="000000" w:space="0" w:sz="4" w:val="none"/>
        </w:tcBorders>
        <w:shd w:color="ffffff" w:fill="ffffff" w:themeColor="light1" w:themeFill="light1" w:val="clear"/>
      </w:tcPr>
    </w:tblStylePr>
    <w:tblStylePr w:type="lastCol">
      <w:pPr>
        <w:pBdr/>
        <w:spacing/>
        <w:ind/>
      </w:pPr>
      <w:rPr>
        <w:rFonts w:ascii="Arial" w:hAnsi="Arial"/>
        <w:i w:val="1"/>
        <w:color w:val="4a4a4a" w:themeColor="text1" w:themeShade="000095" w:themeTint="000080"/>
        <w:sz w:val="22"/>
      </w:rPr>
      <w:tblPr>
        <w:tblBorders/>
      </w:tblPr>
      <w:tcPr>
        <w:tcBorders>
          <w:top w:color="000000" w:space="0" w:sz="4" w:val="none"/>
          <w:left w:color="000000" w:space="0" w:sz="4" w:themeColor="text1" w:themeTint="000080" w:val="single"/>
          <w:bottom w:color="000000" w:space="0" w:sz="4" w:val="none"/>
          <w:right w:color="000000" w:space="0" w:sz="4" w:val="none"/>
        </w:tcBorders>
        <w:shd w:color="ffffff" w:val="clear"/>
      </w:tcPr>
    </w:tblStylePr>
    <w:tblStylePr w:type="lastRow">
      <w:pPr>
        <w:pBdr/>
        <w:spacing/>
        <w:ind/>
      </w:pPr>
      <w:rPr>
        <w:rFonts w:ascii="Arial" w:hAnsi="Arial"/>
        <w:i w:val="1"/>
        <w:color w:val="4a4a4a" w:themeColor="text1" w:themeShade="000095" w:themeTint="000080"/>
        <w:sz w:val="22"/>
      </w:rPr>
      <w:tblPr>
        <w:tblBorders/>
      </w:tblPr>
      <w:tcPr>
        <w:tcBorders>
          <w:top w:color="000000" w:space="0" w:sz="4" w:themeColor="text1" w:themeTint="000080"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a4a4a" w:themeColor="text1" w:themeShade="000095" w:themeTint="000080"/>
        <w:sz w:val="22"/>
      </w:rPr>
      <w:tblPr>
        <w:tblBorders/>
      </w:tblPr>
      <w:tcPr>
        <w:tcBorders/>
      </w:tcPr>
    </w:tblStylePr>
  </w:style>
  <w:style w:type="table" w:styleId="820">
    <w:name w:val="List Table 7 Colorful - Accent 1"/>
    <w:basedOn w:val="907"/>
    <w:uiPriority w:val="99"/>
    <w:pPr>
      <w:pBdr/>
      <w:spacing w:after="0" w:line="240" w:lineRule="auto"/>
      <w:ind/>
    </w:pPr>
    <w:tblPr>
      <w:tblStyleRowBandSize w:val="1"/>
      <w:tblStyleColBandSize w:val="1"/>
      <w:tblInd w:w="0.0" w:type="dxa"/>
      <w:tblBorders>
        <w:right w:color="000000" w:space="0" w:sz="4" w:themeColor="accent1" w:val="single"/>
      </w:tblBorders>
    </w:tblPr>
    <w:tcPr>
      <w:tcBorders/>
    </w:tcPr>
    <w:tblStylePr w:type="band1Horz">
      <w:pPr>
        <w:pBdr/>
        <w:spacing/>
        <w:ind/>
      </w:pPr>
      <w:rPr>
        <w:rFonts w:ascii="Arial" w:hAnsi="Arial"/>
        <w:color w:val="245b8d" w:themeColor="accent1" w:themeShade="000095"/>
        <w:sz w:val="22"/>
      </w:rPr>
      <w:tblPr>
        <w:tblBorders/>
      </w:tblPr>
      <w:tcPr>
        <w:tcBorders/>
        <w:shd w:color="ffffff" w:fill="d6e6f4" w:themeColor="accent1" w:themeFill="accent1" w:themeFillTint="000040" w:themeTint="000040" w:val="clear"/>
      </w:tcPr>
    </w:tblStylePr>
    <w:tblStylePr w:type="band1Vert">
      <w:pPr>
        <w:pBdr/>
        <w:spacing/>
        <w:ind/>
      </w:pPr>
      <w:tblPr>
        <w:tblBorders/>
      </w:tblPr>
      <w:tcPr>
        <w:tcBorders/>
        <w:shd w:color="ffffff" w:fill="d6e6f4" w:themeColor="accent1" w:themeFill="accent1" w:themeFillTint="000040" w:themeTint="000040" w:val="clear"/>
      </w:tcPr>
    </w:tblStylePr>
    <w:tblStylePr w:type="band2Horz">
      <w:pPr>
        <w:pBdr/>
        <w:spacing/>
        <w:ind/>
      </w:pPr>
      <w:rPr>
        <w:rFonts w:ascii="Arial" w:hAnsi="Arial"/>
        <w:color w:val="245b8d" w:themeColor="accent1" w:themeShade="000095"/>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245b8d" w:themeColor="accent1" w:themeShade="000095"/>
        <w:sz w:val="22"/>
      </w:rPr>
      <w:tblPr>
        <w:tblBorders/>
      </w:tblPr>
      <w:tcPr>
        <w:tcBorders>
          <w:top w:color="000000" w:space="0" w:sz="4" w:val="none"/>
          <w:left w:color="000000" w:space="0" w:sz="4" w:val="none"/>
          <w:bottom w:color="000000" w:space="0" w:sz="4" w:val="none"/>
          <w:right w:color="000000" w:space="0" w:sz="4" w:themeColor="accent1" w:val="single"/>
        </w:tcBorders>
        <w:shd w:color="ffffff" w:val="clear"/>
      </w:tcPr>
    </w:tblStylePr>
    <w:tblStylePr w:type="firstRow">
      <w:pPr>
        <w:pBdr/>
        <w:spacing/>
        <w:ind/>
      </w:pPr>
      <w:rPr>
        <w:rFonts w:ascii="Arial" w:hAnsi="Arial"/>
        <w:i w:val="1"/>
        <w:color w:val="245b8d" w:themeColor="accent1" w:themeShade="000095"/>
        <w:sz w:val="22"/>
      </w:rPr>
      <w:tblPr>
        <w:tblBorders/>
      </w:tblPr>
      <w:tcPr>
        <w:tcBorders>
          <w:top w:color="000000" w:space="0" w:sz="4" w:val="none"/>
          <w:left w:color="000000" w:space="0" w:sz="4" w:val="none"/>
          <w:bottom w:color="000000" w:space="0" w:sz="4" w:themeColor="accent1" w:val="single"/>
          <w:right w:color="000000" w:space="0" w:sz="4" w:val="none"/>
        </w:tcBorders>
        <w:shd w:color="ffffff" w:fill="ffffff" w:themeColor="light1" w:themeFill="light1" w:val="clear"/>
      </w:tcPr>
    </w:tblStylePr>
    <w:tblStylePr w:type="lastCol">
      <w:pPr>
        <w:pBdr/>
        <w:spacing/>
        <w:ind/>
      </w:pPr>
      <w:rPr>
        <w:rFonts w:ascii="Arial" w:hAnsi="Arial"/>
        <w:i w:val="1"/>
        <w:color w:val="245b8d" w:themeColor="accent1" w:themeShade="000095"/>
        <w:sz w:val="22"/>
      </w:rPr>
      <w:tblPr>
        <w:tblBorders/>
      </w:tblPr>
      <w:tcPr>
        <w:tcBorders>
          <w:top w:color="000000" w:space="0" w:sz="4" w:val="none"/>
          <w:left w:color="000000" w:space="0" w:sz="4" w:themeColor="accent1" w:val="single"/>
          <w:bottom w:color="000000" w:space="0" w:sz="4" w:val="none"/>
          <w:right w:color="000000" w:space="0" w:sz="4" w:val="none"/>
        </w:tcBorders>
        <w:shd w:color="ffffff" w:val="clear"/>
      </w:tcPr>
    </w:tblStylePr>
    <w:tblStylePr w:type="lastRow">
      <w:pPr>
        <w:pBdr/>
        <w:spacing/>
        <w:ind/>
      </w:pPr>
      <w:rPr>
        <w:rFonts w:ascii="Arial" w:hAnsi="Arial"/>
        <w:i w:val="1"/>
        <w:color w:val="245b8d" w:themeColor="accent1" w:themeShade="000095"/>
        <w:sz w:val="22"/>
      </w:rPr>
      <w:tblPr>
        <w:tblBorders/>
      </w:tblPr>
      <w:tcPr>
        <w:tcBorders>
          <w:top w:color="000000" w:space="0" w:sz="4" w:themeColor="accent1"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245b8d" w:themeColor="accent1" w:themeShade="000095"/>
        <w:sz w:val="22"/>
      </w:rPr>
      <w:tblPr>
        <w:tblBorders/>
      </w:tblPr>
      <w:tcPr>
        <w:tcBorders/>
      </w:tcPr>
    </w:tblStylePr>
  </w:style>
  <w:style w:type="table" w:styleId="821">
    <w:name w:val="List Table 7 Colorful - Accent 2"/>
    <w:basedOn w:val="907"/>
    <w:uiPriority w:val="99"/>
    <w:pPr>
      <w:pBdr/>
      <w:spacing w:after="0" w:line="240" w:lineRule="auto"/>
      <w:ind/>
    </w:pPr>
    <w:tblPr>
      <w:tblStyleRowBandSize w:val="1"/>
      <w:tblStyleColBandSize w:val="1"/>
      <w:tblInd w:w="0.0" w:type="dxa"/>
      <w:tblBorders>
        <w:right w:color="000000" w:space="0" w:sz="4" w:themeColor="accent2" w:themeTint="000097" w:val="single"/>
      </w:tblBorders>
    </w:tblPr>
    <w:tcPr>
      <w:tcBorders/>
    </w:tcPr>
    <w:tblStylePr w:type="band1Horz">
      <w:pPr>
        <w:pBdr/>
        <w:spacing/>
        <w:ind/>
      </w:pPr>
      <w:rPr>
        <w:rFonts w:ascii="Arial" w:hAnsi="Arial"/>
        <w:color w:val="cb5d12" w:themeColor="accent2" w:themeShade="000095" w:themeTint="000097"/>
        <w:sz w:val="22"/>
      </w:rPr>
      <w:tblPr>
        <w:tblBorders/>
      </w:tblPr>
      <w:tcPr>
        <w:tcBorders/>
        <w:shd w:color="ffffff" w:fill="fadecb" w:themeColor="accent2" w:themeFill="accent2" w:themeFillTint="000040" w:themeTint="000040" w:val="clear"/>
      </w:tcPr>
    </w:tblStylePr>
    <w:tblStylePr w:type="band1Vert">
      <w:pPr>
        <w:pBdr/>
        <w:spacing/>
        <w:ind/>
      </w:pPr>
      <w:tblPr>
        <w:tblBorders/>
      </w:tblPr>
      <w:tcPr>
        <w:tcBorders/>
        <w:shd w:color="ffffff" w:fill="fadecb" w:themeColor="accent2" w:themeFill="accent2" w:themeFillTint="000040" w:themeTint="000040" w:val="clear"/>
      </w:tcPr>
    </w:tblStylePr>
    <w:tblStylePr w:type="band2Horz">
      <w:pPr>
        <w:pBdr/>
        <w:spacing/>
        <w:ind/>
      </w:pPr>
      <w:rPr>
        <w:rFonts w:ascii="Arial" w:hAnsi="Arial"/>
        <w:color w:val="cb5d12" w:themeColor="accent2" w:themeShade="000095" w:themeTint="000097"/>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cb5d12" w:themeColor="accent2" w:themeShade="000095" w:themeTint="000097"/>
        <w:sz w:val="22"/>
      </w:rPr>
      <w:tblPr>
        <w:tblBorders/>
      </w:tblPr>
      <w:tcPr>
        <w:tcBorders>
          <w:top w:color="000000" w:space="0" w:sz="4" w:val="none"/>
          <w:left w:color="000000" w:space="0" w:sz="4" w:val="none"/>
          <w:bottom w:color="000000" w:space="0" w:sz="4" w:val="none"/>
          <w:right w:color="000000" w:space="0" w:sz="4" w:themeColor="accent2" w:themeTint="000097" w:val="single"/>
        </w:tcBorders>
        <w:shd w:color="ffffff" w:val="clear"/>
      </w:tcPr>
    </w:tblStylePr>
    <w:tblStylePr w:type="firstRow">
      <w:pPr>
        <w:pBdr/>
        <w:spacing/>
        <w:ind/>
      </w:pPr>
      <w:rPr>
        <w:rFonts w:ascii="Arial" w:hAnsi="Arial"/>
        <w:i w:val="1"/>
        <w:color w:val="cb5d12" w:themeColor="accent2" w:themeShade="000095" w:themeTint="000097"/>
        <w:sz w:val="22"/>
      </w:rPr>
      <w:tblPr>
        <w:tblBorders/>
      </w:tblPr>
      <w:tcPr>
        <w:tcBorders>
          <w:top w:color="000000" w:space="0" w:sz="4" w:val="none"/>
          <w:left w:color="000000" w:space="0" w:sz="4" w:val="none"/>
          <w:bottom w:color="000000" w:space="0" w:sz="4" w:themeColor="accent2" w:themeTint="000097" w:val="single"/>
          <w:right w:color="000000" w:space="0" w:sz="4" w:val="none"/>
        </w:tcBorders>
        <w:shd w:color="ffffff" w:fill="ffffff" w:themeColor="light1" w:themeFill="light1" w:val="clear"/>
      </w:tcPr>
    </w:tblStylePr>
    <w:tblStylePr w:type="lastCol">
      <w:pPr>
        <w:pBdr/>
        <w:spacing/>
        <w:ind/>
      </w:pPr>
      <w:rPr>
        <w:rFonts w:ascii="Arial" w:hAnsi="Arial"/>
        <w:i w:val="1"/>
        <w:color w:val="cb5d12" w:themeColor="accent2" w:themeShade="000095" w:themeTint="000097"/>
        <w:sz w:val="22"/>
      </w:rPr>
      <w:tblPr>
        <w:tblBorders/>
      </w:tblPr>
      <w:tcPr>
        <w:tcBorders>
          <w:top w:color="000000" w:space="0" w:sz="4" w:val="none"/>
          <w:left w:color="000000" w:space="0" w:sz="4" w:themeColor="accent2" w:themeTint="000097" w:val="single"/>
          <w:bottom w:color="000000" w:space="0" w:sz="4" w:val="none"/>
          <w:right w:color="000000" w:space="0" w:sz="4" w:val="none"/>
        </w:tcBorders>
        <w:shd w:color="ffffff" w:val="clear"/>
      </w:tcPr>
    </w:tblStylePr>
    <w:tblStylePr w:type="lastRow">
      <w:pPr>
        <w:pBdr/>
        <w:spacing/>
        <w:ind/>
      </w:pPr>
      <w:rPr>
        <w:rFonts w:ascii="Arial" w:hAnsi="Arial"/>
        <w:i w:val="1"/>
        <w:color w:val="cb5d12" w:themeColor="accent2" w:themeShade="000095" w:themeTint="000097"/>
        <w:sz w:val="22"/>
      </w:rPr>
      <w:tblPr>
        <w:tblBorders/>
      </w:tblPr>
      <w:tcPr>
        <w:tcBorders>
          <w:top w:color="000000" w:space="0" w:sz="4" w:themeColor="accent2" w:themeTint="000097"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cb5d12" w:themeColor="accent2" w:themeShade="000095" w:themeTint="000097"/>
        <w:sz w:val="22"/>
      </w:rPr>
      <w:tblPr>
        <w:tblBorders/>
      </w:tblPr>
      <w:tcPr>
        <w:tcBorders/>
      </w:tcPr>
    </w:tblStylePr>
  </w:style>
  <w:style w:type="table" w:styleId="822">
    <w:name w:val="List Table 7 Colorful - Accent 3"/>
    <w:basedOn w:val="907"/>
    <w:uiPriority w:val="99"/>
    <w:pPr>
      <w:pBdr/>
      <w:spacing w:after="0" w:line="240" w:lineRule="auto"/>
      <w:ind/>
    </w:pPr>
    <w:tblPr>
      <w:tblStyleRowBandSize w:val="1"/>
      <w:tblStyleColBandSize w:val="1"/>
      <w:tblInd w:w="0.0" w:type="dxa"/>
      <w:tblBorders>
        <w:right w:color="000000" w:space="0" w:sz="4" w:themeColor="accent3" w:themeTint="000098" w:val="single"/>
      </w:tblBorders>
    </w:tblPr>
    <w:tcPr>
      <w:tcBorders/>
    </w:tcPr>
    <w:tblStylePr w:type="band1Horz">
      <w:pPr>
        <w:pBdr/>
        <w:spacing/>
        <w:ind/>
      </w:pPr>
      <w:rPr>
        <w:rFonts w:ascii="Arial" w:hAnsi="Arial"/>
        <w:color w:val="767676" w:themeColor="accent3" w:themeShade="000095" w:themeTint="000098"/>
        <w:sz w:val="22"/>
      </w:rPr>
      <w:tblPr>
        <w:tblBorders/>
      </w:tblPr>
      <w:tcPr>
        <w:tcBorders/>
        <w:shd w:color="ffffff" w:fill="e8e8e8" w:themeColor="accent3" w:themeFill="accent3" w:themeFillTint="000040" w:themeTint="000040" w:val="clear"/>
      </w:tcPr>
    </w:tblStylePr>
    <w:tblStylePr w:type="band1Vert">
      <w:pPr>
        <w:pBdr/>
        <w:spacing/>
        <w:ind/>
      </w:pPr>
      <w:tblPr>
        <w:tblBorders/>
      </w:tblPr>
      <w:tcPr>
        <w:tcBorders/>
        <w:shd w:color="ffffff" w:fill="e8e8e8" w:themeColor="accent3" w:themeFill="accent3" w:themeFillTint="000040" w:themeTint="000040" w:val="clear"/>
      </w:tcPr>
    </w:tblStylePr>
    <w:tblStylePr w:type="band2Horz">
      <w:pPr>
        <w:pBdr/>
        <w:spacing/>
        <w:ind/>
      </w:pPr>
      <w:rPr>
        <w:rFonts w:ascii="Arial" w:hAnsi="Arial"/>
        <w:color w:val="767676" w:themeColor="accent3" w:themeShade="000095" w:themeTint="000098"/>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767676" w:themeColor="accent3" w:themeShade="000095" w:themeTint="000098"/>
        <w:sz w:val="22"/>
      </w:rPr>
      <w:tblPr>
        <w:tblBorders/>
      </w:tblPr>
      <w:tcPr>
        <w:tcBorders>
          <w:top w:color="000000" w:space="0" w:sz="4" w:val="none"/>
          <w:left w:color="000000" w:space="0" w:sz="4" w:val="none"/>
          <w:bottom w:color="000000" w:space="0" w:sz="4" w:val="none"/>
          <w:right w:color="000000" w:space="0" w:sz="4" w:themeColor="accent3" w:themeTint="000098" w:val="single"/>
        </w:tcBorders>
        <w:shd w:color="ffffff" w:val="clear"/>
      </w:tcPr>
    </w:tblStylePr>
    <w:tblStylePr w:type="firstRow">
      <w:pPr>
        <w:pBdr/>
        <w:spacing/>
        <w:ind/>
      </w:pPr>
      <w:rPr>
        <w:rFonts w:ascii="Arial" w:hAnsi="Arial"/>
        <w:i w:val="1"/>
        <w:color w:val="767676" w:themeColor="accent3" w:themeShade="000095" w:themeTint="000098"/>
        <w:sz w:val="22"/>
      </w:rPr>
      <w:tblPr>
        <w:tblBorders/>
      </w:tblPr>
      <w:tcPr>
        <w:tcBorders>
          <w:top w:color="000000" w:space="0" w:sz="4" w:val="none"/>
          <w:left w:color="000000" w:space="0" w:sz="4" w:val="none"/>
          <w:bottom w:color="000000" w:space="0" w:sz="4" w:themeColor="accent3" w:themeTint="000098" w:val="single"/>
          <w:right w:color="000000" w:space="0" w:sz="4" w:val="none"/>
        </w:tcBorders>
        <w:shd w:color="ffffff" w:fill="ffffff" w:themeColor="light1" w:themeFill="light1" w:val="clear"/>
      </w:tcPr>
    </w:tblStylePr>
    <w:tblStylePr w:type="lastCol">
      <w:pPr>
        <w:pBdr/>
        <w:spacing/>
        <w:ind/>
      </w:pPr>
      <w:rPr>
        <w:rFonts w:ascii="Arial" w:hAnsi="Arial"/>
        <w:i w:val="1"/>
        <w:color w:val="767676" w:themeColor="accent3" w:themeShade="000095" w:themeTint="000098"/>
        <w:sz w:val="22"/>
      </w:rPr>
      <w:tblPr>
        <w:tblBorders/>
      </w:tblPr>
      <w:tcPr>
        <w:tcBorders>
          <w:top w:color="000000" w:space="0" w:sz="4" w:val="none"/>
          <w:left w:color="000000" w:space="0" w:sz="4" w:themeColor="accent3" w:themeTint="000098" w:val="single"/>
          <w:bottom w:color="000000" w:space="0" w:sz="4" w:val="none"/>
          <w:right w:color="000000" w:space="0" w:sz="4" w:val="none"/>
        </w:tcBorders>
        <w:shd w:color="ffffff" w:val="clear"/>
      </w:tcPr>
    </w:tblStylePr>
    <w:tblStylePr w:type="lastRow">
      <w:pPr>
        <w:pBdr/>
        <w:spacing/>
        <w:ind/>
      </w:pPr>
      <w:rPr>
        <w:rFonts w:ascii="Arial" w:hAnsi="Arial"/>
        <w:i w:val="1"/>
        <w:color w:val="767676" w:themeColor="accent3" w:themeShade="000095" w:themeTint="000098"/>
        <w:sz w:val="22"/>
      </w:rPr>
      <w:tblPr>
        <w:tblBorders/>
      </w:tblPr>
      <w:tcPr>
        <w:tcBorders>
          <w:top w:color="000000" w:space="0" w:sz="4" w:themeColor="accent3" w:themeTint="000098"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767676" w:themeColor="accent3" w:themeShade="000095" w:themeTint="000098"/>
        <w:sz w:val="22"/>
      </w:rPr>
      <w:tblPr>
        <w:tblBorders/>
      </w:tblPr>
      <w:tcPr>
        <w:tcBorders/>
      </w:tcPr>
    </w:tblStylePr>
  </w:style>
  <w:style w:type="table" w:styleId="823">
    <w:name w:val="List Table 7 Colorful - Accent 4"/>
    <w:basedOn w:val="907"/>
    <w:uiPriority w:val="99"/>
    <w:pPr>
      <w:pBdr/>
      <w:spacing w:after="0" w:line="240" w:lineRule="auto"/>
      <w:ind/>
    </w:pPr>
    <w:tblPr>
      <w:tblStyleRowBandSize w:val="1"/>
      <w:tblStyleColBandSize w:val="1"/>
      <w:tblInd w:w="0.0" w:type="dxa"/>
      <w:tblBorders>
        <w:right w:color="000000" w:space="0" w:sz="4" w:themeColor="accent4" w:themeTint="00009A" w:val="single"/>
      </w:tblBorders>
    </w:tblPr>
    <w:tcPr>
      <w:tcBorders/>
    </w:tcPr>
    <w:tblStylePr w:type="band1Horz">
      <w:pPr>
        <w:pBdr/>
        <w:spacing/>
        <w:ind/>
      </w:pPr>
      <w:rPr>
        <w:rFonts w:ascii="Arial" w:hAnsi="Arial"/>
        <w:color w:val="d09d00" w:themeColor="accent4" w:themeShade="000095" w:themeTint="00009A"/>
        <w:sz w:val="22"/>
      </w:rPr>
      <w:tblPr>
        <w:tblBorders/>
      </w:tblPr>
      <w:tcPr>
        <w:tcBorders/>
        <w:shd w:color="ffffff" w:fill="ffefbf" w:themeColor="accent4" w:themeFill="accent4" w:themeFillTint="000040" w:themeTint="000040" w:val="clear"/>
      </w:tcPr>
    </w:tblStylePr>
    <w:tblStylePr w:type="band1Vert">
      <w:pPr>
        <w:pBdr/>
        <w:spacing/>
        <w:ind/>
      </w:pPr>
      <w:tblPr>
        <w:tblBorders/>
      </w:tblPr>
      <w:tcPr>
        <w:tcBorders/>
        <w:shd w:color="ffffff" w:fill="ffefbf" w:themeColor="accent4" w:themeFill="accent4" w:themeFillTint="000040" w:themeTint="000040" w:val="clear"/>
      </w:tcPr>
    </w:tblStylePr>
    <w:tblStylePr w:type="band2Horz">
      <w:pPr>
        <w:pBdr/>
        <w:spacing/>
        <w:ind/>
      </w:pPr>
      <w:rPr>
        <w:rFonts w:ascii="Arial" w:hAnsi="Arial"/>
        <w:color w:val="d09d00" w:themeColor="accent4" w:themeShade="000095" w:themeTint="00009A"/>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d09d00" w:themeColor="accent4" w:themeShade="000095" w:themeTint="00009A"/>
        <w:sz w:val="22"/>
      </w:rPr>
      <w:tblPr>
        <w:tblBorders/>
      </w:tblPr>
      <w:tcPr>
        <w:tcBorders>
          <w:top w:color="000000" w:space="0" w:sz="4" w:val="none"/>
          <w:left w:color="000000" w:space="0" w:sz="4" w:val="none"/>
          <w:bottom w:color="000000" w:space="0" w:sz="4" w:val="none"/>
          <w:right w:color="000000" w:space="0" w:sz="4" w:themeColor="accent4" w:themeTint="00009A" w:val="single"/>
        </w:tcBorders>
        <w:shd w:color="ffffff" w:val="clear"/>
      </w:tcPr>
    </w:tblStylePr>
    <w:tblStylePr w:type="firstRow">
      <w:pPr>
        <w:pBdr/>
        <w:spacing/>
        <w:ind/>
      </w:pPr>
      <w:rPr>
        <w:rFonts w:ascii="Arial" w:hAnsi="Arial"/>
        <w:i w:val="1"/>
        <w:color w:val="d09d00" w:themeColor="accent4" w:themeShade="000095" w:themeTint="00009A"/>
        <w:sz w:val="22"/>
      </w:rPr>
      <w:tblPr>
        <w:tblBorders/>
      </w:tblPr>
      <w:tcPr>
        <w:tcBorders>
          <w:top w:color="000000" w:space="0" w:sz="4" w:val="none"/>
          <w:left w:color="000000" w:space="0" w:sz="4" w:val="none"/>
          <w:bottom w:color="000000" w:space="0" w:sz="4" w:themeColor="accent4" w:themeTint="00009A" w:val="single"/>
          <w:right w:color="000000" w:space="0" w:sz="4" w:val="none"/>
        </w:tcBorders>
        <w:shd w:color="ffffff" w:fill="ffffff" w:themeColor="light1" w:themeFill="light1" w:val="clear"/>
      </w:tcPr>
    </w:tblStylePr>
    <w:tblStylePr w:type="lastCol">
      <w:pPr>
        <w:pBdr/>
        <w:spacing/>
        <w:ind/>
      </w:pPr>
      <w:rPr>
        <w:rFonts w:ascii="Arial" w:hAnsi="Arial"/>
        <w:i w:val="1"/>
        <w:color w:val="d09d00" w:themeColor="accent4" w:themeShade="000095" w:themeTint="00009A"/>
        <w:sz w:val="22"/>
      </w:rPr>
      <w:tblPr>
        <w:tblBorders/>
      </w:tblPr>
      <w:tcPr>
        <w:tcBorders>
          <w:top w:color="000000" w:space="0" w:sz="4" w:val="none"/>
          <w:left w:color="000000" w:space="0" w:sz="4" w:themeColor="accent4" w:themeTint="00009A" w:val="single"/>
          <w:bottom w:color="000000" w:space="0" w:sz="4" w:val="none"/>
          <w:right w:color="000000" w:space="0" w:sz="4" w:val="none"/>
        </w:tcBorders>
        <w:shd w:color="ffffff" w:val="clear"/>
      </w:tcPr>
    </w:tblStylePr>
    <w:tblStylePr w:type="lastRow">
      <w:pPr>
        <w:pBdr/>
        <w:spacing/>
        <w:ind/>
      </w:pPr>
      <w:rPr>
        <w:rFonts w:ascii="Arial" w:hAnsi="Arial"/>
        <w:i w:val="1"/>
        <w:color w:val="d09d00" w:themeColor="accent4" w:themeShade="000095" w:themeTint="00009A"/>
        <w:sz w:val="22"/>
      </w:rPr>
      <w:tblPr>
        <w:tblBorders/>
      </w:tblPr>
      <w:tcPr>
        <w:tcBorders>
          <w:top w:color="000000" w:space="0" w:sz="4" w:themeColor="accent4" w:themeTint="00009A"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d09d00" w:themeColor="accent4" w:themeShade="000095" w:themeTint="00009A"/>
        <w:sz w:val="22"/>
      </w:rPr>
      <w:tblPr>
        <w:tblBorders/>
      </w:tblPr>
      <w:tcPr>
        <w:tcBorders/>
      </w:tcPr>
    </w:tblStylePr>
  </w:style>
  <w:style w:type="table" w:styleId="824">
    <w:name w:val="List Table 7 Colorful - Accent 5"/>
    <w:basedOn w:val="907"/>
    <w:uiPriority w:val="99"/>
    <w:pPr>
      <w:pBdr/>
      <w:spacing w:after="0" w:line="240" w:lineRule="auto"/>
      <w:ind/>
    </w:pPr>
    <w:tblPr>
      <w:tblStyleRowBandSize w:val="1"/>
      <w:tblStyleColBandSize w:val="1"/>
      <w:tblInd w:w="0.0" w:type="dxa"/>
      <w:tblBorders>
        <w:right w:color="000000" w:space="0" w:sz="4" w:themeColor="accent5" w:themeTint="00009A" w:val="single"/>
      </w:tblBorders>
    </w:tblPr>
    <w:tcPr>
      <w:tcBorders/>
    </w:tcPr>
    <w:tblStylePr w:type="band1Horz">
      <w:pPr>
        <w:pBdr/>
        <w:spacing/>
        <w:ind/>
      </w:pPr>
      <w:rPr>
        <w:rFonts w:ascii="Arial" w:hAnsi="Arial"/>
        <w:color w:val="335aa1" w:themeColor="accent5" w:themeShade="000095" w:themeTint="00009A"/>
        <w:sz w:val="22"/>
      </w:rPr>
      <w:tblPr>
        <w:tblBorders/>
      </w:tblPr>
      <w:tcPr>
        <w:tcBorders/>
        <w:shd w:color="ffffff" w:fill="d0dcf0" w:themeColor="accent5" w:themeFill="accent5" w:themeFillTint="000040" w:themeTint="000040" w:val="clear"/>
      </w:tcPr>
    </w:tblStylePr>
    <w:tblStylePr w:type="band1Vert">
      <w:pPr>
        <w:pBdr/>
        <w:spacing/>
        <w:ind/>
      </w:pPr>
      <w:tblPr>
        <w:tblBorders/>
      </w:tblPr>
      <w:tcPr>
        <w:tcBorders/>
        <w:shd w:color="ffffff" w:fill="d0dcf0" w:themeColor="accent5" w:themeFill="accent5" w:themeFillTint="000040" w:themeTint="000040" w:val="clear"/>
      </w:tcPr>
    </w:tblStylePr>
    <w:tblStylePr w:type="band2Horz">
      <w:pPr>
        <w:pBdr/>
        <w:spacing/>
        <w:ind/>
      </w:pPr>
      <w:rPr>
        <w:rFonts w:ascii="Arial" w:hAnsi="Arial"/>
        <w:color w:val="335aa1" w:themeColor="accent5" w:themeShade="000095" w:themeTint="00009A"/>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335aa1" w:themeColor="accent5" w:themeShade="000095" w:themeTint="00009A"/>
        <w:sz w:val="22"/>
      </w:rPr>
      <w:tblPr>
        <w:tblBorders/>
      </w:tblPr>
      <w:tcPr>
        <w:tcBorders>
          <w:top w:color="000000" w:space="0" w:sz="4" w:val="none"/>
          <w:left w:color="000000" w:space="0" w:sz="4" w:val="none"/>
          <w:bottom w:color="000000" w:space="0" w:sz="4" w:val="none"/>
          <w:right w:color="000000" w:space="0" w:sz="4" w:themeColor="accent5" w:themeTint="00009A" w:val="single"/>
        </w:tcBorders>
        <w:shd w:color="ffffff" w:val="clear"/>
      </w:tcPr>
    </w:tblStylePr>
    <w:tblStylePr w:type="firstRow">
      <w:pPr>
        <w:pBdr/>
        <w:spacing/>
        <w:ind/>
      </w:pPr>
      <w:rPr>
        <w:rFonts w:ascii="Arial" w:hAnsi="Arial"/>
        <w:i w:val="1"/>
        <w:color w:val="335aa1" w:themeColor="accent5" w:themeShade="000095" w:themeTint="00009A"/>
        <w:sz w:val="22"/>
      </w:rPr>
      <w:tblPr>
        <w:tblBorders/>
      </w:tblPr>
      <w:tcPr>
        <w:tcBorders>
          <w:top w:color="000000" w:space="0" w:sz="4" w:val="none"/>
          <w:left w:color="000000" w:space="0" w:sz="4" w:val="none"/>
          <w:bottom w:color="000000" w:space="0" w:sz="4" w:themeColor="accent5" w:themeTint="00009A" w:val="single"/>
          <w:right w:color="000000" w:space="0" w:sz="4" w:val="none"/>
        </w:tcBorders>
        <w:shd w:color="ffffff" w:fill="ffffff" w:themeColor="light1" w:themeFill="light1" w:val="clear"/>
      </w:tcPr>
    </w:tblStylePr>
    <w:tblStylePr w:type="lastCol">
      <w:pPr>
        <w:pBdr/>
        <w:spacing/>
        <w:ind/>
      </w:pPr>
      <w:rPr>
        <w:rFonts w:ascii="Arial" w:hAnsi="Arial"/>
        <w:i w:val="1"/>
        <w:color w:val="335aa1" w:themeColor="accent5" w:themeShade="000095" w:themeTint="00009A"/>
        <w:sz w:val="22"/>
      </w:rPr>
      <w:tblPr>
        <w:tblBorders/>
      </w:tblPr>
      <w:tcPr>
        <w:tcBorders>
          <w:top w:color="000000" w:space="0" w:sz="4" w:val="none"/>
          <w:left w:color="000000" w:space="0" w:sz="4" w:themeColor="accent5" w:themeTint="00009A" w:val="single"/>
          <w:bottom w:color="000000" w:space="0" w:sz="4" w:val="none"/>
          <w:right w:color="000000" w:space="0" w:sz="4" w:val="none"/>
        </w:tcBorders>
        <w:shd w:color="ffffff" w:val="clear"/>
      </w:tcPr>
    </w:tblStylePr>
    <w:tblStylePr w:type="lastRow">
      <w:pPr>
        <w:pBdr/>
        <w:spacing/>
        <w:ind/>
      </w:pPr>
      <w:rPr>
        <w:rFonts w:ascii="Arial" w:hAnsi="Arial"/>
        <w:i w:val="1"/>
        <w:color w:val="335aa1" w:themeColor="accent5" w:themeShade="000095" w:themeTint="00009A"/>
        <w:sz w:val="22"/>
      </w:rPr>
      <w:tblPr>
        <w:tblBorders/>
      </w:tblPr>
      <w:tcPr>
        <w:tcBorders>
          <w:top w:color="000000" w:space="0" w:sz="4" w:themeColor="accent5" w:themeTint="00009A"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335aa1" w:themeColor="accent5" w:themeShade="000095" w:themeTint="00009A"/>
        <w:sz w:val="22"/>
      </w:rPr>
      <w:tblPr>
        <w:tblBorders/>
      </w:tblPr>
      <w:tcPr>
        <w:tcBorders/>
      </w:tcPr>
    </w:tblStylePr>
  </w:style>
  <w:style w:type="table" w:styleId="825">
    <w:name w:val="List Table 7 Colorful - Accent 6"/>
    <w:basedOn w:val="907"/>
    <w:uiPriority w:val="99"/>
    <w:pPr>
      <w:pBdr/>
      <w:spacing w:after="0" w:line="240" w:lineRule="auto"/>
      <w:ind/>
    </w:pPr>
    <w:tblPr>
      <w:tblStyleRowBandSize w:val="1"/>
      <w:tblStyleColBandSize w:val="1"/>
      <w:tblInd w:w="0.0" w:type="dxa"/>
      <w:tblBorders>
        <w:right w:color="000000" w:space="0" w:sz="4" w:themeColor="accent6" w:themeTint="000098" w:val="single"/>
      </w:tblBorders>
    </w:tblPr>
    <w:tcPr>
      <w:tcBorders/>
    </w:tcPr>
    <w:tblStylePr w:type="band1Horz">
      <w:pPr>
        <w:pBdr/>
        <w:spacing/>
        <w:ind/>
      </w:pPr>
      <w:rPr>
        <w:rFonts w:ascii="Arial" w:hAnsi="Arial"/>
        <w:color w:val="5e923c" w:themeColor="accent6" w:themeShade="000095" w:themeTint="000098"/>
        <w:sz w:val="22"/>
      </w:rPr>
      <w:tblPr>
        <w:tblBorders/>
      </w:tblPr>
      <w:tcPr>
        <w:tcBorders/>
        <w:shd w:color="ffffff" w:fill="dbecd0" w:themeColor="accent6" w:themeFill="accent6" w:themeFillTint="000040" w:themeTint="000040" w:val="clear"/>
      </w:tcPr>
    </w:tblStylePr>
    <w:tblStylePr w:type="band1Vert">
      <w:pPr>
        <w:pBdr/>
        <w:spacing/>
        <w:ind/>
      </w:pPr>
      <w:tblPr>
        <w:tblBorders/>
      </w:tblPr>
      <w:tcPr>
        <w:tcBorders/>
        <w:shd w:color="ffffff" w:fill="dbecd0" w:themeColor="accent6" w:themeFill="accent6" w:themeFillTint="000040" w:themeTint="000040" w:val="clear"/>
      </w:tcPr>
    </w:tblStylePr>
    <w:tblStylePr w:type="band2Horz">
      <w:pPr>
        <w:pBdr/>
        <w:spacing/>
        <w:ind/>
      </w:pPr>
      <w:rPr>
        <w:rFonts w:ascii="Arial" w:hAnsi="Arial"/>
        <w:color w:val="5e923c" w:themeColor="accent6" w:themeShade="000095" w:themeTint="000098"/>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5e923c" w:themeColor="accent6" w:themeShade="000095" w:themeTint="000098"/>
        <w:sz w:val="22"/>
      </w:rPr>
      <w:tblPr>
        <w:tblBorders/>
      </w:tblPr>
      <w:tcPr>
        <w:tcBorders>
          <w:top w:color="000000" w:space="0" w:sz="4" w:val="none"/>
          <w:left w:color="000000" w:space="0" w:sz="4" w:val="none"/>
          <w:bottom w:color="000000" w:space="0" w:sz="4" w:val="none"/>
          <w:right w:color="000000" w:space="0" w:sz="4" w:themeColor="accent6" w:themeTint="000098" w:val="single"/>
        </w:tcBorders>
        <w:shd w:color="ffffff" w:val="clear"/>
      </w:tcPr>
    </w:tblStylePr>
    <w:tblStylePr w:type="firstRow">
      <w:pPr>
        <w:pBdr/>
        <w:spacing/>
        <w:ind/>
      </w:pPr>
      <w:rPr>
        <w:rFonts w:ascii="Arial" w:hAnsi="Arial"/>
        <w:i w:val="1"/>
        <w:color w:val="5e923c" w:themeColor="accent6" w:themeShade="000095" w:themeTint="000098"/>
        <w:sz w:val="22"/>
      </w:rPr>
      <w:tblPr>
        <w:tblBorders/>
      </w:tblPr>
      <w:tcPr>
        <w:tcBorders>
          <w:top w:color="000000" w:space="0" w:sz="4" w:val="none"/>
          <w:left w:color="000000" w:space="0" w:sz="4" w:val="none"/>
          <w:bottom w:color="000000" w:space="0" w:sz="4" w:themeColor="accent6" w:themeTint="000098" w:val="single"/>
          <w:right w:color="000000" w:space="0" w:sz="4" w:val="none"/>
        </w:tcBorders>
        <w:shd w:color="ffffff" w:fill="ffffff" w:themeColor="light1" w:themeFill="light1" w:val="clear"/>
      </w:tcPr>
    </w:tblStylePr>
    <w:tblStylePr w:type="lastCol">
      <w:pPr>
        <w:pBdr/>
        <w:spacing/>
        <w:ind/>
      </w:pPr>
      <w:rPr>
        <w:rFonts w:ascii="Arial" w:hAnsi="Arial"/>
        <w:i w:val="1"/>
        <w:color w:val="5e923c" w:themeColor="accent6" w:themeShade="000095" w:themeTint="000098"/>
        <w:sz w:val="22"/>
      </w:rPr>
      <w:tblPr>
        <w:tblBorders/>
      </w:tblPr>
      <w:tcPr>
        <w:tcBorders>
          <w:top w:color="000000" w:space="0" w:sz="4" w:val="none"/>
          <w:left w:color="000000" w:space="0" w:sz="4" w:themeColor="accent6" w:themeTint="000098" w:val="single"/>
          <w:bottom w:color="000000" w:space="0" w:sz="4" w:val="none"/>
          <w:right w:color="000000" w:space="0" w:sz="4" w:val="none"/>
        </w:tcBorders>
        <w:shd w:color="ffffff" w:val="clear"/>
      </w:tcPr>
    </w:tblStylePr>
    <w:tblStylePr w:type="lastRow">
      <w:pPr>
        <w:pBdr/>
        <w:spacing/>
        <w:ind/>
      </w:pPr>
      <w:rPr>
        <w:rFonts w:ascii="Arial" w:hAnsi="Arial"/>
        <w:i w:val="1"/>
        <w:color w:val="5e923c" w:themeColor="accent6" w:themeShade="000095" w:themeTint="000098"/>
        <w:sz w:val="22"/>
      </w:rPr>
      <w:tblPr>
        <w:tblBorders/>
      </w:tblPr>
      <w:tcPr>
        <w:tcBorders>
          <w:top w:color="000000" w:space="0" w:sz="4" w:themeColor="accent6" w:themeTint="000098"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5e923c" w:themeColor="accent6" w:themeShade="000095" w:themeTint="000098"/>
        <w:sz w:val="22"/>
      </w:rPr>
      <w:tblPr>
        <w:tblBorders/>
      </w:tblPr>
      <w:tcPr>
        <w:tcBorders/>
      </w:tcPr>
    </w:tblStylePr>
  </w:style>
  <w:style w:type="table" w:styleId="826">
    <w:name w:val="Lined - Accent"/>
    <w:basedOn w:val="907"/>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band2Vert">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firstCol">
      <w:pPr>
        <w:pBdr/>
        <w:spacing/>
        <w:ind/>
      </w:pPr>
      <w:rPr>
        <w:rFonts w:ascii="Arial" w:hAnsi="Arial"/>
        <w:color w:val="f2f2f2"/>
        <w:sz w:val="22"/>
      </w:rPr>
      <w:tblPr>
        <w:tblBorders/>
      </w:tblPr>
      <w:tcPr>
        <w:tcBorders/>
        <w:shd w:color="ffffff" w:fill="7f7f7f" w:themeColor="text1" w:themeFill="text1" w:themeFillTint="000080" w:themeTint="000080" w:val="clear"/>
      </w:tcPr>
    </w:tblStylePr>
    <w:tblStylePr w:type="firstRow">
      <w:pPr>
        <w:pBdr/>
        <w:spacing/>
        <w:ind/>
      </w:pPr>
      <w:rPr>
        <w:rFonts w:ascii="Arial" w:hAnsi="Arial"/>
        <w:color w:val="f2f2f2"/>
        <w:sz w:val="22"/>
      </w:rPr>
      <w:tblPr>
        <w:tblBorders/>
      </w:tblPr>
      <w:tcPr>
        <w:tcBorders/>
        <w:shd w:color="ffffff" w:fill="7f7f7f" w:themeColor="text1" w:themeFill="text1" w:themeFillTint="000080" w:themeTint="000080" w:val="clear"/>
      </w:tcPr>
    </w:tblStylePr>
    <w:tblStylePr w:type="lastCol">
      <w:pPr>
        <w:pBdr/>
        <w:spacing/>
        <w:ind/>
      </w:pPr>
      <w:rPr>
        <w:rFonts w:ascii="Arial" w:hAnsi="Arial"/>
        <w:color w:val="f2f2f2"/>
        <w:sz w:val="22"/>
      </w:rPr>
      <w:tblPr>
        <w:tblBorders/>
      </w:tblPr>
      <w:tcPr>
        <w:tcBorders/>
        <w:shd w:color="ffffff" w:fill="7f7f7f" w:themeColor="text1" w:themeFill="text1" w:themeFillTint="000080" w:themeTint="000080" w:val="clear"/>
      </w:tcPr>
    </w:tblStylePr>
    <w:tblStylePr w:type="lastRow">
      <w:pPr>
        <w:pBdr/>
        <w:spacing/>
        <w:ind/>
      </w:pPr>
      <w:rPr>
        <w:rFonts w:ascii="Arial" w:hAnsi="Arial"/>
        <w:color w:val="f2f2f2"/>
        <w:sz w:val="22"/>
      </w:rPr>
      <w:tblPr>
        <w:tblBorders/>
      </w:tblPr>
      <w:tcPr>
        <w:tcBorders/>
        <w:shd w:color="ffffff" w:fill="7f7f7f" w:themeColor="text1" w:themeFill="text1" w:themeFillTint="000080" w:themeTint="000080"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ned - Accent 1"/>
    <w:basedOn w:val="907"/>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cce0f2" w:themeColor="accent1" w:themeFill="accent1" w:themeFillTint="000050" w:themeTint="000050" w:val="clear"/>
      </w:tcPr>
    </w:tblStylePr>
    <w:tblStylePr w:type="band2Vert">
      <w:pPr>
        <w:pBdr/>
        <w:spacing/>
        <w:ind/>
      </w:pPr>
      <w:rPr>
        <w:rFonts w:ascii="Arial" w:hAnsi="Arial"/>
        <w:color w:val="404040"/>
        <w:sz w:val="22"/>
      </w:rPr>
      <w:tblPr>
        <w:tblBorders/>
      </w:tblPr>
      <w:tcPr>
        <w:tcBorders/>
        <w:shd w:color="ffffff" w:fill="cce0f2" w:themeColor="accent1" w:themeFill="accent1" w:themeFillTint="000050" w:themeTint="000050" w:val="clear"/>
      </w:tcPr>
    </w:tblStylePr>
    <w:tblStylePr w:type="firstCol">
      <w:pPr>
        <w:pBdr/>
        <w:spacing/>
        <w:ind/>
      </w:pPr>
      <w:rPr>
        <w:rFonts w:ascii="Arial" w:hAnsi="Arial"/>
        <w:color w:val="f2f2f2"/>
        <w:sz w:val="22"/>
      </w:rPr>
      <w:tblPr>
        <w:tblBorders/>
      </w:tblPr>
      <w:tcPr>
        <w:tcBorders/>
        <w:shd w:color="ffffff" w:fill="69a3d8" w:themeColor="accent1" w:themeFill="accent1" w:themeFillTint="0000EA" w:themeTint="0000EA" w:val="clear"/>
      </w:tcPr>
    </w:tblStylePr>
    <w:tblStylePr w:type="firstRow">
      <w:pPr>
        <w:pBdr/>
        <w:spacing/>
        <w:ind/>
      </w:pPr>
      <w:rPr>
        <w:rFonts w:ascii="Arial" w:hAnsi="Arial"/>
        <w:color w:val="f2f2f2"/>
        <w:sz w:val="22"/>
      </w:rPr>
      <w:tblPr>
        <w:tblBorders/>
      </w:tblPr>
      <w:tcPr>
        <w:tcBorders/>
        <w:shd w:color="ffffff" w:fill="69a3d8" w:themeColor="accent1" w:themeFill="accent1" w:themeFillTint="0000EA" w:themeTint="0000EA" w:val="clear"/>
      </w:tcPr>
    </w:tblStylePr>
    <w:tblStylePr w:type="lastCol">
      <w:pPr>
        <w:pBdr/>
        <w:spacing/>
        <w:ind/>
      </w:pPr>
      <w:rPr>
        <w:rFonts w:ascii="Arial" w:hAnsi="Arial"/>
        <w:color w:val="f2f2f2"/>
        <w:sz w:val="22"/>
      </w:rPr>
      <w:tblPr>
        <w:tblBorders/>
      </w:tblPr>
      <w:tcPr>
        <w:tcBorders/>
        <w:shd w:color="ffffff" w:fill="69a3d8" w:themeColor="accent1" w:themeFill="accent1" w:themeFillTint="0000EA" w:themeTint="0000EA" w:val="clear"/>
      </w:tcPr>
    </w:tblStylePr>
    <w:tblStylePr w:type="lastRow">
      <w:pPr>
        <w:pBdr/>
        <w:spacing/>
        <w:ind/>
      </w:pPr>
      <w:rPr>
        <w:rFonts w:ascii="Arial" w:hAnsi="Arial"/>
        <w:color w:val="f2f2f2"/>
        <w:sz w:val="22"/>
      </w:rPr>
      <w:tblPr>
        <w:tblBorders/>
      </w:tblPr>
      <w:tcPr>
        <w:tcBorders/>
        <w:shd w:color="ffffff" w:fill="69a3d8" w:themeColor="accent1" w:themeFill="accent1" w:themeFillTint="0000EA" w:themeTint="0000EA"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ned - Accent 2"/>
    <w:basedOn w:val="907"/>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fbe6d7" w:themeColor="accent2" w:themeFill="accent2" w:themeFillTint="000032" w:themeTint="000032" w:val="clear"/>
      </w:tcPr>
    </w:tblStylePr>
    <w:tblStylePr w:type="band2Vert">
      <w:pPr>
        <w:pBdr/>
        <w:spacing/>
        <w:ind/>
      </w:pPr>
      <w:rPr>
        <w:rFonts w:ascii="Arial" w:hAnsi="Arial"/>
        <w:color w:val="404040"/>
        <w:sz w:val="22"/>
      </w:rPr>
      <w:tblPr>
        <w:tblBorders/>
      </w:tblPr>
      <w:tcPr>
        <w:tcBorders/>
        <w:shd w:color="ffffff" w:fill="fbe6d7" w:themeColor="accent2" w:themeFill="accent2" w:themeFillTint="000032" w:themeTint="000032" w:val="clear"/>
      </w:tcPr>
    </w:tblStylePr>
    <w:tblStylePr w:type="firstCol">
      <w:pPr>
        <w:pBdr/>
        <w:spacing/>
        <w:ind/>
      </w:pPr>
      <w:rPr>
        <w:rFonts w:ascii="Arial" w:hAnsi="Arial"/>
        <w:color w:val="f2f2f2"/>
        <w:sz w:val="22"/>
      </w:rPr>
      <w:tblPr>
        <w:tblBorders/>
      </w:tblPr>
      <w:tcPr>
        <w:tcBorders/>
        <w:shd w:color="ffffff" w:fill="f4b285" w:themeColor="accent2" w:themeFill="accent2" w:themeFillTint="000097" w:themeTint="000097" w:val="clear"/>
      </w:tcPr>
    </w:tblStylePr>
    <w:tblStylePr w:type="firstRow">
      <w:pPr>
        <w:pBdr/>
        <w:spacing/>
        <w:ind/>
      </w:pPr>
      <w:rPr>
        <w:rFonts w:ascii="Arial" w:hAnsi="Arial"/>
        <w:color w:val="f2f2f2"/>
        <w:sz w:val="22"/>
      </w:rPr>
      <w:tblPr>
        <w:tblBorders/>
      </w:tblPr>
      <w:tcPr>
        <w:tcBorders/>
        <w:shd w:color="ffffff" w:fill="f4b285" w:themeColor="accent2" w:themeFill="accent2" w:themeFillTint="000097" w:themeTint="000097" w:val="clear"/>
      </w:tcPr>
    </w:tblStylePr>
    <w:tblStylePr w:type="lastCol">
      <w:pPr>
        <w:pBdr/>
        <w:spacing/>
        <w:ind/>
      </w:pPr>
      <w:rPr>
        <w:rFonts w:ascii="Arial" w:hAnsi="Arial"/>
        <w:color w:val="f2f2f2"/>
        <w:sz w:val="22"/>
      </w:rPr>
      <w:tblPr>
        <w:tblBorders/>
      </w:tblPr>
      <w:tcPr>
        <w:tcBorders/>
        <w:shd w:color="ffffff" w:fill="f4b285" w:themeColor="accent2" w:themeFill="accent2" w:themeFillTint="000097" w:themeTint="000097" w:val="clear"/>
      </w:tcPr>
    </w:tblStylePr>
    <w:tblStylePr w:type="lastRow">
      <w:pPr>
        <w:pBdr/>
        <w:spacing/>
        <w:ind/>
      </w:pPr>
      <w:rPr>
        <w:rFonts w:ascii="Arial" w:hAnsi="Arial"/>
        <w:color w:val="f2f2f2"/>
        <w:sz w:val="22"/>
      </w:rPr>
      <w:tblPr>
        <w:tblBorders/>
      </w:tblPr>
      <w:tcPr>
        <w:tcBorders/>
        <w:shd w:color="ffffff" w:fill="f4b285" w:themeColor="accent2" w:themeFill="accent2" w:themeFillTint="000097" w:themeTint="000097"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ned - Accent 3"/>
    <w:basedOn w:val="907"/>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ededed" w:themeColor="accent3" w:themeFill="accent3" w:themeFillTint="000034" w:themeTint="000034" w:val="clear"/>
      </w:tcPr>
    </w:tblStylePr>
    <w:tblStylePr w:type="band2Vert">
      <w:pPr>
        <w:pBdr/>
        <w:spacing/>
        <w:ind/>
      </w:pPr>
      <w:rPr>
        <w:rFonts w:ascii="Arial" w:hAnsi="Arial"/>
        <w:color w:val="404040"/>
        <w:sz w:val="22"/>
      </w:rPr>
      <w:tblPr>
        <w:tblBorders/>
      </w:tblPr>
      <w:tcPr>
        <w:tcBorders/>
        <w:shd w:color="ffffff" w:fill="ededed" w:themeColor="accent3" w:themeFill="accent3" w:themeFillTint="000034" w:themeTint="000034" w:val="clear"/>
      </w:tcPr>
    </w:tblStylePr>
    <w:tblStylePr w:type="firstCol">
      <w:pPr>
        <w:pBdr/>
        <w:spacing/>
        <w:ind/>
      </w:pPr>
      <w:rPr>
        <w:rFonts w:ascii="Arial" w:hAnsi="Arial"/>
        <w:color w:val="f2f2f2"/>
        <w:sz w:val="22"/>
      </w:rPr>
      <w:tblPr>
        <w:tblBorders/>
      </w:tblPr>
      <w:tcPr>
        <w:tcBorders/>
        <w:shd w:color="ffffff" w:fill="a5a5a5" w:themeColor="accent3" w:themeFill="accent3" w:themeFillTint="0000FE" w:themeTint="0000FE" w:val="clear"/>
      </w:tcPr>
    </w:tblStylePr>
    <w:tblStylePr w:type="firstRow">
      <w:pPr>
        <w:pBdr/>
        <w:spacing/>
        <w:ind/>
      </w:pPr>
      <w:rPr>
        <w:rFonts w:ascii="Arial" w:hAnsi="Arial"/>
        <w:color w:val="f2f2f2"/>
        <w:sz w:val="22"/>
      </w:rPr>
      <w:tblPr>
        <w:tblBorders/>
      </w:tblPr>
      <w:tcPr>
        <w:tcBorders/>
        <w:shd w:color="ffffff" w:fill="a5a5a5" w:themeColor="accent3" w:themeFill="accent3" w:themeFillTint="0000FE" w:themeTint="0000FE" w:val="clear"/>
      </w:tcPr>
    </w:tblStylePr>
    <w:tblStylePr w:type="lastCol">
      <w:pPr>
        <w:pBdr/>
        <w:spacing/>
        <w:ind/>
      </w:pPr>
      <w:rPr>
        <w:rFonts w:ascii="Arial" w:hAnsi="Arial"/>
        <w:color w:val="f2f2f2"/>
        <w:sz w:val="22"/>
      </w:rPr>
      <w:tblPr>
        <w:tblBorders/>
      </w:tblPr>
      <w:tcPr>
        <w:tcBorders/>
        <w:shd w:color="ffffff" w:fill="a5a5a5" w:themeColor="accent3" w:themeFill="accent3" w:themeFillTint="0000FE" w:themeTint="0000FE" w:val="clear"/>
      </w:tcPr>
    </w:tblStylePr>
    <w:tblStylePr w:type="lastRow">
      <w:pPr>
        <w:pBdr/>
        <w:spacing/>
        <w:ind/>
      </w:pPr>
      <w:rPr>
        <w:rFonts w:ascii="Arial" w:hAnsi="Arial"/>
        <w:color w:val="f2f2f2"/>
        <w:sz w:val="22"/>
      </w:rPr>
      <w:tblPr>
        <w:tblBorders/>
      </w:tblPr>
      <w:tcPr>
        <w:tcBorders/>
        <w:shd w:color="ffffff" w:fill="a5a5a5" w:themeColor="accent3" w:themeFill="accent3" w:themeFillTint="0000FE" w:themeTint="0000FE"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4"/>
    <w:basedOn w:val="907"/>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fff2cb" w:themeColor="accent4" w:themeFill="accent4" w:themeFillTint="000034" w:themeTint="000034" w:val="clear"/>
      </w:tcPr>
    </w:tblStylePr>
    <w:tblStylePr w:type="band2Vert">
      <w:pPr>
        <w:pBdr/>
        <w:spacing/>
        <w:ind/>
      </w:pPr>
      <w:rPr>
        <w:rFonts w:ascii="Arial" w:hAnsi="Arial"/>
        <w:color w:val="404040"/>
        <w:sz w:val="22"/>
      </w:rPr>
      <w:tblPr>
        <w:tblBorders/>
      </w:tblPr>
      <w:tcPr>
        <w:tcBorders/>
        <w:shd w:color="ffffff" w:fill="fff2cb" w:themeColor="accent4" w:themeFill="accent4" w:themeFillTint="000034" w:themeTint="000034" w:val="clear"/>
      </w:tcPr>
    </w:tblStylePr>
    <w:tblStylePr w:type="firstCol">
      <w:pPr>
        <w:pBdr/>
        <w:spacing/>
        <w:ind/>
      </w:pPr>
      <w:rPr>
        <w:rFonts w:ascii="Arial" w:hAnsi="Arial"/>
        <w:color w:val="f2f2f2"/>
        <w:sz w:val="22"/>
      </w:rPr>
      <w:tblPr>
        <w:tblBorders/>
      </w:tblPr>
      <w:tcPr>
        <w:tcBorders/>
        <w:shd w:color="ffffff" w:fill="ffd965" w:themeColor="accent4" w:themeFill="accent4" w:themeFillTint="00009A" w:themeTint="00009A" w:val="clear"/>
      </w:tcPr>
    </w:tblStylePr>
    <w:tblStylePr w:type="firstRow">
      <w:pPr>
        <w:pBdr/>
        <w:spacing/>
        <w:ind/>
      </w:pPr>
      <w:rPr>
        <w:rFonts w:ascii="Arial" w:hAnsi="Arial"/>
        <w:color w:val="f2f2f2"/>
        <w:sz w:val="22"/>
      </w:rPr>
      <w:tblPr>
        <w:tblBorders/>
      </w:tblPr>
      <w:tcPr>
        <w:tcBorders/>
        <w:shd w:color="ffffff" w:fill="ffd965" w:themeColor="accent4" w:themeFill="accent4" w:themeFillTint="00009A" w:themeTint="00009A" w:val="clear"/>
      </w:tcPr>
    </w:tblStylePr>
    <w:tblStylePr w:type="lastCol">
      <w:pPr>
        <w:pBdr/>
        <w:spacing/>
        <w:ind/>
      </w:pPr>
      <w:rPr>
        <w:rFonts w:ascii="Arial" w:hAnsi="Arial"/>
        <w:color w:val="f2f2f2"/>
        <w:sz w:val="22"/>
      </w:rPr>
      <w:tblPr>
        <w:tblBorders/>
      </w:tblPr>
      <w:tcPr>
        <w:tcBorders/>
        <w:shd w:color="ffffff" w:fill="ffd965" w:themeColor="accent4" w:themeFill="accent4" w:themeFillTint="00009A" w:themeTint="00009A" w:val="clear"/>
      </w:tcPr>
    </w:tblStylePr>
    <w:tblStylePr w:type="lastRow">
      <w:pPr>
        <w:pBdr/>
        <w:spacing/>
        <w:ind/>
      </w:pPr>
      <w:rPr>
        <w:rFonts w:ascii="Arial" w:hAnsi="Arial"/>
        <w:color w:val="f2f2f2"/>
        <w:sz w:val="22"/>
      </w:rPr>
      <w:tblPr>
        <w:tblBorders/>
      </w:tblPr>
      <w:tcPr>
        <w:tcBorders/>
        <w:shd w:color="ffffff" w:fill="ffd965" w:themeColor="accent4" w:themeFill="accent4" w:themeFillTint="00009A" w:themeTint="00009A"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5"/>
    <w:basedOn w:val="907"/>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d9e2f3" w:themeColor="accent5" w:themeFill="accent5" w:themeFillTint="000034" w:themeTint="000034" w:val="clear"/>
      </w:tcPr>
    </w:tblStylePr>
    <w:tblStylePr w:type="band2Vert">
      <w:pPr>
        <w:pBdr/>
        <w:spacing/>
        <w:ind/>
      </w:pPr>
      <w:rPr>
        <w:rFonts w:ascii="Arial" w:hAnsi="Arial"/>
        <w:color w:val="404040"/>
        <w:sz w:val="22"/>
      </w:rPr>
      <w:tblPr>
        <w:tblBorders/>
      </w:tblPr>
      <w:tcPr>
        <w:tcBorders/>
        <w:shd w:color="ffffff" w:fill="d9e2f3" w:themeColor="accent5" w:themeFill="accent5" w:themeFillTint="000034" w:themeTint="000034" w:val="clear"/>
      </w:tcPr>
    </w:tblStylePr>
    <w:tblStylePr w:type="firstCol">
      <w:pPr>
        <w:pBdr/>
        <w:spacing/>
        <w:ind/>
      </w:pPr>
      <w:rPr>
        <w:rFonts w:ascii="Arial" w:hAnsi="Arial"/>
        <w:color w:val="f2f2f2"/>
        <w:sz w:val="22"/>
      </w:rPr>
      <w:tblPr>
        <w:tblBorders/>
      </w:tblPr>
      <w:tcPr>
        <w:tcBorders/>
        <w:shd w:color="ffffff" w:fill="4472c4" w:themeColor="accent5" w:themeFill="accent5" w:val="clear"/>
      </w:tcPr>
    </w:tblStylePr>
    <w:tblStylePr w:type="firstRow">
      <w:pPr>
        <w:pBdr/>
        <w:spacing/>
        <w:ind/>
      </w:pPr>
      <w:rPr>
        <w:rFonts w:ascii="Arial" w:hAnsi="Arial"/>
        <w:color w:val="f2f2f2"/>
        <w:sz w:val="22"/>
      </w:rPr>
      <w:tblPr>
        <w:tblBorders/>
      </w:tblPr>
      <w:tcPr>
        <w:tcBorders/>
        <w:shd w:color="ffffff" w:fill="4472c4" w:themeColor="accent5" w:themeFill="accent5" w:val="clear"/>
      </w:tcPr>
    </w:tblStylePr>
    <w:tblStylePr w:type="lastCol">
      <w:pPr>
        <w:pBdr/>
        <w:spacing/>
        <w:ind/>
      </w:pPr>
      <w:rPr>
        <w:rFonts w:ascii="Arial" w:hAnsi="Arial"/>
        <w:color w:val="f2f2f2"/>
        <w:sz w:val="22"/>
      </w:rPr>
      <w:tblPr>
        <w:tblBorders/>
      </w:tblPr>
      <w:tcPr>
        <w:tcBorders/>
        <w:shd w:color="ffffff" w:fill="4472c4" w:themeColor="accent5" w:themeFill="accent5" w:val="clear"/>
      </w:tcPr>
    </w:tblStylePr>
    <w:tblStylePr w:type="lastRow">
      <w:pPr>
        <w:pBdr/>
        <w:spacing/>
        <w:ind/>
      </w:pPr>
      <w:rPr>
        <w:rFonts w:ascii="Arial" w:hAnsi="Arial"/>
        <w:color w:val="f2f2f2"/>
        <w:sz w:val="22"/>
      </w:rPr>
      <w:tblPr>
        <w:tblBorders/>
      </w:tblPr>
      <w:tcPr>
        <w:tcBorders/>
        <w:shd w:color="ffffff" w:fill="4472c4" w:themeColor="accent5" w:themeFill="accent5"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6"/>
    <w:basedOn w:val="907"/>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e2efd9" w:themeColor="accent6" w:themeFill="accent6" w:themeFillTint="000034" w:themeTint="000034" w:val="clear"/>
      </w:tcPr>
    </w:tblStylePr>
    <w:tblStylePr w:type="band2Vert">
      <w:pPr>
        <w:pBdr/>
        <w:spacing/>
        <w:ind/>
      </w:pPr>
      <w:rPr>
        <w:rFonts w:ascii="Arial" w:hAnsi="Arial"/>
        <w:color w:val="404040"/>
        <w:sz w:val="22"/>
      </w:rPr>
      <w:tblPr>
        <w:tblBorders/>
      </w:tblPr>
      <w:tcPr>
        <w:tcBorders/>
        <w:shd w:color="ffffff" w:fill="e2efd9" w:themeColor="accent6" w:themeFill="accent6" w:themeFillTint="000034" w:themeTint="000034" w:val="clear"/>
      </w:tcPr>
    </w:tblStylePr>
    <w:tblStylePr w:type="firstCol">
      <w:pPr>
        <w:pBdr/>
        <w:spacing/>
        <w:ind/>
      </w:pPr>
      <w:rPr>
        <w:rFonts w:ascii="Arial" w:hAnsi="Arial"/>
        <w:color w:val="f2f2f2"/>
        <w:sz w:val="22"/>
      </w:rPr>
      <w:tblPr>
        <w:tblBorders/>
      </w:tblPr>
      <w:tcPr>
        <w:tcBorders/>
        <w:shd w:color="ffffff" w:fill="70ad47" w:themeColor="accent6" w:themeFill="accent6" w:val="clear"/>
      </w:tcPr>
    </w:tblStylePr>
    <w:tblStylePr w:type="firstRow">
      <w:pPr>
        <w:pBdr/>
        <w:spacing/>
        <w:ind/>
      </w:pPr>
      <w:rPr>
        <w:rFonts w:ascii="Arial" w:hAnsi="Arial"/>
        <w:color w:val="f2f2f2"/>
        <w:sz w:val="22"/>
      </w:rPr>
      <w:tblPr>
        <w:tblBorders/>
      </w:tblPr>
      <w:tcPr>
        <w:tcBorders/>
        <w:shd w:color="ffffff" w:fill="70ad47" w:themeColor="accent6" w:themeFill="accent6" w:val="clear"/>
      </w:tcPr>
    </w:tblStylePr>
    <w:tblStylePr w:type="lastCol">
      <w:pPr>
        <w:pBdr/>
        <w:spacing/>
        <w:ind/>
      </w:pPr>
      <w:rPr>
        <w:rFonts w:ascii="Arial" w:hAnsi="Arial"/>
        <w:color w:val="f2f2f2"/>
        <w:sz w:val="22"/>
      </w:rPr>
      <w:tblPr>
        <w:tblBorders/>
      </w:tblPr>
      <w:tcPr>
        <w:tcBorders/>
        <w:shd w:color="ffffff" w:fill="70ad47" w:themeColor="accent6" w:themeFill="accent6" w:val="clear"/>
      </w:tcPr>
    </w:tblStylePr>
    <w:tblStylePr w:type="lastRow">
      <w:pPr>
        <w:pBdr/>
        <w:spacing/>
        <w:ind/>
      </w:pPr>
      <w:rPr>
        <w:rFonts w:ascii="Arial" w:hAnsi="Arial"/>
        <w:color w:val="f2f2f2"/>
        <w:sz w:val="22"/>
      </w:rPr>
      <w:tblPr>
        <w:tblBorders/>
      </w:tblPr>
      <w:tcPr>
        <w:tcBorders/>
        <w:shd w:color="ffffff" w:fill="70ad47" w:themeColor="accent6" w:themeFill="accent6"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amp; Lined - Accent"/>
    <w:basedOn w:val="907"/>
    <w:uiPriority w:val="99"/>
    <w:pPr>
      <w:pBdr/>
      <w:spacing w:after="0" w:line="240" w:lineRule="auto"/>
      <w:ind/>
    </w:pPr>
    <w:rPr>
      <w:color w:val="404040"/>
    </w:rPr>
    <w:tblPr>
      <w:tblStyleRowBandSize w:val="1"/>
      <w:tblStyleColBandSize w:val="1"/>
      <w:tblInd w:w="0.0" w:type="dxa"/>
      <w:tblBorders>
        <w:top w:color="000000" w:space="0" w:sz="4" w:themeColor="text1" w:themeTint="0000A6" w:val="single"/>
        <w:left w:color="000000" w:space="0" w:sz="4" w:themeColor="text1" w:themeTint="0000A6" w:val="single"/>
        <w:bottom w:color="000000" w:space="0" w:sz="4" w:themeColor="text1" w:themeTint="0000A6" w:val="single"/>
        <w:right w:color="000000" w:space="0" w:sz="4" w:themeColor="text1" w:themeTint="0000A6" w:val="single"/>
        <w:insideH w:color="000000" w:space="0" w:sz="4" w:themeColor="text1" w:themeTint="0000A6" w:val="single"/>
        <w:insideV w:color="000000" w:space="0" w:sz="4" w:themeColor="text1" w:themeTint="0000A6"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band2Vert">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firstCol">
      <w:pPr>
        <w:pBdr/>
        <w:spacing/>
        <w:ind/>
      </w:pPr>
      <w:rPr>
        <w:rFonts w:ascii="Arial" w:hAnsi="Arial"/>
        <w:color w:val="f2f2f2"/>
        <w:sz w:val="22"/>
      </w:rPr>
      <w:tblPr>
        <w:tblBorders/>
      </w:tblPr>
      <w:tcPr>
        <w:tcBorders/>
        <w:shd w:color="ffffff" w:fill="7f7f7f" w:themeColor="text1" w:themeFill="text1" w:themeFillTint="000080" w:themeTint="000080" w:val="clear"/>
      </w:tcPr>
    </w:tblStylePr>
    <w:tblStylePr w:type="firstRow">
      <w:pPr>
        <w:pBdr/>
        <w:spacing/>
        <w:ind/>
      </w:pPr>
      <w:rPr>
        <w:rFonts w:ascii="Arial" w:hAnsi="Arial"/>
        <w:color w:val="f2f2f2"/>
        <w:sz w:val="22"/>
      </w:rPr>
      <w:tblPr>
        <w:tblBorders/>
      </w:tblPr>
      <w:tcPr>
        <w:tcBorders/>
        <w:shd w:color="ffffff" w:fill="7f7f7f" w:themeColor="text1" w:themeFill="text1" w:themeFillTint="000080" w:themeTint="000080" w:val="clear"/>
      </w:tcPr>
    </w:tblStylePr>
    <w:tblStylePr w:type="lastCol">
      <w:pPr>
        <w:pBdr/>
        <w:spacing/>
        <w:ind/>
      </w:pPr>
      <w:rPr>
        <w:rFonts w:ascii="Arial" w:hAnsi="Arial"/>
        <w:color w:val="f2f2f2"/>
        <w:sz w:val="22"/>
      </w:rPr>
      <w:tblPr>
        <w:tblBorders/>
      </w:tblPr>
      <w:tcPr>
        <w:tcBorders/>
        <w:shd w:color="ffffff" w:fill="7f7f7f" w:themeColor="text1" w:themeFill="text1" w:themeFillTint="000080" w:themeTint="000080" w:val="clear"/>
      </w:tcPr>
    </w:tblStylePr>
    <w:tblStylePr w:type="lastRow">
      <w:pPr>
        <w:pBdr/>
        <w:spacing/>
        <w:ind/>
      </w:pPr>
      <w:rPr>
        <w:rFonts w:ascii="Arial" w:hAnsi="Arial"/>
        <w:color w:val="f2f2f2"/>
        <w:sz w:val="22"/>
      </w:rPr>
      <w:tblPr>
        <w:tblBorders/>
      </w:tblPr>
      <w:tcPr>
        <w:tcBorders/>
        <w:shd w:color="ffffff" w:fill="7f7f7f" w:themeColor="text1" w:themeFill="text1" w:themeFillTint="000080" w:themeTint="000080"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amp; Lined - Accent 1"/>
    <w:basedOn w:val="907"/>
    <w:uiPriority w:val="99"/>
    <w:pPr>
      <w:pBdr/>
      <w:spacing w:after="0" w:line="240" w:lineRule="auto"/>
      <w:ind/>
    </w:pPr>
    <w:rPr>
      <w:color w:val="404040"/>
    </w:rPr>
    <w:tblPr>
      <w:tblStyleRowBandSize w:val="1"/>
      <w:tblStyleColBandSize w:val="1"/>
      <w:tblInd w:w="0.0" w:type="dxa"/>
      <w:tblBorders>
        <w:top w:color="000000" w:space="0" w:sz="4" w:themeColor="accent1" w:themeShade="000095" w:val="single"/>
        <w:left w:color="000000" w:space="0" w:sz="4" w:themeColor="accent1" w:themeShade="000095" w:val="single"/>
        <w:bottom w:color="000000" w:space="0" w:sz="4" w:themeColor="accent1" w:themeShade="000095" w:val="single"/>
        <w:right w:color="000000" w:space="0" w:sz="4" w:themeColor="accent1" w:themeShade="000095" w:val="single"/>
        <w:insideH w:color="000000" w:space="0" w:sz="4" w:themeColor="accent1" w:themeShade="000095" w:val="single"/>
        <w:insideV w:color="000000" w:space="0" w:sz="4" w:themeColor="accent1" w:themeShade="000095"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cce0f2" w:themeColor="accent1" w:themeFill="accent1" w:themeFillTint="000050" w:themeTint="000050" w:val="clear"/>
      </w:tcPr>
    </w:tblStylePr>
    <w:tblStylePr w:type="band2Vert">
      <w:pPr>
        <w:pBdr/>
        <w:spacing/>
        <w:ind/>
      </w:pPr>
      <w:rPr>
        <w:rFonts w:ascii="Arial" w:hAnsi="Arial"/>
        <w:color w:val="404040"/>
        <w:sz w:val="22"/>
      </w:rPr>
      <w:tblPr>
        <w:tblBorders/>
      </w:tblPr>
      <w:tcPr>
        <w:tcBorders/>
        <w:shd w:color="ffffff" w:fill="cce0f2" w:themeColor="accent1" w:themeFill="accent1" w:themeFillTint="000050" w:themeTint="000050" w:val="clear"/>
      </w:tcPr>
    </w:tblStylePr>
    <w:tblStylePr w:type="firstCol">
      <w:pPr>
        <w:pBdr/>
        <w:spacing/>
        <w:ind/>
      </w:pPr>
      <w:rPr>
        <w:rFonts w:ascii="Arial" w:hAnsi="Arial"/>
        <w:color w:val="f2f2f2"/>
        <w:sz w:val="22"/>
      </w:rPr>
      <w:tblPr>
        <w:tblBorders/>
      </w:tblPr>
      <w:tcPr>
        <w:tcBorders/>
        <w:shd w:color="ffffff" w:fill="69a3d8" w:themeColor="accent1" w:themeFill="accent1" w:themeFillTint="0000EA" w:themeTint="0000EA" w:val="clear"/>
      </w:tcPr>
    </w:tblStylePr>
    <w:tblStylePr w:type="firstRow">
      <w:pPr>
        <w:pBdr/>
        <w:spacing/>
        <w:ind/>
      </w:pPr>
      <w:rPr>
        <w:rFonts w:ascii="Arial" w:hAnsi="Arial"/>
        <w:color w:val="f2f2f2"/>
        <w:sz w:val="22"/>
      </w:rPr>
      <w:tblPr>
        <w:tblBorders/>
      </w:tblPr>
      <w:tcPr>
        <w:tcBorders/>
        <w:shd w:color="ffffff" w:fill="69a3d8" w:themeColor="accent1" w:themeFill="accent1" w:themeFillTint="0000EA" w:themeTint="0000EA" w:val="clear"/>
      </w:tcPr>
    </w:tblStylePr>
    <w:tblStylePr w:type="lastCol">
      <w:pPr>
        <w:pBdr/>
        <w:spacing/>
        <w:ind/>
      </w:pPr>
      <w:rPr>
        <w:rFonts w:ascii="Arial" w:hAnsi="Arial"/>
        <w:color w:val="f2f2f2"/>
        <w:sz w:val="22"/>
      </w:rPr>
      <w:tblPr>
        <w:tblBorders/>
      </w:tblPr>
      <w:tcPr>
        <w:tcBorders/>
        <w:shd w:color="ffffff" w:fill="69a3d8" w:themeColor="accent1" w:themeFill="accent1" w:themeFillTint="0000EA" w:themeTint="0000EA" w:val="clear"/>
      </w:tcPr>
    </w:tblStylePr>
    <w:tblStylePr w:type="lastRow">
      <w:pPr>
        <w:pBdr/>
        <w:spacing/>
        <w:ind/>
      </w:pPr>
      <w:rPr>
        <w:rFonts w:ascii="Arial" w:hAnsi="Arial"/>
        <w:color w:val="f2f2f2"/>
        <w:sz w:val="22"/>
      </w:rPr>
      <w:tblPr>
        <w:tblBorders/>
      </w:tblPr>
      <w:tcPr>
        <w:tcBorders/>
        <w:shd w:color="ffffff" w:fill="69a3d8" w:themeColor="accent1" w:themeFill="accent1" w:themeFillTint="0000EA" w:themeTint="0000EA"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amp; Lined - Accent 2"/>
    <w:basedOn w:val="907"/>
    <w:uiPriority w:val="99"/>
    <w:pPr>
      <w:pBdr/>
      <w:spacing w:after="0" w:line="240" w:lineRule="auto"/>
      <w:ind/>
    </w:pPr>
    <w:rPr>
      <w:color w:val="404040"/>
    </w:rPr>
    <w:tblPr>
      <w:tblStyleRowBandSize w:val="1"/>
      <w:tblStyleColBandSize w:val="1"/>
      <w:tblInd w:w="0.0" w:type="dxa"/>
      <w:tblBorders>
        <w:top w:color="000000" w:space="0" w:sz="4" w:themeColor="accent2" w:themeShade="000095" w:val="single"/>
        <w:left w:color="000000" w:space="0" w:sz="4" w:themeColor="accent2" w:themeShade="000095" w:val="single"/>
        <w:bottom w:color="000000" w:space="0" w:sz="4" w:themeColor="accent2" w:themeShade="000095" w:val="single"/>
        <w:right w:color="000000" w:space="0" w:sz="4" w:themeColor="accent2" w:themeShade="000095" w:val="single"/>
        <w:insideH w:color="000000" w:space="0" w:sz="4" w:themeColor="accent2" w:themeShade="000095" w:val="single"/>
        <w:insideV w:color="000000" w:space="0" w:sz="4" w:themeColor="accent2" w:themeShade="000095"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fbe6d7" w:themeColor="accent2" w:themeFill="accent2" w:themeFillTint="000032" w:themeTint="000032" w:val="clear"/>
      </w:tcPr>
    </w:tblStylePr>
    <w:tblStylePr w:type="band2Vert">
      <w:pPr>
        <w:pBdr/>
        <w:spacing/>
        <w:ind/>
      </w:pPr>
      <w:rPr>
        <w:rFonts w:ascii="Arial" w:hAnsi="Arial"/>
        <w:color w:val="404040"/>
        <w:sz w:val="22"/>
      </w:rPr>
      <w:tblPr>
        <w:tblBorders/>
      </w:tblPr>
      <w:tcPr>
        <w:tcBorders/>
        <w:shd w:color="ffffff" w:fill="fbe6d7" w:themeColor="accent2" w:themeFill="accent2" w:themeFillTint="000032" w:themeTint="000032" w:val="clear"/>
      </w:tcPr>
    </w:tblStylePr>
    <w:tblStylePr w:type="firstCol">
      <w:pPr>
        <w:pBdr/>
        <w:spacing/>
        <w:ind/>
      </w:pPr>
      <w:rPr>
        <w:rFonts w:ascii="Arial" w:hAnsi="Arial"/>
        <w:color w:val="f2f2f2"/>
        <w:sz w:val="22"/>
      </w:rPr>
      <w:tblPr>
        <w:tblBorders/>
      </w:tblPr>
      <w:tcPr>
        <w:tcBorders/>
        <w:shd w:color="ffffff" w:fill="f4b285" w:themeColor="accent2" w:themeFill="accent2" w:themeFillTint="000097" w:themeTint="000097" w:val="clear"/>
      </w:tcPr>
    </w:tblStylePr>
    <w:tblStylePr w:type="firstRow">
      <w:pPr>
        <w:pBdr/>
        <w:spacing/>
        <w:ind/>
      </w:pPr>
      <w:rPr>
        <w:rFonts w:ascii="Arial" w:hAnsi="Arial"/>
        <w:color w:val="f2f2f2"/>
        <w:sz w:val="22"/>
      </w:rPr>
      <w:tblPr>
        <w:tblBorders/>
      </w:tblPr>
      <w:tcPr>
        <w:tcBorders/>
        <w:shd w:color="ffffff" w:fill="f4b285" w:themeColor="accent2" w:themeFill="accent2" w:themeFillTint="000097" w:themeTint="000097" w:val="clear"/>
      </w:tcPr>
    </w:tblStylePr>
    <w:tblStylePr w:type="lastCol">
      <w:pPr>
        <w:pBdr/>
        <w:spacing/>
        <w:ind/>
      </w:pPr>
      <w:rPr>
        <w:rFonts w:ascii="Arial" w:hAnsi="Arial"/>
        <w:color w:val="f2f2f2"/>
        <w:sz w:val="22"/>
      </w:rPr>
      <w:tblPr>
        <w:tblBorders/>
      </w:tblPr>
      <w:tcPr>
        <w:tcBorders/>
        <w:shd w:color="ffffff" w:fill="f4b285" w:themeColor="accent2" w:themeFill="accent2" w:themeFillTint="000097" w:themeTint="000097" w:val="clear"/>
      </w:tcPr>
    </w:tblStylePr>
    <w:tblStylePr w:type="lastRow">
      <w:pPr>
        <w:pBdr/>
        <w:spacing/>
        <w:ind/>
      </w:pPr>
      <w:rPr>
        <w:rFonts w:ascii="Arial" w:hAnsi="Arial"/>
        <w:color w:val="f2f2f2"/>
        <w:sz w:val="22"/>
      </w:rPr>
      <w:tblPr>
        <w:tblBorders/>
      </w:tblPr>
      <w:tcPr>
        <w:tcBorders/>
        <w:shd w:color="ffffff" w:fill="f4b285" w:themeColor="accent2" w:themeFill="accent2" w:themeFillTint="000097" w:themeTint="000097"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3"/>
    <w:basedOn w:val="907"/>
    <w:uiPriority w:val="99"/>
    <w:pPr>
      <w:pBdr/>
      <w:spacing w:after="0" w:line="240" w:lineRule="auto"/>
      <w:ind/>
    </w:pPr>
    <w:rPr>
      <w:color w:val="404040"/>
    </w:rPr>
    <w:tblPr>
      <w:tblStyleRowBandSize w:val="1"/>
      <w:tblStyleColBandSize w:val="1"/>
      <w:tblInd w:w="0.0" w:type="dxa"/>
      <w:tblBorders>
        <w:top w:color="000000" w:space="0" w:sz="4" w:themeColor="accent3" w:themeShade="000095" w:val="single"/>
        <w:left w:color="000000" w:space="0" w:sz="4" w:themeColor="accent3" w:themeShade="000095" w:val="single"/>
        <w:bottom w:color="000000" w:space="0" w:sz="4" w:themeColor="accent3" w:themeShade="000095" w:val="single"/>
        <w:right w:color="000000" w:space="0" w:sz="4" w:themeColor="accent3" w:themeShade="000095" w:val="single"/>
        <w:insideH w:color="000000" w:space="0" w:sz="4" w:themeColor="accent3" w:themeShade="000095" w:val="single"/>
        <w:insideV w:color="000000" w:space="0" w:sz="4" w:themeColor="accent3" w:themeShade="000095"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ededed" w:themeColor="accent3" w:themeFill="accent3" w:themeFillTint="000034" w:themeTint="000034" w:val="clear"/>
      </w:tcPr>
    </w:tblStylePr>
    <w:tblStylePr w:type="band2Vert">
      <w:pPr>
        <w:pBdr/>
        <w:spacing/>
        <w:ind/>
      </w:pPr>
      <w:rPr>
        <w:rFonts w:ascii="Arial" w:hAnsi="Arial"/>
        <w:color w:val="404040"/>
        <w:sz w:val="22"/>
      </w:rPr>
      <w:tblPr>
        <w:tblBorders/>
      </w:tblPr>
      <w:tcPr>
        <w:tcBorders/>
        <w:shd w:color="ffffff" w:fill="ededed" w:themeColor="accent3" w:themeFill="accent3" w:themeFillTint="000034" w:themeTint="000034" w:val="clear"/>
      </w:tcPr>
    </w:tblStylePr>
    <w:tblStylePr w:type="firstCol">
      <w:pPr>
        <w:pBdr/>
        <w:spacing/>
        <w:ind/>
      </w:pPr>
      <w:rPr>
        <w:rFonts w:ascii="Arial" w:hAnsi="Arial"/>
        <w:color w:val="f2f2f2"/>
        <w:sz w:val="22"/>
      </w:rPr>
      <w:tblPr>
        <w:tblBorders/>
      </w:tblPr>
      <w:tcPr>
        <w:tcBorders/>
        <w:shd w:color="ffffff" w:fill="a5a5a5" w:themeColor="accent3" w:themeFill="accent3" w:themeFillTint="0000FE" w:themeTint="0000FE" w:val="clear"/>
      </w:tcPr>
    </w:tblStylePr>
    <w:tblStylePr w:type="firstRow">
      <w:pPr>
        <w:pBdr/>
        <w:spacing/>
        <w:ind/>
      </w:pPr>
      <w:rPr>
        <w:rFonts w:ascii="Arial" w:hAnsi="Arial"/>
        <w:color w:val="f2f2f2"/>
        <w:sz w:val="22"/>
      </w:rPr>
      <w:tblPr>
        <w:tblBorders/>
      </w:tblPr>
      <w:tcPr>
        <w:tcBorders/>
        <w:shd w:color="ffffff" w:fill="a5a5a5" w:themeColor="accent3" w:themeFill="accent3" w:themeFillTint="0000FE" w:themeTint="0000FE" w:val="clear"/>
      </w:tcPr>
    </w:tblStylePr>
    <w:tblStylePr w:type="lastCol">
      <w:pPr>
        <w:pBdr/>
        <w:spacing/>
        <w:ind/>
      </w:pPr>
      <w:rPr>
        <w:rFonts w:ascii="Arial" w:hAnsi="Arial"/>
        <w:color w:val="f2f2f2"/>
        <w:sz w:val="22"/>
      </w:rPr>
      <w:tblPr>
        <w:tblBorders/>
      </w:tblPr>
      <w:tcPr>
        <w:tcBorders/>
        <w:shd w:color="ffffff" w:fill="a5a5a5" w:themeColor="accent3" w:themeFill="accent3" w:themeFillTint="0000FE" w:themeTint="0000FE" w:val="clear"/>
      </w:tcPr>
    </w:tblStylePr>
    <w:tblStylePr w:type="lastRow">
      <w:pPr>
        <w:pBdr/>
        <w:spacing/>
        <w:ind/>
      </w:pPr>
      <w:rPr>
        <w:rFonts w:ascii="Arial" w:hAnsi="Arial"/>
        <w:color w:val="f2f2f2"/>
        <w:sz w:val="22"/>
      </w:rPr>
      <w:tblPr>
        <w:tblBorders/>
      </w:tblPr>
      <w:tcPr>
        <w:tcBorders/>
        <w:shd w:color="ffffff" w:fill="a5a5a5" w:themeColor="accent3" w:themeFill="accent3" w:themeFillTint="0000FE" w:themeTint="0000FE"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4"/>
    <w:basedOn w:val="907"/>
    <w:uiPriority w:val="99"/>
    <w:pPr>
      <w:pBdr/>
      <w:spacing w:after="0" w:line="240" w:lineRule="auto"/>
      <w:ind/>
    </w:pPr>
    <w:rPr>
      <w:color w:val="404040"/>
    </w:rPr>
    <w:tblPr>
      <w:tblStyleRowBandSize w:val="1"/>
      <w:tblStyleColBandSize w:val="1"/>
      <w:tblInd w:w="0.0" w:type="dxa"/>
      <w:tblBorders>
        <w:top w:color="000000" w:space="0" w:sz="4" w:themeColor="accent4" w:themeShade="000095" w:val="single"/>
        <w:left w:color="000000" w:space="0" w:sz="4" w:themeColor="accent4" w:themeShade="000095" w:val="single"/>
        <w:bottom w:color="000000" w:space="0" w:sz="4" w:themeColor="accent4" w:themeShade="000095" w:val="single"/>
        <w:right w:color="000000" w:space="0" w:sz="4" w:themeColor="accent4" w:themeShade="000095" w:val="single"/>
        <w:insideH w:color="000000" w:space="0" w:sz="4" w:themeColor="accent4" w:themeShade="000095" w:val="single"/>
        <w:insideV w:color="000000" w:space="0" w:sz="4" w:themeColor="accent4" w:themeShade="000095"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fff2cb" w:themeColor="accent4" w:themeFill="accent4" w:themeFillTint="000034" w:themeTint="000034" w:val="clear"/>
      </w:tcPr>
    </w:tblStylePr>
    <w:tblStylePr w:type="band2Vert">
      <w:pPr>
        <w:pBdr/>
        <w:spacing/>
        <w:ind/>
      </w:pPr>
      <w:rPr>
        <w:rFonts w:ascii="Arial" w:hAnsi="Arial"/>
        <w:color w:val="404040"/>
        <w:sz w:val="22"/>
      </w:rPr>
      <w:tblPr>
        <w:tblBorders/>
      </w:tblPr>
      <w:tcPr>
        <w:tcBorders/>
        <w:shd w:color="ffffff" w:fill="fff2cb" w:themeColor="accent4" w:themeFill="accent4" w:themeFillTint="000034" w:themeTint="000034" w:val="clear"/>
      </w:tcPr>
    </w:tblStylePr>
    <w:tblStylePr w:type="firstCol">
      <w:pPr>
        <w:pBdr/>
        <w:spacing/>
        <w:ind/>
      </w:pPr>
      <w:rPr>
        <w:rFonts w:ascii="Arial" w:hAnsi="Arial"/>
        <w:color w:val="f2f2f2"/>
        <w:sz w:val="22"/>
      </w:rPr>
      <w:tblPr>
        <w:tblBorders/>
      </w:tblPr>
      <w:tcPr>
        <w:tcBorders/>
        <w:shd w:color="ffffff" w:fill="ffd965" w:themeColor="accent4" w:themeFill="accent4" w:themeFillTint="00009A" w:themeTint="00009A" w:val="clear"/>
      </w:tcPr>
    </w:tblStylePr>
    <w:tblStylePr w:type="firstRow">
      <w:pPr>
        <w:pBdr/>
        <w:spacing/>
        <w:ind/>
      </w:pPr>
      <w:rPr>
        <w:rFonts w:ascii="Arial" w:hAnsi="Arial"/>
        <w:color w:val="f2f2f2"/>
        <w:sz w:val="22"/>
      </w:rPr>
      <w:tblPr>
        <w:tblBorders/>
      </w:tblPr>
      <w:tcPr>
        <w:tcBorders/>
        <w:shd w:color="ffffff" w:fill="ffd965" w:themeColor="accent4" w:themeFill="accent4" w:themeFillTint="00009A" w:themeTint="00009A" w:val="clear"/>
      </w:tcPr>
    </w:tblStylePr>
    <w:tblStylePr w:type="lastCol">
      <w:pPr>
        <w:pBdr/>
        <w:spacing/>
        <w:ind/>
      </w:pPr>
      <w:rPr>
        <w:rFonts w:ascii="Arial" w:hAnsi="Arial"/>
        <w:color w:val="f2f2f2"/>
        <w:sz w:val="22"/>
      </w:rPr>
      <w:tblPr>
        <w:tblBorders/>
      </w:tblPr>
      <w:tcPr>
        <w:tcBorders/>
        <w:shd w:color="ffffff" w:fill="ffd965" w:themeColor="accent4" w:themeFill="accent4" w:themeFillTint="00009A" w:themeTint="00009A" w:val="clear"/>
      </w:tcPr>
    </w:tblStylePr>
    <w:tblStylePr w:type="lastRow">
      <w:pPr>
        <w:pBdr/>
        <w:spacing/>
        <w:ind/>
      </w:pPr>
      <w:rPr>
        <w:rFonts w:ascii="Arial" w:hAnsi="Arial"/>
        <w:color w:val="f2f2f2"/>
        <w:sz w:val="22"/>
      </w:rPr>
      <w:tblPr>
        <w:tblBorders/>
      </w:tblPr>
      <w:tcPr>
        <w:tcBorders/>
        <w:shd w:color="ffffff" w:fill="ffd965" w:themeColor="accent4" w:themeFill="accent4" w:themeFillTint="00009A" w:themeTint="00009A"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5"/>
    <w:basedOn w:val="907"/>
    <w:uiPriority w:val="99"/>
    <w:pPr>
      <w:pBdr/>
      <w:spacing w:after="0" w:line="240" w:lineRule="auto"/>
      <w:ind/>
    </w:pPr>
    <w:rPr>
      <w:color w:val="404040"/>
    </w:rPr>
    <w:tblPr>
      <w:tblStyleRowBandSize w:val="1"/>
      <w:tblStyleColBandSize w:val="1"/>
      <w:tblInd w:w="0.0" w:type="dxa"/>
      <w:tblBorders>
        <w:top w:color="000000" w:space="0" w:sz="4" w:themeColor="accent5" w:themeShade="000095" w:val="single"/>
        <w:left w:color="000000" w:space="0" w:sz="4" w:themeColor="accent5" w:themeShade="000095" w:val="single"/>
        <w:bottom w:color="000000" w:space="0" w:sz="4" w:themeColor="accent5" w:themeShade="000095" w:val="single"/>
        <w:right w:color="000000" w:space="0" w:sz="4" w:themeColor="accent5" w:themeShade="000095" w:val="single"/>
        <w:insideH w:color="000000" w:space="0" w:sz="4" w:themeColor="accent5" w:themeShade="000095" w:val="single"/>
        <w:insideV w:color="000000" w:space="0" w:sz="4" w:themeColor="accent5" w:themeShade="000095"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d9e2f3" w:themeColor="accent5" w:themeFill="accent5" w:themeFillTint="000034" w:themeTint="000034" w:val="clear"/>
      </w:tcPr>
    </w:tblStylePr>
    <w:tblStylePr w:type="band2Vert">
      <w:pPr>
        <w:pBdr/>
        <w:spacing/>
        <w:ind/>
      </w:pPr>
      <w:rPr>
        <w:rFonts w:ascii="Arial" w:hAnsi="Arial"/>
        <w:color w:val="404040"/>
        <w:sz w:val="22"/>
      </w:rPr>
      <w:tblPr>
        <w:tblBorders/>
      </w:tblPr>
      <w:tcPr>
        <w:tcBorders/>
        <w:shd w:color="ffffff" w:fill="d9e2f3" w:themeColor="accent5" w:themeFill="accent5" w:themeFillTint="000034" w:themeTint="000034" w:val="clear"/>
      </w:tcPr>
    </w:tblStylePr>
    <w:tblStylePr w:type="firstCol">
      <w:pPr>
        <w:pBdr/>
        <w:spacing/>
        <w:ind/>
      </w:pPr>
      <w:rPr>
        <w:rFonts w:ascii="Arial" w:hAnsi="Arial"/>
        <w:color w:val="f2f2f2"/>
        <w:sz w:val="22"/>
      </w:rPr>
      <w:tblPr>
        <w:tblBorders/>
      </w:tblPr>
      <w:tcPr>
        <w:tcBorders/>
        <w:shd w:color="ffffff" w:fill="4472c4" w:themeColor="accent5" w:themeFill="accent5" w:val="clear"/>
      </w:tcPr>
    </w:tblStylePr>
    <w:tblStylePr w:type="firstRow">
      <w:pPr>
        <w:pBdr/>
        <w:spacing/>
        <w:ind/>
      </w:pPr>
      <w:rPr>
        <w:rFonts w:ascii="Arial" w:hAnsi="Arial"/>
        <w:color w:val="f2f2f2"/>
        <w:sz w:val="22"/>
      </w:rPr>
      <w:tblPr>
        <w:tblBorders/>
      </w:tblPr>
      <w:tcPr>
        <w:tcBorders/>
        <w:shd w:color="ffffff" w:fill="4472c4" w:themeColor="accent5" w:themeFill="accent5" w:val="clear"/>
      </w:tcPr>
    </w:tblStylePr>
    <w:tblStylePr w:type="lastCol">
      <w:pPr>
        <w:pBdr/>
        <w:spacing/>
        <w:ind/>
      </w:pPr>
      <w:rPr>
        <w:rFonts w:ascii="Arial" w:hAnsi="Arial"/>
        <w:color w:val="f2f2f2"/>
        <w:sz w:val="22"/>
      </w:rPr>
      <w:tblPr>
        <w:tblBorders/>
      </w:tblPr>
      <w:tcPr>
        <w:tcBorders/>
        <w:shd w:color="ffffff" w:fill="4472c4" w:themeColor="accent5" w:themeFill="accent5" w:val="clear"/>
      </w:tcPr>
    </w:tblStylePr>
    <w:tblStylePr w:type="lastRow">
      <w:pPr>
        <w:pBdr/>
        <w:spacing/>
        <w:ind/>
      </w:pPr>
      <w:rPr>
        <w:rFonts w:ascii="Arial" w:hAnsi="Arial"/>
        <w:color w:val="f2f2f2"/>
        <w:sz w:val="22"/>
      </w:rPr>
      <w:tblPr>
        <w:tblBorders/>
      </w:tblPr>
      <w:tcPr>
        <w:tcBorders/>
        <w:shd w:color="ffffff" w:fill="4472c4" w:themeColor="accent5" w:themeFill="accent5"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6"/>
    <w:basedOn w:val="907"/>
    <w:uiPriority w:val="99"/>
    <w:pPr>
      <w:pBdr/>
      <w:spacing w:after="0" w:line="240" w:lineRule="auto"/>
      <w:ind/>
    </w:pPr>
    <w:rPr>
      <w:color w:val="404040"/>
    </w:rPr>
    <w:tblPr>
      <w:tblStyleRowBandSize w:val="1"/>
      <w:tblStyleColBandSize w:val="1"/>
      <w:tblInd w:w="0.0" w:type="dxa"/>
      <w:tblBorders>
        <w:top w:color="000000" w:space="0" w:sz="4" w:themeColor="accent6" w:themeShade="000095" w:val="single"/>
        <w:left w:color="000000" w:space="0" w:sz="4" w:themeColor="accent6" w:themeShade="000095" w:val="single"/>
        <w:bottom w:color="000000" w:space="0" w:sz="4" w:themeColor="accent6" w:themeShade="000095" w:val="single"/>
        <w:right w:color="000000" w:space="0" w:sz="4" w:themeColor="accent6" w:themeShade="000095" w:val="single"/>
        <w:insideH w:color="000000" w:space="0" w:sz="4" w:themeColor="accent6" w:themeShade="000095" w:val="single"/>
        <w:insideV w:color="000000" w:space="0" w:sz="4" w:themeColor="accent6" w:themeShade="000095"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e2efd9" w:themeColor="accent6" w:themeFill="accent6" w:themeFillTint="000034" w:themeTint="000034" w:val="clear"/>
      </w:tcPr>
    </w:tblStylePr>
    <w:tblStylePr w:type="band2Vert">
      <w:pPr>
        <w:pBdr/>
        <w:spacing/>
        <w:ind/>
      </w:pPr>
      <w:rPr>
        <w:rFonts w:ascii="Arial" w:hAnsi="Arial"/>
        <w:color w:val="404040"/>
        <w:sz w:val="22"/>
      </w:rPr>
      <w:tblPr>
        <w:tblBorders/>
      </w:tblPr>
      <w:tcPr>
        <w:tcBorders/>
        <w:shd w:color="ffffff" w:fill="e2efd9" w:themeColor="accent6" w:themeFill="accent6" w:themeFillTint="000034" w:themeTint="000034" w:val="clear"/>
      </w:tcPr>
    </w:tblStylePr>
    <w:tblStylePr w:type="firstCol">
      <w:pPr>
        <w:pBdr/>
        <w:spacing/>
        <w:ind/>
      </w:pPr>
      <w:rPr>
        <w:rFonts w:ascii="Arial" w:hAnsi="Arial"/>
        <w:color w:val="f2f2f2"/>
        <w:sz w:val="22"/>
      </w:rPr>
      <w:tblPr>
        <w:tblBorders/>
      </w:tblPr>
      <w:tcPr>
        <w:tcBorders/>
        <w:shd w:color="ffffff" w:fill="70ad47" w:themeColor="accent6" w:themeFill="accent6" w:val="clear"/>
      </w:tcPr>
    </w:tblStylePr>
    <w:tblStylePr w:type="firstRow">
      <w:pPr>
        <w:pBdr/>
        <w:spacing/>
        <w:ind/>
      </w:pPr>
      <w:rPr>
        <w:rFonts w:ascii="Arial" w:hAnsi="Arial"/>
        <w:color w:val="f2f2f2"/>
        <w:sz w:val="22"/>
      </w:rPr>
      <w:tblPr>
        <w:tblBorders/>
      </w:tblPr>
      <w:tcPr>
        <w:tcBorders/>
        <w:shd w:color="ffffff" w:fill="70ad47" w:themeColor="accent6" w:themeFill="accent6" w:val="clear"/>
      </w:tcPr>
    </w:tblStylePr>
    <w:tblStylePr w:type="lastCol">
      <w:pPr>
        <w:pBdr/>
        <w:spacing/>
        <w:ind/>
      </w:pPr>
      <w:rPr>
        <w:rFonts w:ascii="Arial" w:hAnsi="Arial"/>
        <w:color w:val="f2f2f2"/>
        <w:sz w:val="22"/>
      </w:rPr>
      <w:tblPr>
        <w:tblBorders/>
      </w:tblPr>
      <w:tcPr>
        <w:tcBorders/>
        <w:shd w:color="ffffff" w:fill="70ad47" w:themeColor="accent6" w:themeFill="accent6" w:val="clear"/>
      </w:tcPr>
    </w:tblStylePr>
    <w:tblStylePr w:type="lastRow">
      <w:pPr>
        <w:pBdr/>
        <w:spacing/>
        <w:ind/>
      </w:pPr>
      <w:rPr>
        <w:rFonts w:ascii="Arial" w:hAnsi="Arial"/>
        <w:color w:val="f2f2f2"/>
        <w:sz w:val="22"/>
      </w:rPr>
      <w:tblPr>
        <w:tblBorders/>
      </w:tblPr>
      <w:tcPr>
        <w:tcBorders/>
        <w:shd w:color="ffffff" w:fill="70ad47" w:themeColor="accent6" w:themeFill="accent6"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w:basedOn w:val="907"/>
    <w:uiPriority w:val="99"/>
    <w:pPr>
      <w:pBdr/>
      <w:spacing w:after="0" w:line="240" w:lineRule="auto"/>
      <w:ind/>
    </w:pPr>
    <w:tblPr>
      <w:tblStyleRowBandSize w:val="1"/>
      <w:tblStyleColBandSize w:val="1"/>
      <w:tblInd w:w="0.0" w:type="dxa"/>
      <w:tblBorders>
        <w:top w:color="000000" w:space="0" w:sz="4" w:themeColor="text1" w:themeTint="000026" w:val="single"/>
        <w:left w:color="000000" w:space="0" w:sz="4" w:themeColor="text1" w:themeTint="000026" w:val="single"/>
        <w:bottom w:color="000000" w:space="0" w:sz="4" w:themeColor="text1" w:themeTint="000026" w:val="single"/>
        <w:right w:color="000000" w:space="0" w:sz="4" w:themeColor="text1" w:themeTint="000026" w:val="single"/>
        <w:insideH w:color="000000" w:space="0" w:sz="4" w:themeColor="text1" w:themeTint="000026" w:val="single"/>
        <w:insideV w:color="000000" w:space="0" w:sz="4" w:themeColor="text1" w:themeTint="000026" w:val="single"/>
      </w:tblBorders>
    </w:tblPr>
    <w:tcPr>
      <w:tcBorders/>
    </w:tcPr>
    <w:tblStylePr w:type="band1Horz">
      <w:pPr>
        <w:pBdr/>
        <w:spacing/>
        <w:ind/>
      </w:pPr>
      <w:rPr>
        <w:rFonts w:ascii="Arial" w:hAnsi="Arial"/>
        <w:color w:val="404040"/>
        <w:sz w:val="22"/>
      </w:rPr>
      <w:tblPr>
        <w:tblBorders/>
      </w:tblPr>
      <w:tcPr>
        <w:tcBorders>
          <w:top w:color="000000" w:space="0" w:sz="4" w:themeColor="text1" w:themeTint="000026" w:val="single"/>
          <w:left w:color="000000" w:space="0" w:sz="4" w:themeColor="text1" w:themeTint="000026" w:val="single"/>
          <w:bottom w:color="000000" w:space="0" w:sz="4" w:themeColor="text1" w:themeTint="000026" w:val="single"/>
          <w:right w:color="000000" w:space="0" w:sz="4" w:themeColor="text1" w:themeTint="000026"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text1" w:themeTint="000080" w:val="single"/>
        </w:tcBorders>
      </w:tcPr>
    </w:tblStylePr>
    <w:tblStylePr w:type="lastCol">
      <w:pPr>
        <w:pBdr/>
        <w:spacing/>
        <w:ind/>
      </w:pPr>
      <w:rPr>
        <w:rFonts w:ascii="Arial" w:hAnsi="Arial"/>
        <w:color w:val="404040"/>
        <w:sz w:val="22"/>
      </w:rPr>
      <w:tblPr>
        <w:tblBorders/>
      </w:tblPr>
      <w:tcPr>
        <w:tcBorders>
          <w:left w:color="000000" w:space="0" w:sz="12" w:themeColor="text1" w:themeTint="000080" w:val="single"/>
        </w:tcBorders>
      </w:tcPr>
    </w:tblStylePr>
    <w:tblStylePr w:type="lastRow">
      <w:pPr>
        <w:pBdr/>
        <w:spacing/>
        <w:ind/>
      </w:pPr>
      <w:rPr>
        <w:rFonts w:ascii="Arial" w:hAnsi="Arial"/>
        <w:color w:val="404040"/>
        <w:sz w:val="22"/>
      </w:rPr>
      <w:tblPr>
        <w:tblBorders/>
      </w:tblPr>
      <w:tcPr>
        <w:tcBorders>
          <w:top w:color="000000" w:space="0" w:sz="12" w:themeColor="text1" w:themeTint="00008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 Accent 1"/>
    <w:basedOn w:val="907"/>
    <w:uiPriority w:val="99"/>
    <w:pPr>
      <w:pBdr/>
      <w:spacing w:after="0" w:line="240" w:lineRule="auto"/>
      <w:ind/>
    </w:pPr>
    <w:tblPr>
      <w:tblStyleRowBandSize w:val="1"/>
      <w:tblStyleColBandSize w:val="1"/>
      <w:tblInd w:w="0.0" w:type="dxa"/>
      <w:tblBorders>
        <w:top w:color="000000" w:space="0" w:sz="4" w:themeColor="accent1" w:themeTint="000067" w:val="single"/>
        <w:left w:color="000000" w:space="0" w:sz="4" w:themeColor="accent1" w:themeTint="000067" w:val="single"/>
        <w:bottom w:color="000000" w:space="0" w:sz="4" w:themeColor="accent1" w:themeTint="000067" w:val="single"/>
        <w:right w:color="000000" w:space="0" w:sz="4" w:themeColor="accent1" w:themeTint="000067" w:val="single"/>
        <w:insideH w:color="000000" w:space="0" w:sz="4" w:themeColor="accent1" w:themeTint="000067" w:val="single"/>
        <w:insideV w:color="000000" w:space="0" w:sz="4" w:themeColor="accent1"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1" w:themeTint="000067" w:val="single"/>
          <w:left w:color="000000" w:space="0" w:sz="4" w:themeColor="accent1" w:themeTint="000067" w:val="single"/>
          <w:bottom w:color="000000" w:space="0" w:sz="4" w:themeColor="accent1" w:themeTint="000067" w:val="single"/>
          <w:right w:color="000000" w:space="0" w:sz="4" w:themeColor="accent1"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accent1" w:val="single"/>
        </w:tcBorders>
      </w:tcPr>
    </w:tblStylePr>
    <w:tblStylePr w:type="lastCol">
      <w:pPr>
        <w:pBdr/>
        <w:spacing/>
        <w:ind/>
      </w:pPr>
      <w:rPr>
        <w:rFonts w:ascii="Arial" w:hAnsi="Arial"/>
        <w:color w:val="404040"/>
        <w:sz w:val="22"/>
      </w:rPr>
      <w:tblPr>
        <w:tblBorders/>
      </w:tblPr>
      <w:tcPr>
        <w:tcBorders>
          <w:left w:color="000000" w:space="0" w:sz="12" w:themeColor="accent1" w:val="single"/>
        </w:tcBorders>
      </w:tcPr>
    </w:tblStylePr>
    <w:tblStylePr w:type="lastRow">
      <w:pPr>
        <w:pBdr/>
        <w:spacing/>
        <w:ind/>
      </w:pPr>
      <w:rPr>
        <w:rFonts w:ascii="Arial" w:hAnsi="Arial"/>
        <w:color w:val="404040"/>
        <w:sz w:val="22"/>
      </w:rPr>
      <w:tblPr>
        <w:tblBorders/>
      </w:tblPr>
      <w:tcPr>
        <w:tcBorders>
          <w:top w:color="000000" w:space="0" w:sz="12" w:themeColor="accent1"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 Accent 2"/>
    <w:basedOn w:val="907"/>
    <w:uiPriority w:val="99"/>
    <w:pPr>
      <w:pBdr/>
      <w:spacing w:after="0" w:line="240" w:lineRule="auto"/>
      <w:ind/>
    </w:pPr>
    <w:tblPr>
      <w:tblStyleRowBandSize w:val="1"/>
      <w:tblStyleColBandSize w:val="1"/>
      <w:tblInd w:w="0.0" w:type="dxa"/>
      <w:tblBorders>
        <w:top w:color="000000" w:space="0" w:sz="4" w:themeColor="accent2" w:themeTint="000067" w:val="single"/>
        <w:left w:color="000000" w:space="0" w:sz="4" w:themeColor="accent2" w:themeTint="000067" w:val="single"/>
        <w:bottom w:color="000000" w:space="0" w:sz="4" w:themeColor="accent2" w:themeTint="000067" w:val="single"/>
        <w:right w:color="000000" w:space="0" w:sz="4" w:themeColor="accent2" w:themeTint="000067" w:val="single"/>
        <w:insideH w:color="000000" w:space="0" w:sz="4" w:themeColor="accent2" w:themeTint="000067" w:val="single"/>
        <w:insideV w:color="000000" w:space="0" w:sz="4" w:themeColor="accent2"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2" w:themeTint="000067" w:val="single"/>
          <w:left w:color="000000" w:space="0" w:sz="4" w:themeColor="accent2" w:themeTint="000067" w:val="single"/>
          <w:bottom w:color="000000" w:space="0" w:sz="4" w:themeColor="accent2" w:themeTint="000067" w:val="single"/>
          <w:right w:color="000000" w:space="0" w:sz="4" w:themeColor="accent2"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accent2" w:themeTint="000097" w:val="single"/>
        </w:tcBorders>
      </w:tcPr>
    </w:tblStylePr>
    <w:tblStylePr w:type="lastCol">
      <w:pPr>
        <w:pBdr/>
        <w:spacing/>
        <w:ind/>
      </w:pPr>
      <w:rPr>
        <w:rFonts w:ascii="Arial" w:hAnsi="Arial"/>
        <w:color w:val="404040"/>
        <w:sz w:val="22"/>
      </w:rPr>
      <w:tblPr>
        <w:tblBorders/>
      </w:tblPr>
      <w:tcPr>
        <w:tcBorders>
          <w:left w:color="000000" w:space="0" w:sz="12" w:themeColor="accent2" w:themeTint="000097" w:val="single"/>
        </w:tcBorders>
      </w:tcPr>
    </w:tblStylePr>
    <w:tblStylePr w:type="lastRow">
      <w:pPr>
        <w:pBdr/>
        <w:spacing/>
        <w:ind/>
      </w:pPr>
      <w:rPr>
        <w:rFonts w:ascii="Arial" w:hAnsi="Arial"/>
        <w:color w:val="404040"/>
        <w:sz w:val="22"/>
      </w:rPr>
      <w:tblPr>
        <w:tblBorders/>
      </w:tblPr>
      <w:tcPr>
        <w:tcBorders>
          <w:top w:color="000000" w:space="0" w:sz="12" w:themeColor="accent2" w:themeTint="000097"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 Accent 3"/>
    <w:basedOn w:val="907"/>
    <w:uiPriority w:val="99"/>
    <w:pPr>
      <w:pBdr/>
      <w:spacing w:after="0" w:line="240" w:lineRule="auto"/>
      <w:ind/>
    </w:pPr>
    <w:tblPr>
      <w:tblStyleRowBandSize w:val="1"/>
      <w:tblStyleColBandSize w:val="1"/>
      <w:tblInd w:w="0.0" w:type="dxa"/>
      <w:tblBorders>
        <w:top w:color="000000" w:space="0" w:sz="4" w:themeColor="accent3" w:themeTint="000067" w:val="single"/>
        <w:left w:color="000000" w:space="0" w:sz="4" w:themeColor="accent3" w:themeTint="000067" w:val="single"/>
        <w:bottom w:color="000000" w:space="0" w:sz="4" w:themeColor="accent3" w:themeTint="000067" w:val="single"/>
        <w:right w:color="000000" w:space="0" w:sz="4" w:themeColor="accent3" w:themeTint="000067" w:val="single"/>
        <w:insideH w:color="000000" w:space="0" w:sz="4" w:themeColor="accent3" w:themeTint="000067" w:val="single"/>
        <w:insideV w:color="000000" w:space="0" w:sz="4" w:themeColor="accent3"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3" w:themeTint="000067" w:val="single"/>
          <w:left w:color="000000" w:space="0" w:sz="4" w:themeColor="accent3" w:themeTint="000067" w:val="single"/>
          <w:bottom w:color="000000" w:space="0" w:sz="4" w:themeColor="accent3" w:themeTint="000067" w:val="single"/>
          <w:right w:color="000000" w:space="0" w:sz="4" w:themeColor="accent3"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accent3" w:themeTint="000098" w:val="single"/>
        </w:tcBorders>
      </w:tcPr>
    </w:tblStylePr>
    <w:tblStylePr w:type="lastCol">
      <w:pPr>
        <w:pBdr/>
        <w:spacing/>
        <w:ind/>
      </w:pPr>
      <w:rPr>
        <w:rFonts w:ascii="Arial" w:hAnsi="Arial"/>
        <w:color w:val="404040"/>
        <w:sz w:val="22"/>
      </w:rPr>
      <w:tblPr>
        <w:tblBorders/>
      </w:tblPr>
      <w:tcPr>
        <w:tcBorders>
          <w:left w:color="000000" w:space="0" w:sz="12" w:themeColor="accent3" w:themeTint="000098" w:val="single"/>
        </w:tcBorders>
      </w:tcPr>
    </w:tblStylePr>
    <w:tblStylePr w:type="lastRow">
      <w:pPr>
        <w:pBdr/>
        <w:spacing/>
        <w:ind/>
      </w:pPr>
      <w:rPr>
        <w:rFonts w:ascii="Arial" w:hAnsi="Arial"/>
        <w:color w:val="404040"/>
        <w:sz w:val="22"/>
      </w:rPr>
      <w:tblPr>
        <w:tblBorders/>
      </w:tblPr>
      <w:tcPr>
        <w:tcBorders>
          <w:top w:color="000000" w:space="0" w:sz="12" w:themeColor="accent3" w:themeTint="000098"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4"/>
    <w:basedOn w:val="907"/>
    <w:uiPriority w:val="99"/>
    <w:pPr>
      <w:pBdr/>
      <w:spacing w:after="0" w:line="240" w:lineRule="auto"/>
      <w:ind/>
    </w:pPr>
    <w:tblPr>
      <w:tblStyleRowBandSize w:val="1"/>
      <w:tblStyleColBandSize w:val="1"/>
      <w:tblInd w:w="0.0" w:type="dxa"/>
      <w:tblBorders>
        <w:top w:color="000000" w:space="0" w:sz="4" w:themeColor="accent4" w:themeTint="000067" w:val="single"/>
        <w:left w:color="000000" w:space="0" w:sz="4" w:themeColor="accent4" w:themeTint="000067" w:val="single"/>
        <w:bottom w:color="000000" w:space="0" w:sz="4" w:themeColor="accent4" w:themeTint="000067" w:val="single"/>
        <w:right w:color="000000" w:space="0" w:sz="4" w:themeColor="accent4" w:themeTint="000067" w:val="single"/>
        <w:insideH w:color="000000" w:space="0" w:sz="4" w:themeColor="accent4" w:themeTint="000067" w:val="single"/>
        <w:insideV w:color="000000" w:space="0" w:sz="4" w:themeColor="accent4"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4" w:themeTint="000067" w:val="single"/>
          <w:left w:color="000000" w:space="0" w:sz="4" w:themeColor="accent4" w:themeTint="000067" w:val="single"/>
          <w:bottom w:color="000000" w:space="0" w:sz="4" w:themeColor="accent4" w:themeTint="000067" w:val="single"/>
          <w:right w:color="000000" w:space="0" w:sz="4" w:themeColor="accent4"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accent4" w:themeTint="00009A" w:val="single"/>
        </w:tcBorders>
      </w:tcPr>
    </w:tblStylePr>
    <w:tblStylePr w:type="lastCol">
      <w:pPr>
        <w:pBdr/>
        <w:spacing/>
        <w:ind/>
      </w:pPr>
      <w:rPr>
        <w:rFonts w:ascii="Arial" w:hAnsi="Arial"/>
        <w:color w:val="404040"/>
        <w:sz w:val="22"/>
      </w:rPr>
      <w:tblPr>
        <w:tblBorders/>
      </w:tblPr>
      <w:tcPr>
        <w:tcBorders>
          <w:left w:color="000000" w:space="0" w:sz="12" w:themeColor="accent4" w:themeTint="00009A" w:val="single"/>
        </w:tcBorders>
      </w:tcPr>
    </w:tblStylePr>
    <w:tblStylePr w:type="lastRow">
      <w:pPr>
        <w:pBdr/>
        <w:spacing/>
        <w:ind/>
      </w:pPr>
      <w:rPr>
        <w:rFonts w:ascii="Arial" w:hAnsi="Arial"/>
        <w:color w:val="404040"/>
        <w:sz w:val="22"/>
      </w:rPr>
      <w:tblPr>
        <w:tblBorders/>
      </w:tblPr>
      <w:tcPr>
        <w:tcBorders>
          <w:top w:color="000000" w:space="0" w:sz="12" w:themeColor="accent4" w:themeTint="00009A"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5"/>
    <w:basedOn w:val="907"/>
    <w:uiPriority w:val="99"/>
    <w:pPr>
      <w:pBdr/>
      <w:spacing w:after="0" w:line="240" w:lineRule="auto"/>
      <w:ind/>
    </w:pPr>
    <w:tblPr>
      <w:tblStyleRowBandSize w:val="1"/>
      <w:tblStyleColBandSize w:val="1"/>
      <w:tblInd w:w="0.0" w:type="dxa"/>
      <w:tblBorders>
        <w:top w:color="000000" w:space="0" w:sz="4" w:themeColor="accent5" w:themeTint="000067" w:val="single"/>
        <w:left w:color="000000" w:space="0" w:sz="4" w:themeColor="accent5" w:themeTint="000067" w:val="single"/>
        <w:bottom w:color="000000" w:space="0" w:sz="4" w:themeColor="accent5" w:themeTint="000067" w:val="single"/>
        <w:right w:color="000000" w:space="0" w:sz="4" w:themeColor="accent5" w:themeTint="000067" w:val="single"/>
        <w:insideH w:color="000000" w:space="0" w:sz="4" w:themeColor="accent5" w:themeTint="000067" w:val="single"/>
        <w:insideV w:color="000000" w:space="0" w:sz="4" w:themeColor="accent5"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5" w:themeTint="000067" w:val="single"/>
          <w:left w:color="000000" w:space="0" w:sz="4" w:themeColor="accent5" w:themeTint="000067" w:val="single"/>
          <w:bottom w:color="000000" w:space="0" w:sz="4" w:themeColor="accent5" w:themeTint="000067" w:val="single"/>
          <w:right w:color="000000" w:space="0" w:sz="4" w:themeColor="accent5"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accent5" w:themeTint="00009A" w:val="single"/>
        </w:tcBorders>
      </w:tcPr>
    </w:tblStylePr>
    <w:tblStylePr w:type="lastCol">
      <w:pPr>
        <w:pBdr/>
        <w:spacing/>
        <w:ind/>
      </w:pPr>
      <w:rPr>
        <w:rFonts w:ascii="Arial" w:hAnsi="Arial"/>
        <w:color w:val="404040"/>
        <w:sz w:val="22"/>
      </w:rPr>
      <w:tblPr>
        <w:tblBorders/>
      </w:tblPr>
      <w:tcPr>
        <w:tcBorders>
          <w:left w:color="000000" w:space="0" w:sz="12" w:themeColor="accent5" w:themeTint="00009A" w:val="single"/>
        </w:tcBorders>
      </w:tcPr>
    </w:tblStylePr>
    <w:tblStylePr w:type="lastRow">
      <w:pPr>
        <w:pBdr/>
        <w:spacing/>
        <w:ind/>
      </w:pPr>
      <w:rPr>
        <w:rFonts w:ascii="Arial" w:hAnsi="Arial"/>
        <w:color w:val="404040"/>
        <w:sz w:val="22"/>
      </w:rPr>
      <w:tblPr>
        <w:tblBorders/>
      </w:tblPr>
      <w:tcPr>
        <w:tcBorders>
          <w:top w:color="000000" w:space="0" w:sz="12" w:themeColor="accent5" w:themeTint="00009A"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6"/>
    <w:basedOn w:val="907"/>
    <w:uiPriority w:val="99"/>
    <w:pPr>
      <w:pBdr/>
      <w:spacing w:after="0" w:line="240" w:lineRule="auto"/>
      <w:ind/>
    </w:pPr>
    <w:tblPr>
      <w:tblStyleRowBandSize w:val="1"/>
      <w:tblStyleColBandSize w:val="1"/>
      <w:tblInd w:w="0.0" w:type="dxa"/>
      <w:tblBorders>
        <w:top w:color="000000" w:space="0" w:sz="4" w:themeColor="accent6" w:themeTint="000067" w:val="single"/>
        <w:left w:color="000000" w:space="0" w:sz="4" w:themeColor="accent6" w:themeTint="000067" w:val="single"/>
        <w:bottom w:color="000000" w:space="0" w:sz="4" w:themeColor="accent6" w:themeTint="000067" w:val="single"/>
        <w:right w:color="000000" w:space="0" w:sz="4" w:themeColor="accent6" w:themeTint="000067" w:val="single"/>
        <w:insideH w:color="000000" w:space="0" w:sz="4" w:themeColor="accent6" w:themeTint="000067" w:val="single"/>
        <w:insideV w:color="000000" w:space="0" w:sz="4" w:themeColor="accent6"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6" w:themeTint="000067" w:val="single"/>
          <w:left w:color="000000" w:space="0" w:sz="4" w:themeColor="accent6" w:themeTint="000067" w:val="single"/>
          <w:bottom w:color="000000" w:space="0" w:sz="4" w:themeColor="accent6" w:themeTint="000067" w:val="single"/>
          <w:right w:color="000000" w:space="0" w:sz="4" w:themeColor="accent6"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accent6" w:themeTint="000098" w:val="single"/>
        </w:tcBorders>
      </w:tcPr>
    </w:tblStylePr>
    <w:tblStylePr w:type="lastCol">
      <w:pPr>
        <w:pBdr/>
        <w:spacing/>
        <w:ind/>
      </w:pPr>
      <w:rPr>
        <w:rFonts w:ascii="Arial" w:hAnsi="Arial"/>
        <w:color w:val="404040"/>
        <w:sz w:val="22"/>
      </w:rPr>
      <w:tblPr>
        <w:tblBorders/>
      </w:tblPr>
      <w:tcPr>
        <w:tcBorders>
          <w:left w:color="000000" w:space="0" w:sz="12" w:themeColor="accent6" w:themeTint="000098" w:val="single"/>
        </w:tcBorders>
      </w:tcPr>
    </w:tblStylePr>
    <w:tblStylePr w:type="lastRow">
      <w:pPr>
        <w:pBdr/>
        <w:spacing/>
        <w:ind/>
      </w:pPr>
      <w:rPr>
        <w:rFonts w:ascii="Arial" w:hAnsi="Arial"/>
        <w:color w:val="404040"/>
        <w:sz w:val="22"/>
      </w:rPr>
      <w:tblPr>
        <w:tblBorders/>
      </w:tblPr>
      <w:tcPr>
        <w:tcBorders>
          <w:top w:color="000000" w:space="0" w:sz="12" w:themeColor="accent6" w:themeTint="000098"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3">
    <w:name w:val="Heading 7"/>
    <w:basedOn w:val="906"/>
    <w:next w:val="906"/>
    <w:link w:val="863"/>
    <w:uiPriority w:val="9"/>
    <w:unhideWhenUsed w:val="1"/>
    <w:qFormat w:val="1"/>
    <w:pPr>
      <w:keepNext w:val="1"/>
      <w:keepLines w:val="1"/>
      <w:pBdr/>
      <w:spacing w:after="0" w:before="40"/>
      <w:ind/>
      <w:outlineLvl w:val="6"/>
    </w:pPr>
    <w:rPr>
      <w:rFonts w:ascii="Arial" w:cs="Arial" w:eastAsia="Arial" w:hAnsi="Arial"/>
      <w:color w:val="595959" w:themeColor="text1" w:themeTint="0000A6"/>
    </w:rPr>
  </w:style>
  <w:style w:type="paragraph" w:styleId="854">
    <w:name w:val="Heading 8"/>
    <w:basedOn w:val="906"/>
    <w:next w:val="906"/>
    <w:link w:val="864"/>
    <w:uiPriority w:val="9"/>
    <w:unhideWhenUsed w:val="1"/>
    <w:qFormat w:val="1"/>
    <w:pPr>
      <w:keepNext w:val="1"/>
      <w:keepLines w:val="1"/>
      <w:pBdr/>
      <w:spacing w:after="0"/>
      <w:ind/>
      <w:outlineLvl w:val="7"/>
    </w:pPr>
    <w:rPr>
      <w:rFonts w:ascii="Arial" w:cs="Arial" w:eastAsia="Arial" w:hAnsi="Arial"/>
      <w:i w:val="1"/>
      <w:iCs w:val="1"/>
      <w:color w:val="272727" w:themeColor="text1" w:themeTint="0000D8"/>
    </w:rPr>
  </w:style>
  <w:style w:type="paragraph" w:styleId="855">
    <w:name w:val="Heading 9"/>
    <w:basedOn w:val="906"/>
    <w:next w:val="906"/>
    <w:link w:val="865"/>
    <w:uiPriority w:val="9"/>
    <w:unhideWhenUsed w:val="1"/>
    <w:qFormat w:val="1"/>
    <w:pPr>
      <w:keepNext w:val="1"/>
      <w:keepLines w:val="1"/>
      <w:pBdr/>
      <w:spacing w:after="0"/>
      <w:ind/>
      <w:outlineLvl w:val="8"/>
    </w:pPr>
    <w:rPr>
      <w:rFonts w:ascii="Arial" w:cs="Arial" w:eastAsia="Arial" w:hAnsi="Arial"/>
      <w:i w:val="1"/>
      <w:iCs w:val="1"/>
      <w:color w:val="272727" w:themeColor="text1" w:themeTint="0000D8"/>
    </w:rPr>
  </w:style>
  <w:style w:type="character" w:styleId="856" w:default="1">
    <w:name w:val="Default Paragraph Font"/>
    <w:uiPriority w:val="1"/>
    <w:semiHidden w:val="1"/>
    <w:unhideWhenUsed w:val="1"/>
    <w:pPr>
      <w:pBdr/>
      <w:spacing/>
      <w:ind/>
    </w:pPr>
  </w:style>
  <w:style w:type="character" w:styleId="857">
    <w:name w:val="Heading 1 Char"/>
    <w:basedOn w:val="856"/>
    <w:link w:val="847"/>
    <w:uiPriority w:val="9"/>
    <w:pPr>
      <w:pBdr/>
      <w:spacing/>
      <w:ind/>
    </w:pPr>
    <w:rPr>
      <w:rFonts w:ascii="Arial" w:cs="Arial" w:eastAsia="Arial" w:hAnsi="Arial"/>
      <w:color w:val="0f4761" w:themeColor="accent1" w:themeShade="0000BF"/>
      <w:sz w:val="40"/>
      <w:szCs w:val="40"/>
    </w:rPr>
  </w:style>
  <w:style w:type="character" w:styleId="858">
    <w:name w:val="Heading 2 Char"/>
    <w:basedOn w:val="856"/>
    <w:link w:val="848"/>
    <w:uiPriority w:val="9"/>
    <w:pPr>
      <w:pBdr/>
      <w:spacing/>
      <w:ind/>
    </w:pPr>
    <w:rPr>
      <w:rFonts w:ascii="Arial" w:cs="Arial" w:eastAsia="Arial" w:hAnsi="Arial"/>
      <w:color w:val="0f4761" w:themeColor="accent1" w:themeShade="0000BF"/>
      <w:sz w:val="32"/>
      <w:szCs w:val="32"/>
    </w:rPr>
  </w:style>
  <w:style w:type="character" w:styleId="859">
    <w:name w:val="Heading 3 Char"/>
    <w:basedOn w:val="856"/>
    <w:link w:val="849"/>
    <w:uiPriority w:val="9"/>
    <w:pPr>
      <w:pBdr/>
      <w:spacing/>
      <w:ind/>
    </w:pPr>
    <w:rPr>
      <w:rFonts w:ascii="Arial" w:cs="Arial" w:eastAsia="Arial" w:hAnsi="Arial"/>
      <w:color w:val="0f4761" w:themeColor="accent1" w:themeShade="0000BF"/>
      <w:sz w:val="28"/>
      <w:szCs w:val="28"/>
    </w:rPr>
  </w:style>
  <w:style w:type="character" w:styleId="860">
    <w:name w:val="Heading 4 Char"/>
    <w:basedOn w:val="856"/>
    <w:link w:val="850"/>
    <w:uiPriority w:val="9"/>
    <w:pPr>
      <w:pBdr/>
      <w:spacing/>
      <w:ind/>
    </w:pPr>
    <w:rPr>
      <w:rFonts w:ascii="Arial" w:cs="Arial" w:eastAsia="Arial" w:hAnsi="Arial"/>
      <w:i w:val="1"/>
      <w:iCs w:val="1"/>
      <w:color w:val="0f4761" w:themeColor="accent1" w:themeShade="0000BF"/>
    </w:rPr>
  </w:style>
  <w:style w:type="character" w:styleId="861">
    <w:name w:val="Heading 5 Char"/>
    <w:basedOn w:val="856"/>
    <w:link w:val="851"/>
    <w:uiPriority w:val="9"/>
    <w:pPr>
      <w:pBdr/>
      <w:spacing/>
      <w:ind/>
    </w:pPr>
    <w:rPr>
      <w:rFonts w:ascii="Arial" w:cs="Arial" w:eastAsia="Arial" w:hAnsi="Arial"/>
      <w:color w:val="0f4761" w:themeColor="accent1" w:themeShade="0000BF"/>
    </w:rPr>
  </w:style>
  <w:style w:type="character" w:styleId="862">
    <w:name w:val="Heading 6 Char"/>
    <w:basedOn w:val="856"/>
    <w:link w:val="852"/>
    <w:uiPriority w:val="9"/>
    <w:pPr>
      <w:pBdr/>
      <w:spacing/>
      <w:ind/>
    </w:pPr>
    <w:rPr>
      <w:rFonts w:ascii="Arial" w:cs="Arial" w:eastAsia="Arial" w:hAnsi="Arial"/>
      <w:i w:val="1"/>
      <w:iCs w:val="1"/>
      <w:color w:val="595959" w:themeColor="text1" w:themeTint="0000A6"/>
    </w:rPr>
  </w:style>
  <w:style w:type="character" w:styleId="863">
    <w:name w:val="Heading 7 Char"/>
    <w:basedOn w:val="856"/>
    <w:link w:val="853"/>
    <w:uiPriority w:val="9"/>
    <w:pPr>
      <w:pBdr/>
      <w:spacing/>
      <w:ind/>
    </w:pPr>
    <w:rPr>
      <w:rFonts w:ascii="Arial" w:cs="Arial" w:eastAsia="Arial" w:hAnsi="Arial"/>
      <w:color w:val="595959" w:themeColor="text1" w:themeTint="0000A6"/>
    </w:rPr>
  </w:style>
  <w:style w:type="character" w:styleId="864">
    <w:name w:val="Heading 8 Char"/>
    <w:basedOn w:val="856"/>
    <w:link w:val="854"/>
    <w:uiPriority w:val="9"/>
    <w:pPr>
      <w:pBdr/>
      <w:spacing/>
      <w:ind/>
    </w:pPr>
    <w:rPr>
      <w:rFonts w:ascii="Arial" w:cs="Arial" w:eastAsia="Arial" w:hAnsi="Arial"/>
      <w:i w:val="1"/>
      <w:iCs w:val="1"/>
      <w:color w:val="272727" w:themeColor="text1" w:themeTint="0000D8"/>
    </w:rPr>
  </w:style>
  <w:style w:type="character" w:styleId="865">
    <w:name w:val="Heading 9 Char"/>
    <w:basedOn w:val="856"/>
    <w:link w:val="855"/>
    <w:uiPriority w:val="9"/>
    <w:pPr>
      <w:pBdr/>
      <w:spacing/>
      <w:ind/>
    </w:pPr>
    <w:rPr>
      <w:rFonts w:ascii="Arial" w:cs="Arial" w:eastAsia="Arial" w:hAnsi="Arial"/>
      <w:i w:val="1"/>
      <w:iCs w:val="1"/>
      <w:color w:val="272727" w:themeColor="text1" w:themeTint="0000D8"/>
    </w:rPr>
  </w:style>
  <w:style w:type="character" w:styleId="867">
    <w:name w:val="Title Char"/>
    <w:basedOn w:val="856"/>
    <w:link w:val="866"/>
    <w:uiPriority w:val="10"/>
    <w:pPr>
      <w:pBdr/>
      <w:spacing/>
      <w:ind/>
    </w:pPr>
    <w:rPr>
      <w:rFonts w:ascii="Arial" w:cs="Arial" w:eastAsia="Arial" w:hAnsi="Arial"/>
      <w:spacing w:val="-10"/>
      <w:sz w:val="56"/>
      <w:szCs w:val="56"/>
    </w:rPr>
  </w:style>
  <w:style w:type="character" w:styleId="869">
    <w:name w:val="Subtitle Char"/>
    <w:basedOn w:val="856"/>
    <w:link w:val="868"/>
    <w:uiPriority w:val="11"/>
    <w:pPr>
      <w:pBdr/>
      <w:spacing/>
      <w:ind/>
    </w:pPr>
    <w:rPr>
      <w:color w:val="595959" w:themeColor="text1" w:themeTint="0000A6"/>
      <w:spacing w:val="15"/>
      <w:sz w:val="28"/>
      <w:szCs w:val="28"/>
    </w:rPr>
  </w:style>
  <w:style w:type="paragraph" w:styleId="870">
    <w:name w:val="Quote"/>
    <w:basedOn w:val="906"/>
    <w:next w:val="906"/>
    <w:link w:val="871"/>
    <w:uiPriority w:val="29"/>
    <w:qFormat w:val="1"/>
    <w:pPr>
      <w:pBdr/>
      <w:spacing w:before="160"/>
      <w:ind/>
      <w:jc w:val="center"/>
    </w:pPr>
    <w:rPr>
      <w:i w:val="1"/>
      <w:iCs w:val="1"/>
      <w:color w:val="404040" w:themeColor="text1" w:themeTint="0000BF"/>
    </w:rPr>
  </w:style>
  <w:style w:type="character" w:styleId="871">
    <w:name w:val="Quote Char"/>
    <w:basedOn w:val="856"/>
    <w:link w:val="870"/>
    <w:uiPriority w:val="29"/>
    <w:pPr>
      <w:pBdr/>
      <w:spacing/>
      <w:ind/>
    </w:pPr>
    <w:rPr>
      <w:i w:val="1"/>
      <w:iCs w:val="1"/>
      <w:color w:val="404040" w:themeColor="text1" w:themeTint="0000BF"/>
    </w:rPr>
  </w:style>
  <w:style w:type="character" w:styleId="872">
    <w:name w:val="Intense Emphasis"/>
    <w:basedOn w:val="856"/>
    <w:uiPriority w:val="21"/>
    <w:qFormat w:val="1"/>
    <w:pPr>
      <w:pBdr/>
      <w:spacing/>
      <w:ind/>
    </w:pPr>
    <w:rPr>
      <w:i w:val="1"/>
      <w:iCs w:val="1"/>
      <w:color w:val="0f4761" w:themeColor="accent1" w:themeShade="0000BF"/>
    </w:rPr>
  </w:style>
  <w:style w:type="paragraph" w:styleId="873">
    <w:name w:val="Intense Quote"/>
    <w:basedOn w:val="906"/>
    <w:next w:val="906"/>
    <w:link w:val="874"/>
    <w:uiPriority w:val="30"/>
    <w:qFormat w:val="1"/>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874">
    <w:name w:val="Intense Quote Char"/>
    <w:basedOn w:val="856"/>
    <w:link w:val="873"/>
    <w:uiPriority w:val="30"/>
    <w:pPr>
      <w:pBdr/>
      <w:spacing/>
      <w:ind/>
    </w:pPr>
    <w:rPr>
      <w:i w:val="1"/>
      <w:iCs w:val="1"/>
      <w:color w:val="0f4761" w:themeColor="accent1" w:themeShade="0000BF"/>
    </w:rPr>
  </w:style>
  <w:style w:type="character" w:styleId="875">
    <w:name w:val="Intense Reference"/>
    <w:basedOn w:val="856"/>
    <w:uiPriority w:val="32"/>
    <w:qFormat w:val="1"/>
    <w:pPr>
      <w:pBdr/>
      <w:spacing/>
      <w:ind/>
    </w:pPr>
    <w:rPr>
      <w:b w:val="1"/>
      <w:bCs w:val="1"/>
      <w:smallCaps w:val="1"/>
      <w:color w:val="0f4761" w:themeColor="accent1" w:themeShade="0000BF"/>
      <w:spacing w:val="5"/>
    </w:rPr>
  </w:style>
  <w:style w:type="character" w:styleId="876">
    <w:name w:val="Subtle Emphasis"/>
    <w:basedOn w:val="856"/>
    <w:uiPriority w:val="19"/>
    <w:qFormat w:val="1"/>
    <w:pPr>
      <w:pBdr/>
      <w:spacing/>
      <w:ind/>
    </w:pPr>
    <w:rPr>
      <w:i w:val="1"/>
      <w:iCs w:val="1"/>
      <w:color w:val="404040" w:themeColor="text1" w:themeTint="0000BF"/>
    </w:rPr>
  </w:style>
  <w:style w:type="character" w:styleId="877">
    <w:name w:val="Emphasis"/>
    <w:basedOn w:val="856"/>
    <w:uiPriority w:val="20"/>
    <w:qFormat w:val="1"/>
    <w:pPr>
      <w:pBdr/>
      <w:spacing/>
      <w:ind/>
    </w:pPr>
    <w:rPr>
      <w:i w:val="1"/>
      <w:iCs w:val="1"/>
    </w:rPr>
  </w:style>
  <w:style w:type="character" w:styleId="878">
    <w:name w:val="Strong"/>
    <w:basedOn w:val="856"/>
    <w:uiPriority w:val="22"/>
    <w:qFormat w:val="1"/>
    <w:pPr>
      <w:pBdr/>
      <w:spacing/>
      <w:ind/>
    </w:pPr>
    <w:rPr>
      <w:b w:val="1"/>
      <w:bCs w:val="1"/>
    </w:rPr>
  </w:style>
  <w:style w:type="character" w:styleId="879">
    <w:name w:val="Subtle Reference"/>
    <w:basedOn w:val="856"/>
    <w:uiPriority w:val="31"/>
    <w:qFormat w:val="1"/>
    <w:pPr>
      <w:pBdr/>
      <w:spacing/>
      <w:ind/>
    </w:pPr>
    <w:rPr>
      <w:smallCaps w:val="1"/>
      <w:color w:val="5a5a5a" w:themeColor="text1" w:themeTint="0000A5"/>
    </w:rPr>
  </w:style>
  <w:style w:type="character" w:styleId="880">
    <w:name w:val="Book Title"/>
    <w:basedOn w:val="856"/>
    <w:uiPriority w:val="33"/>
    <w:qFormat w:val="1"/>
    <w:pPr>
      <w:pBdr/>
      <w:spacing/>
      <w:ind/>
    </w:pPr>
    <w:rPr>
      <w:b w:val="1"/>
      <w:bCs w:val="1"/>
      <w:i w:val="1"/>
      <w:iCs w:val="1"/>
      <w:spacing w:val="5"/>
    </w:rPr>
  </w:style>
  <w:style w:type="paragraph" w:styleId="881">
    <w:name w:val="Header"/>
    <w:basedOn w:val="906"/>
    <w:link w:val="882"/>
    <w:uiPriority w:val="99"/>
    <w:unhideWhenUsed w:val="1"/>
    <w:pPr>
      <w:pBdr/>
      <w:tabs>
        <w:tab w:val="center" w:leader="none" w:pos="4844"/>
        <w:tab w:val="right" w:leader="none" w:pos="9689"/>
      </w:tabs>
      <w:spacing w:after="0" w:line="240" w:lineRule="auto"/>
      <w:ind/>
    </w:pPr>
  </w:style>
  <w:style w:type="character" w:styleId="882">
    <w:name w:val="Header Char"/>
    <w:basedOn w:val="856"/>
    <w:link w:val="881"/>
    <w:uiPriority w:val="99"/>
    <w:pPr>
      <w:pBdr/>
      <w:spacing/>
      <w:ind/>
    </w:pPr>
  </w:style>
  <w:style w:type="paragraph" w:styleId="883">
    <w:name w:val="Footer"/>
    <w:basedOn w:val="906"/>
    <w:link w:val="884"/>
    <w:uiPriority w:val="99"/>
    <w:unhideWhenUsed w:val="1"/>
    <w:pPr>
      <w:pBdr/>
      <w:tabs>
        <w:tab w:val="center" w:leader="none" w:pos="4844"/>
        <w:tab w:val="right" w:leader="none" w:pos="9689"/>
      </w:tabs>
      <w:spacing w:after="0" w:line="240" w:lineRule="auto"/>
      <w:ind/>
    </w:pPr>
  </w:style>
  <w:style w:type="character" w:styleId="884">
    <w:name w:val="Footer Char"/>
    <w:basedOn w:val="856"/>
    <w:link w:val="883"/>
    <w:uiPriority w:val="99"/>
    <w:pPr>
      <w:pBdr/>
      <w:spacing/>
      <w:ind/>
    </w:pPr>
  </w:style>
  <w:style w:type="paragraph" w:styleId="885">
    <w:name w:val="Caption"/>
    <w:basedOn w:val="906"/>
    <w:next w:val="906"/>
    <w:uiPriority w:val="35"/>
    <w:unhideWhenUsed w:val="1"/>
    <w:qFormat w:val="1"/>
    <w:pPr>
      <w:pBdr/>
      <w:spacing w:after="200" w:line="240" w:lineRule="auto"/>
      <w:ind/>
    </w:pPr>
    <w:rPr>
      <w:i w:val="1"/>
      <w:iCs w:val="1"/>
      <w:color w:val="0e2841" w:themeColor="text2"/>
      <w:sz w:val="18"/>
      <w:szCs w:val="18"/>
    </w:rPr>
  </w:style>
  <w:style w:type="paragraph" w:styleId="886">
    <w:name w:val="footnote text"/>
    <w:basedOn w:val="906"/>
    <w:link w:val="887"/>
    <w:uiPriority w:val="99"/>
    <w:semiHidden w:val="1"/>
    <w:unhideWhenUsed w:val="1"/>
    <w:pPr>
      <w:pBdr/>
      <w:spacing w:after="0" w:line="240" w:lineRule="auto"/>
      <w:ind/>
    </w:pPr>
    <w:rPr>
      <w:sz w:val="20"/>
      <w:szCs w:val="20"/>
    </w:rPr>
  </w:style>
  <w:style w:type="character" w:styleId="887">
    <w:name w:val="Footnote Text Char"/>
    <w:basedOn w:val="856"/>
    <w:link w:val="886"/>
    <w:uiPriority w:val="99"/>
    <w:semiHidden w:val="1"/>
    <w:pPr>
      <w:pBdr/>
      <w:spacing/>
      <w:ind/>
    </w:pPr>
    <w:rPr>
      <w:sz w:val="20"/>
      <w:szCs w:val="20"/>
    </w:rPr>
  </w:style>
  <w:style w:type="character" w:styleId="888">
    <w:name w:val="footnote reference"/>
    <w:basedOn w:val="856"/>
    <w:uiPriority w:val="99"/>
    <w:semiHidden w:val="1"/>
    <w:unhideWhenUsed w:val="1"/>
    <w:pPr>
      <w:pBdr/>
      <w:spacing/>
      <w:ind/>
    </w:pPr>
    <w:rPr>
      <w:vertAlign w:val="superscript"/>
    </w:rPr>
  </w:style>
  <w:style w:type="paragraph" w:styleId="889">
    <w:name w:val="endnote text"/>
    <w:basedOn w:val="906"/>
    <w:link w:val="890"/>
    <w:uiPriority w:val="99"/>
    <w:semiHidden w:val="1"/>
    <w:unhideWhenUsed w:val="1"/>
    <w:pPr>
      <w:pBdr/>
      <w:spacing w:after="0" w:line="240" w:lineRule="auto"/>
      <w:ind/>
    </w:pPr>
    <w:rPr>
      <w:sz w:val="20"/>
      <w:szCs w:val="20"/>
    </w:rPr>
  </w:style>
  <w:style w:type="character" w:styleId="890">
    <w:name w:val="Endnote Text Char"/>
    <w:basedOn w:val="856"/>
    <w:link w:val="889"/>
    <w:uiPriority w:val="99"/>
    <w:semiHidden w:val="1"/>
    <w:pPr>
      <w:pBdr/>
      <w:spacing/>
      <w:ind/>
    </w:pPr>
    <w:rPr>
      <w:sz w:val="20"/>
      <w:szCs w:val="20"/>
    </w:rPr>
  </w:style>
  <w:style w:type="character" w:styleId="891">
    <w:name w:val="endnote reference"/>
    <w:basedOn w:val="856"/>
    <w:uiPriority w:val="99"/>
    <w:semiHidden w:val="1"/>
    <w:unhideWhenUsed w:val="1"/>
    <w:pPr>
      <w:pBdr/>
      <w:spacing/>
      <w:ind/>
    </w:pPr>
    <w:rPr>
      <w:vertAlign w:val="superscript"/>
    </w:rPr>
  </w:style>
  <w:style w:type="character" w:styleId="892">
    <w:name w:val="Hyperlink"/>
    <w:basedOn w:val="856"/>
    <w:uiPriority w:val="99"/>
    <w:unhideWhenUsed w:val="1"/>
    <w:pPr>
      <w:pBdr/>
      <w:spacing/>
      <w:ind/>
    </w:pPr>
    <w:rPr>
      <w:color w:val="0563c1" w:themeColor="hyperlink"/>
      <w:u w:val="single"/>
    </w:rPr>
  </w:style>
  <w:style w:type="character" w:styleId="893">
    <w:name w:val="FollowedHyperlink"/>
    <w:basedOn w:val="856"/>
    <w:uiPriority w:val="99"/>
    <w:semiHidden w:val="1"/>
    <w:unhideWhenUsed w:val="1"/>
    <w:pPr>
      <w:pBdr/>
      <w:spacing/>
      <w:ind/>
    </w:pPr>
    <w:rPr>
      <w:color w:val="954f72" w:themeColor="followedHyperlink"/>
      <w:u w:val="single"/>
    </w:rPr>
  </w:style>
  <w:style w:type="paragraph" w:styleId="894">
    <w:name w:val="toc 1"/>
    <w:basedOn w:val="906"/>
    <w:next w:val="906"/>
    <w:uiPriority w:val="39"/>
    <w:unhideWhenUsed w:val="1"/>
    <w:pPr>
      <w:pBdr/>
      <w:spacing w:after="100"/>
      <w:ind/>
    </w:pPr>
  </w:style>
  <w:style w:type="paragraph" w:styleId="895">
    <w:name w:val="toc 2"/>
    <w:basedOn w:val="906"/>
    <w:next w:val="906"/>
    <w:uiPriority w:val="39"/>
    <w:unhideWhenUsed w:val="1"/>
    <w:pPr>
      <w:pBdr/>
      <w:spacing w:after="100"/>
      <w:ind w:left="220"/>
    </w:pPr>
  </w:style>
  <w:style w:type="paragraph" w:styleId="896">
    <w:name w:val="toc 3"/>
    <w:basedOn w:val="906"/>
    <w:next w:val="906"/>
    <w:uiPriority w:val="39"/>
    <w:unhideWhenUsed w:val="1"/>
    <w:pPr>
      <w:pBdr/>
      <w:spacing w:after="100"/>
      <w:ind w:left="440"/>
    </w:pPr>
  </w:style>
  <w:style w:type="paragraph" w:styleId="897">
    <w:name w:val="toc 4"/>
    <w:basedOn w:val="906"/>
    <w:next w:val="906"/>
    <w:uiPriority w:val="39"/>
    <w:unhideWhenUsed w:val="1"/>
    <w:pPr>
      <w:pBdr/>
      <w:spacing w:after="100"/>
      <w:ind w:left="660"/>
    </w:pPr>
  </w:style>
  <w:style w:type="paragraph" w:styleId="898">
    <w:name w:val="toc 5"/>
    <w:basedOn w:val="906"/>
    <w:next w:val="906"/>
    <w:uiPriority w:val="39"/>
    <w:unhideWhenUsed w:val="1"/>
    <w:pPr>
      <w:pBdr/>
      <w:spacing w:after="100"/>
      <w:ind w:left="880"/>
    </w:pPr>
  </w:style>
  <w:style w:type="paragraph" w:styleId="899">
    <w:name w:val="toc 6"/>
    <w:basedOn w:val="906"/>
    <w:next w:val="906"/>
    <w:uiPriority w:val="39"/>
    <w:unhideWhenUsed w:val="1"/>
    <w:pPr>
      <w:pBdr/>
      <w:spacing w:after="100"/>
      <w:ind w:left="1100"/>
    </w:pPr>
  </w:style>
  <w:style w:type="paragraph" w:styleId="900">
    <w:name w:val="toc 7"/>
    <w:basedOn w:val="906"/>
    <w:next w:val="906"/>
    <w:uiPriority w:val="39"/>
    <w:unhideWhenUsed w:val="1"/>
    <w:pPr>
      <w:pBdr/>
      <w:spacing w:after="100"/>
      <w:ind w:left="1320"/>
    </w:pPr>
  </w:style>
  <w:style w:type="paragraph" w:styleId="901">
    <w:name w:val="toc 8"/>
    <w:basedOn w:val="906"/>
    <w:next w:val="906"/>
    <w:uiPriority w:val="39"/>
    <w:unhideWhenUsed w:val="1"/>
    <w:pPr>
      <w:pBdr/>
      <w:spacing w:after="100"/>
      <w:ind w:left="1540"/>
    </w:pPr>
  </w:style>
  <w:style w:type="paragraph" w:styleId="902">
    <w:name w:val="toc 9"/>
    <w:basedOn w:val="906"/>
    <w:next w:val="906"/>
    <w:uiPriority w:val="39"/>
    <w:unhideWhenUsed w:val="1"/>
    <w:pPr>
      <w:pBdr/>
      <w:spacing w:after="100"/>
      <w:ind w:left="1760"/>
    </w:pPr>
  </w:style>
  <w:style w:type="character" w:styleId="903">
    <w:name w:val="Placeholder Text"/>
    <w:basedOn w:val="856"/>
    <w:uiPriority w:val="99"/>
    <w:semiHidden w:val="1"/>
    <w:pPr>
      <w:pBdr/>
      <w:spacing/>
      <w:ind/>
    </w:pPr>
    <w:rPr>
      <w:color w:val="666666"/>
    </w:rPr>
  </w:style>
  <w:style w:type="paragraph" w:styleId="904">
    <w:name w:val="TOC Heading"/>
    <w:uiPriority w:val="39"/>
    <w:unhideWhenUsed w:val="1"/>
    <w:pPr>
      <w:pBdr/>
      <w:spacing/>
      <w:ind/>
    </w:pPr>
  </w:style>
  <w:style w:type="paragraph" w:styleId="905">
    <w:name w:val="table of figures"/>
    <w:basedOn w:val="906"/>
    <w:next w:val="906"/>
    <w:uiPriority w:val="99"/>
    <w:unhideWhenUsed w:val="1"/>
    <w:pPr>
      <w:pBdr/>
      <w:spacing w:after="0" w:afterAutospacing="0"/>
      <w:ind/>
    </w:pPr>
  </w:style>
  <w:style w:type="table" w:styleId="907" w:default="1">
    <w:name w:val="Normal Table"/>
    <w:uiPriority w:val="99"/>
    <w:semiHidden w:val="1"/>
    <w:unhideWhenUsed w:val="1"/>
    <w:pPr>
      <w:pBdr/>
      <w:spacing/>
      <w:ind/>
    </w:pPr>
    <w:tblPr>
      <w:tblInd w:w="0.0" w:type="dxa"/>
      <w:tblBorders/>
      <w:tblCellMar>
        <w:top w:w="0.0" w:type="dxa"/>
        <w:left w:w="108.0" w:type="dxa"/>
        <w:bottom w:w="0.0" w:type="dxa"/>
        <w:right w:w="108.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08" w:default="1">
    <w:name w:val="No List"/>
    <w:uiPriority w:val="99"/>
    <w:semiHidden w:val="1"/>
    <w:unhideWhenUsed w:val="1"/>
    <w:pPr>
      <w:pBdr/>
      <w:spacing/>
      <w:ind/>
    </w:pPr>
  </w:style>
  <w:style w:type="paragraph" w:styleId="909">
    <w:name w:val="No Spacing"/>
    <w:basedOn w:val="906"/>
    <w:uiPriority w:val="1"/>
    <w:qFormat w:val="1"/>
    <w:pPr>
      <w:pBdr/>
      <w:spacing w:after="0" w:line="240" w:lineRule="auto"/>
      <w:ind/>
    </w:pPr>
  </w:style>
  <w:style w:type="paragraph" w:styleId="910">
    <w:name w:val="List Paragraph"/>
    <w:basedOn w:val="906"/>
    <w:uiPriority w:val="34"/>
    <w:qFormat w:val="1"/>
    <w:pPr>
      <w:pBdr/>
      <w:spacing/>
      <w:ind w:left="720"/>
      <w:contextualSpacing w:val="1"/>
    </w:p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D5YYADTjYLjqL7JqfVRl2u3dKw==">CgMxLjA4AHIhMUZqX252OFEtNEVvLWxZXzd5aDNBME9RMUo0ZW9zb3FX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