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2"/>
          <w:szCs w:val="42"/>
        </w:rPr>
        <w:t xml:space="preserve">DISSERTATION PROPOSAL</w:t>
      </w:r>
    </w:p>
    <w:p>
      <w:pPr>
        <w:pBdr>
          <w:bottom w:val="single" w:color="2E75B6" w:sz="6" w:space="6"/>
        </w:pBdr>
        <w:spacing w:after="80" w:before="0"/>
        <w:jc w:val="center"/>
      </w:pPr>
      <w:r>
        <w:rPr>
          <w:rFonts w:ascii="Arial" w:cs="Arial" w:eastAsia="Arial" w:hAnsi="Arial"/>
          <w:b/>
          <w:bCs/>
          <w:i/>
          <w:iCs/>
          <w:color w:val="2E75B6"/>
          <w:sz w:val="30"/>
          <w:szCs w:val="30"/>
        </w:rPr>
        <w:t xml:space="preserve">Eye-Tracking-Based Concussion Assessment System Using Computer Vision and Machine Learning</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Programme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MSc Applied AI and Data Analytics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Module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Dissertation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Candidate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Edward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Academic Year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2025–2026</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Word Count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~2,900 words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Keywords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Eye Tracking, Concussion, mTBI, Oculomotor Assessment, Computer Vision, MediaPipe, Machine Learning</w:t>
            </w:r>
          </w:p>
        </w:tc>
      </w:tr>
    </w:tbl>
    <w:p>
      <w:pPr>
        <w:spacing w:after="200" w:before="200"/>
      </w:pPr>
      <w:r>
        <w:t xml:space="preserve"/>
      </w:r>
    </w:p>
    <w:p>
      <w:pPr>
        <w:pStyle w:val="Heading1"/>
        <w:pBdr>
          <w:bottom w:val="single" w:color="2E75B6" w:sz="4" w:space="4"/>
        </w:pBdr>
        <w:spacing w:after="120" w:before="360"/>
      </w:pPr>
      <w:r>
        <w:rPr>
          <w:rFonts w:ascii="Arial" w:cs="Arial" w:eastAsia="Arial" w:hAnsi="Arial"/>
          <w:b/>
          <w:bCs/>
          <w:color w:val="1F3864"/>
          <w:sz w:val="28"/>
          <w:szCs w:val="28"/>
        </w:rPr>
        <w:t xml:space="preserve">1. Introduction and Motivation</w:t>
      </w:r>
    </w:p>
    <w:p>
      <w:pPr>
        <w:spacing w:after="80" w:before="80" w:line="320" w:lineRule="auto"/>
        <w:jc w:val="both"/>
      </w:pPr>
      <w:r>
        <w:rPr>
          <w:rFonts w:ascii="Arial" w:cs="Arial" w:eastAsia="Arial" w:hAnsi="Arial"/>
          <w:color w:val="1A1A1A"/>
          <w:sz w:val="22"/>
          <w:szCs w:val="22"/>
        </w:rPr>
        <w:t xml:space="preserve">Concussion, or mild traumatic brain injury (mTBI), represents one of the most under-diagnosed yet clinically significant neurological conditions in both athletic and general healthcare settings. According to the Centers for Disease Control and Prevention (CDC), an estimated 1.6 to 3.8 million sports-related concussions occur annually in the United States alone, and globally the incidence is considered substantially higher due to widespread under-reporting (CDC, 2024). Contact sports such as boxing, rugby, and American football carry disproportionately high risk; a 2024 meta-analysis published in the Journal of Orthopaedic and Sports Physical Therapy reported an overall pooled concussion incidence of 4.36 per 1,000 player hours across seven major contact sports.</w:t>
      </w:r>
    </w:p>
    <w:p>
      <w:pPr>
        <w:spacing w:after="40" w:before="40"/>
      </w:pPr>
      <w:r>
        <w:t xml:space="preserve"/>
      </w:r>
    </w:p>
    <w:p>
      <w:pPr>
        <w:spacing w:after="80" w:before="80" w:line="320" w:lineRule="auto"/>
        <w:jc w:val="both"/>
      </w:pPr>
      <w:r>
        <w:rPr>
          <w:rFonts w:ascii="Arial" w:cs="Arial" w:eastAsia="Arial" w:hAnsi="Arial"/>
          <w:color w:val="1A1A1A"/>
          <w:sz w:val="22"/>
          <w:szCs w:val="22"/>
        </w:rPr>
        <w:t xml:space="preserve">Despite this public health burden, current gold-standard assessment tools remain primarily subjective. The Sport Concussion Assessment Tool, 5th Edition (SCAT5), is widely used in sideline and clinical settings but relies heavily on self-reported symptoms, cognitive testing, and clinical observation — all of which are susceptible to under-reporting, effort bias, and examiner variability. This creates a critical clinical gap: a concussed athlete may present with normal SCAT5 scores while still exhibiting measurable neurological deficits detectable through objective biomarkers.</w:t>
      </w:r>
    </w:p>
    <w:p>
      <w:pPr>
        <w:spacing w:after="40" w:before="40"/>
      </w:pPr>
      <w:r>
        <w:t xml:space="preserve"/>
      </w:r>
    </w:p>
    <w:p>
      <w:pPr>
        <w:spacing w:after="80" w:before="80" w:line="320" w:lineRule="auto"/>
        <w:jc w:val="both"/>
      </w:pPr>
      <w:r>
        <w:rPr>
          <w:rFonts w:ascii="Arial" w:cs="Arial" w:eastAsia="Arial" w:hAnsi="Arial"/>
          <w:color w:val="1A1A1A"/>
          <w:sz w:val="22"/>
          <w:szCs w:val="22"/>
        </w:rPr>
        <w:t xml:space="preserve">The human oculomotor system — responsible for controlling eye movement — is among the most sensitive indicators of neurological integrity. Multiple brain regions involved in saccadic control, smooth pursuit tracking, and fixation stability are frequently implicated in concussion pathophysiology. Research published in Scientific Reports (2024) demonstrated that computerised eye-tracking data from saccade, fixation, smooth pursuit, and vestibulo-ocular reflex tests, fed into a machine learning classifier, could successfully differentiate between healthy controls, acute mTBI patients, and those with persistent post-concussion syndrome with clinically meaningful accuracy.</w:t>
      </w:r>
    </w:p>
    <w:p>
      <w:pPr>
        <w:spacing w:after="40" w:before="40"/>
      </w:pPr>
      <w:r>
        <w:t xml:space="preserve"/>
      </w:r>
    </w:p>
    <w:p>
      <w:pPr>
        <w:spacing w:after="80" w:before="80" w:line="320" w:lineRule="auto"/>
        <w:jc w:val="both"/>
      </w:pPr>
      <w:r>
        <w:rPr>
          <w:rFonts w:ascii="Arial" w:cs="Arial" w:eastAsia="Arial" w:hAnsi="Arial"/>
          <w:color w:val="1A1A1A"/>
          <w:sz w:val="22"/>
          <w:szCs w:val="22"/>
        </w:rPr>
        <w:t xml:space="preserve">This dissertation proposes the development and pilot evaluation of a low-cost, webcam-based eye-tracking assessment system designed to screen for oculomotor biomarkers of concussion. The system leverages open-source computer vision libraries (OpenCV, MediaPipe) and a structured battery of fourteen standardised eye-movement tests, with a longer-term objective of training a machine learning model on collected data to enable automated concussion likelihood classification.</w:t>
      </w:r>
    </w:p>
    <w:p>
      <w:pPr>
        <w:spacing w:after="160" w:before="160"/>
      </w:pPr>
      <w:r>
        <w:t xml:space="preserve"/>
      </w:r>
    </w:p>
    <w:p>
      <w:pPr>
        <w:pStyle w:val="Heading1"/>
        <w:pBdr>
          <w:bottom w:val="single" w:color="2E75B6" w:sz="4" w:space="4"/>
        </w:pBdr>
        <w:spacing w:after="120" w:before="360"/>
      </w:pPr>
      <w:r>
        <w:rPr>
          <w:rFonts w:ascii="Arial" w:cs="Arial" w:eastAsia="Arial" w:hAnsi="Arial"/>
          <w:b/>
          <w:bCs/>
          <w:color w:val="1F3864"/>
          <w:sz w:val="28"/>
          <w:szCs w:val="28"/>
        </w:rPr>
        <w:t xml:space="preserve">2. Research Background and Literature Review</w:t>
      </w:r>
    </w:p>
    <w:p>
      <w:pPr>
        <w:pStyle w:val="Heading2"/>
        <w:spacing w:after="80" w:before="240"/>
      </w:pPr>
      <w:r>
        <w:rPr>
          <w:rFonts w:ascii="Arial" w:cs="Arial" w:eastAsia="Arial" w:hAnsi="Arial"/>
          <w:b/>
          <w:bCs/>
          <w:color w:val="2E75B6"/>
          <w:sz w:val="24"/>
          <w:szCs w:val="24"/>
        </w:rPr>
        <w:t xml:space="preserve">2.1 The Oculomotor System as a Concussion Biomarker</w:t>
      </w:r>
    </w:p>
    <w:p>
      <w:pPr>
        <w:spacing w:after="80" w:before="80" w:line="320" w:lineRule="auto"/>
        <w:jc w:val="both"/>
      </w:pPr>
      <w:r>
        <w:rPr>
          <w:rFonts w:ascii="Arial" w:cs="Arial" w:eastAsia="Arial" w:hAnsi="Arial"/>
          <w:color w:val="1A1A1A"/>
          <w:sz w:val="22"/>
          <w:szCs w:val="22"/>
        </w:rPr>
        <w:t xml:space="preserve">Eye movements are governed by a distributed network of brainstem nuclei, cerebellar pathways, and cortical regions, many of which are vulnerable to the diffuse axonal injury characteristic of mTBI. Studies consistently show that up to 90% of concussed individuals exhibit measurable oculomotor impairments in the acute phase (PMC, 2024). Crucially, research published in Scientific Reports (2025) demonstrated that oculomotor dysfunction may persist even after patients have been cleared for return-to-play based on symptom resolution, suggesting that eye-tracking metrics may capture subclinical deficits invisible to standard assessment.</w:t>
      </w:r>
    </w:p>
    <w:p>
      <w:pPr>
        <w:spacing w:after="40" w:before="40"/>
      </w:pPr>
      <w:r>
        <w:t xml:space="preserve"/>
      </w:r>
    </w:p>
    <w:p>
      <w:pPr>
        <w:spacing w:after="80" w:before="80" w:line="320" w:lineRule="auto"/>
        <w:jc w:val="both"/>
      </w:pPr>
      <w:r>
        <w:rPr>
          <w:rFonts w:ascii="Arial" w:cs="Arial" w:eastAsia="Arial" w:hAnsi="Arial"/>
          <w:color w:val="1A1A1A"/>
          <w:sz w:val="22"/>
          <w:szCs w:val="22"/>
        </w:rPr>
        <w:t xml:space="preserve">Key oculomotor paradigms implicated in concussion research include saccadic eye movements (rapid gaze shifts between discrete targets), smooth pursuit tracking (continuous following of a moving stimulus), fixation stability (maintenance of steady gaze on a stationary target), and the near-point of convergence test. A 2024 study in Optometry and Vision Science, examining 115 patients with a concussion history, found significantly fewer fixations and lower saccade speed/accuracy ratios compared to healthy controls. Separately, a PMC-indexed study from 2024 found significantly elevated smooth pursuit gain in collegiate athletes immediately following sport-related concussion, with gain remaining abnormal at three- and seven-day follow-ups.</w:t>
      </w:r>
    </w:p>
    <w:p>
      <w:pPr>
        <w:pStyle w:val="Heading2"/>
        <w:spacing w:after="80" w:before="240"/>
      </w:pPr>
      <w:r>
        <w:rPr>
          <w:rFonts w:ascii="Arial" w:cs="Arial" w:eastAsia="Arial" w:hAnsi="Arial"/>
          <w:b/>
          <w:bCs/>
          <w:color w:val="2E75B6"/>
          <w:sz w:val="24"/>
          <w:szCs w:val="24"/>
        </w:rPr>
        <w:t xml:space="preserve">2.2 Integration with Established Clinical Frameworks</w:t>
      </w:r>
    </w:p>
    <w:p>
      <w:pPr>
        <w:spacing w:after="80" w:before="80" w:line="320" w:lineRule="auto"/>
        <w:jc w:val="both"/>
      </w:pPr>
      <w:r>
        <w:rPr>
          <w:rFonts w:ascii="Arial" w:cs="Arial" w:eastAsia="Arial" w:hAnsi="Arial"/>
          <w:color w:val="1A1A1A"/>
          <w:sz w:val="22"/>
          <w:szCs w:val="22"/>
        </w:rPr>
        <w:t xml:space="preserve">A 2023 framework paper in ScienceDirect proposed integrating eye-tracking metrics directly into the SCAT5 protocol, generating a composite "ocular score" alongside existing symptom and cognitive sub-scores to increase diagnostic objectivity. This aligns with the 2023 Amsterdam International Consensus Statement on Concussion in Sport, which called for the development of validated objective biomarkers to supplement self-report-dependent tools.</w:t>
      </w:r>
    </w:p>
    <w:p>
      <w:pPr>
        <w:spacing w:after="40" w:before="40"/>
      </w:pPr>
      <w:r>
        <w:t xml:space="preserve"/>
      </w:r>
    </w:p>
    <w:p>
      <w:pPr>
        <w:spacing w:after="80" w:before="80" w:line="320" w:lineRule="auto"/>
        <w:jc w:val="both"/>
      </w:pPr>
      <w:r>
        <w:rPr>
          <w:rFonts w:ascii="Arial" w:cs="Arial" w:eastAsia="Arial" w:hAnsi="Arial"/>
          <w:color w:val="1A1A1A"/>
          <w:sz w:val="22"/>
          <w:szCs w:val="22"/>
        </w:rPr>
        <w:t xml:space="preserve">Importantly, the convergence of accessibility-focused hardware with clinical demand is accelerating. A 2025 evaluation in Sports Medicine — Open assessed a smartphone-based eye-tracking application (BrainEye) for concussion management, reporting clinically relevant sensitivity and specificity for identifying clinically diagnosed concussion. This supports the broader principle underpinning this dissertation: that affordable, camera-based systems can provide meaningful oculomotor data without requiring expensive proprietary hardware.</w:t>
      </w:r>
    </w:p>
    <w:p>
      <w:pPr>
        <w:pStyle w:val="Heading2"/>
        <w:spacing w:after="80" w:before="240"/>
      </w:pPr>
      <w:r>
        <w:rPr>
          <w:rFonts w:ascii="Arial" w:cs="Arial" w:eastAsia="Arial" w:hAnsi="Arial"/>
          <w:b/>
          <w:bCs/>
          <w:color w:val="2E75B6"/>
          <w:sz w:val="24"/>
          <w:szCs w:val="24"/>
        </w:rPr>
        <w:t xml:space="preserve">2.3 Machine Learning in Concussion Classification</w:t>
      </w:r>
    </w:p>
    <w:p>
      <w:pPr>
        <w:spacing w:after="80" w:before="80" w:line="320" w:lineRule="auto"/>
        <w:jc w:val="both"/>
      </w:pPr>
      <w:r>
        <w:rPr>
          <w:rFonts w:ascii="Arial" w:cs="Arial" w:eastAsia="Arial" w:hAnsi="Arial"/>
          <w:color w:val="1A1A1A"/>
          <w:sz w:val="22"/>
          <w:szCs w:val="22"/>
        </w:rPr>
        <w:t xml:space="preserve">Machine learning approaches have shown particular promise in translating multi-dimensional eye-movement signals into binary or multiclass classification outputs. A 2024 Scientific Reports study trained a model on six oculomotor test types — including fixation stability, smooth pursuit, saccades, and the Stroop-visual attention task — to categorise 115 participants as healthy controls, acute mTBI, or persistent post-concussion syndrome, achieving performance metrics sufficient for clinical utility. A 2025 study further demonstrated that a random forest classifier could predict recovery duration following mTBI in athletes, underscoring the potential for ML to extend beyond detection into prognosis. Smartphone-based machine learning for pupillometry has also achieved significant differentiation between mTBI and healthy controls (MDPI Diagnostics, 2024).</w:t>
      </w:r>
    </w:p>
    <w:p>
      <w:pPr>
        <w:spacing w:after="40" w:before="40"/>
      </w:pPr>
      <w:r>
        <w:t xml:space="preserve"/>
      </w:r>
    </w:p>
    <w:p>
      <w:pPr>
        <w:spacing w:after="80" w:before="80" w:line="320" w:lineRule="auto"/>
        <w:jc w:val="both"/>
      </w:pPr>
      <w:r>
        <w:rPr>
          <w:rFonts w:ascii="Arial" w:cs="Arial" w:eastAsia="Arial" w:hAnsi="Arial"/>
          <w:color w:val="1A1A1A"/>
          <w:sz w:val="22"/>
          <w:szCs w:val="22"/>
        </w:rPr>
        <w:t xml:space="preserve">Taken together, the literature establishes a robust scientific foundation for a webcam-delivered, AI-augmented oculomotor assessment system as a valid and clinically meaningful approach to concussion screening.</w:t>
      </w:r>
    </w:p>
    <w:p>
      <w:pPr>
        <w:spacing w:after="160" w:before="160"/>
      </w:pPr>
      <w:r>
        <w:t xml:space="preserve"/>
      </w:r>
    </w:p>
    <w:p>
      <w:pPr>
        <w:pStyle w:val="Heading1"/>
        <w:pBdr>
          <w:bottom w:val="single" w:color="2E75B6" w:sz="4" w:space="4"/>
        </w:pBdr>
        <w:spacing w:after="120" w:before="360"/>
      </w:pPr>
      <w:r>
        <w:rPr>
          <w:rFonts w:ascii="Arial" w:cs="Arial" w:eastAsia="Arial" w:hAnsi="Arial"/>
          <w:b/>
          <w:bCs/>
          <w:color w:val="1F3864"/>
          <w:sz w:val="28"/>
          <w:szCs w:val="28"/>
        </w:rPr>
        <w:t xml:space="preserve">3. Research Gap and Problem Statement</w:t>
      </w:r>
    </w:p>
    <w:p>
      <w:pPr>
        <w:spacing w:after="80" w:before="80" w:line="320" w:lineRule="auto"/>
        <w:jc w:val="both"/>
      </w:pPr>
      <w:r>
        <w:rPr>
          <w:rFonts w:ascii="Arial" w:cs="Arial" w:eastAsia="Arial" w:hAnsi="Arial"/>
          <w:color w:val="1A1A1A"/>
          <w:sz w:val="22"/>
          <w:szCs w:val="22"/>
        </w:rPr>
        <w:t xml:space="preserve">Despite compelling evidence for oculomotor biomarkers and growing interest in accessible eye-tracking, several critical gaps persist. First, the majority of validated systems rely on infrared-based hardware (e.g., Tobii, EyeLink) costing thousands of pounds, making them impractical for pitch-side sports settings, low-resource clinics, or routine screening programmes. Second, published datasets combining structured multi-test oculomotor batteries with verified clinical diagnoses — particularly for boxing and combat sport athletes — remain scarce. Third, standardised, open-source test delivery protocols that ensure ecological validity across diverse populations have not been widely disseminated.</w:t>
      </w:r>
    </w:p>
    <w:p>
      <w:pPr>
        <w:spacing w:after="40" w:before="40"/>
      </w:pPr>
      <w:r>
        <w:t xml:space="preserve"/>
      </w:r>
    </w:p>
    <w:p>
      <w:pPr>
        <w:spacing w:after="80" w:before="80" w:line="320" w:lineRule="auto"/>
        <w:jc w:val="both"/>
      </w:pPr>
      <w:r>
        <w:rPr>
          <w:rFonts w:ascii="Arial" w:cs="Arial" w:eastAsia="Arial" w:hAnsi="Arial"/>
          <w:color w:val="1A1A1A"/>
          <w:sz w:val="22"/>
          <w:szCs w:val="22"/>
        </w:rPr>
        <w:t xml:space="preserve">This dissertation addresses these gaps by: (1) building and validating a webcam-based oculomotor test platform deployable on standard consumer hardware; (2) collecting a structured pilot dataset across a target population of sports participants and, where accessible, clinical referrals; and (3) exploring the feasibility of machine learning classification of concussion-related oculomotor patterns from this data.</w:t>
      </w:r>
    </w:p>
    <w:p>
      <w:pPr>
        <w:spacing w:after="160" w:before="160"/>
      </w:pPr>
      <w:r>
        <w:t xml:space="preserve"/>
      </w:r>
    </w:p>
    <w:p>
      <w:pPr>
        <w:pStyle w:val="Heading1"/>
        <w:pBdr>
          <w:bottom w:val="single" w:color="2E75B6" w:sz="4" w:space="4"/>
        </w:pBdr>
        <w:spacing w:after="120" w:before="360"/>
      </w:pPr>
      <w:r>
        <w:rPr>
          <w:rFonts w:ascii="Arial" w:cs="Arial" w:eastAsia="Arial" w:hAnsi="Arial"/>
          <w:b/>
          <w:bCs/>
          <w:color w:val="1F3864"/>
          <w:sz w:val="28"/>
          <w:szCs w:val="28"/>
        </w:rPr>
        <w:t xml:space="preserve">4. Research Aims and Objectives</w:t>
      </w:r>
    </w:p>
    <w:p>
      <w:pPr>
        <w:spacing w:after="80" w:before="80" w:line="320" w:lineRule="auto"/>
        <w:jc w:val="both"/>
      </w:pPr>
      <w:r>
        <w:rPr>
          <w:rFonts w:ascii="Arial" w:cs="Arial" w:eastAsia="Arial" w:hAnsi="Arial"/>
          <w:color w:val="1A1A1A"/>
          <w:sz w:val="22"/>
          <w:szCs w:val="22"/>
        </w:rPr>
        <w:t xml:space="preserve">The overarching aim of this dissertation is to design, implement, and preliminarily evaluate a low-cost, webcam-based eye-tracking assessment system capable of capturing oculomotor biomarkers associated with concussion in sports and clinical populations.</w:t>
      </w:r>
    </w:p>
    <w:p>
      <w:pPr>
        <w:spacing w:after="80" w:before="80"/>
      </w:pPr>
      <w:r>
        <w:t xml:space="preserve"/>
      </w:r>
    </w:p>
    <w:p>
      <w:pPr>
        <w:spacing w:after="80" w:before="80" w:line="320" w:lineRule="auto"/>
        <w:jc w:val="both"/>
      </w:pPr>
      <w:r>
        <w:rPr>
          <w:rFonts w:ascii="Arial" w:cs="Arial" w:eastAsia="Arial" w:hAnsi="Arial"/>
          <w:b/>
          <w:bCs/>
          <w:color w:val="1A1A1A"/>
          <w:sz w:val="22"/>
          <w:szCs w:val="22"/>
        </w:rPr>
        <w:t xml:space="preserve">The specific objectives are:</w:t>
      </w:r>
    </w:p>
    <w:p>
      <w:pPr>
        <w:pStyle w:val="ListParagraph"/>
        <w:numPr>
          <w:ilvl w:val="0"/>
          <w:numId w:val="2"/>
        </w:numPr>
        <w:spacing w:after="40" w:before="40" w:line="300" w:lineRule="auto"/>
      </w:pPr>
      <w:r>
        <w:rPr>
          <w:rFonts w:ascii="Arial" w:cs="Arial" w:eastAsia="Arial" w:hAnsi="Arial"/>
          <w:color w:val="1A1A1A"/>
          <w:sz w:val="22"/>
          <w:szCs w:val="22"/>
        </w:rPr>
        <w:t xml:space="preserve">To develop a web-deliverable battery of fourteen standardised oculomotor tests, encompassing smooth pursuit, saccade, fixation stability, reaction time, and blink-rate paradigms, grounded in published clinical assessment literature.</w:t>
      </w:r>
    </w:p>
    <w:p>
      <w:pPr>
        <w:pStyle w:val="ListParagraph"/>
        <w:numPr>
          <w:ilvl w:val="0"/>
          <w:numId w:val="2"/>
        </w:numPr>
        <w:spacing w:after="40" w:before="40" w:line="300" w:lineRule="auto"/>
      </w:pPr>
      <w:r>
        <w:rPr>
          <w:rFonts w:ascii="Arial" w:cs="Arial" w:eastAsia="Arial" w:hAnsi="Arial"/>
          <w:color w:val="1A1A1A"/>
          <w:sz w:val="22"/>
          <w:szCs w:val="22"/>
        </w:rPr>
        <w:t xml:space="preserve">To implement a real-time gaze-estimation pipeline using OpenCV and MediaPipe FaceMesh, capable of extracting quantitative eye-movement metrics (e.g., saccade velocity, pursuit gain, fixation dispersion) from standard webcam input.</w:t>
      </w:r>
    </w:p>
    <w:p>
      <w:pPr>
        <w:pStyle w:val="ListParagraph"/>
        <w:numPr>
          <w:ilvl w:val="0"/>
          <w:numId w:val="2"/>
        </w:numPr>
        <w:spacing w:after="40" w:before="40" w:line="300" w:lineRule="auto"/>
      </w:pPr>
      <w:r>
        <w:rPr>
          <w:rFonts w:ascii="Arial" w:cs="Arial" w:eastAsia="Arial" w:hAnsi="Arial"/>
          <w:color w:val="1A1A1A"/>
          <w:sz w:val="22"/>
          <w:szCs w:val="22"/>
        </w:rPr>
        <w:t xml:space="preserve">To conduct a structured pilot data collection with sports participants (targeting boxing and contact sport athletes) and, where feasible, individuals with a documented concussion history, establishing a labelled dataset for subsequent analysis.</w:t>
      </w:r>
    </w:p>
    <w:p>
      <w:pPr>
        <w:pStyle w:val="ListParagraph"/>
        <w:numPr>
          <w:ilvl w:val="0"/>
          <w:numId w:val="2"/>
        </w:numPr>
        <w:spacing w:after="40" w:before="40" w:line="300" w:lineRule="auto"/>
      </w:pPr>
      <w:r>
        <w:rPr>
          <w:rFonts w:ascii="Arial" w:cs="Arial" w:eastAsia="Arial" w:hAnsi="Arial"/>
          <w:color w:val="1A1A1A"/>
          <w:sz w:val="22"/>
          <w:szCs w:val="22"/>
        </w:rPr>
        <w:t xml:space="preserve">To train and evaluate machine learning classification models — including logistic regression, random forest, and gradient boosting — on the collected oculomotor feature dataset to assess their ability to distinguish concussed from non-concussed individuals.</w:t>
      </w:r>
    </w:p>
    <w:p>
      <w:pPr>
        <w:pStyle w:val="ListParagraph"/>
        <w:numPr>
          <w:ilvl w:val="0"/>
          <w:numId w:val="2"/>
        </w:numPr>
        <w:spacing w:after="40" w:before="40" w:line="300" w:lineRule="auto"/>
      </w:pPr>
      <w:r>
        <w:rPr>
          <w:rFonts w:ascii="Arial" w:cs="Arial" w:eastAsia="Arial" w:hAnsi="Arial"/>
          <w:color w:val="1A1A1A"/>
          <w:sz w:val="22"/>
          <w:szCs w:val="22"/>
        </w:rPr>
        <w:t xml:space="preserve">To critically evaluate the system's performance, limitations, and readiness for real-world adoption against established clinical standards, ethical frameworks, and existing commercial solutions.</w:t>
      </w:r>
    </w:p>
    <w:p>
      <w:pPr>
        <w:spacing w:after="160" w:before="160"/>
      </w:pPr>
      <w:r>
        <w:t xml:space="preserve"/>
      </w:r>
    </w:p>
    <w:p>
      <w:pPr>
        <w:pStyle w:val="Heading1"/>
        <w:pBdr>
          <w:bottom w:val="single" w:color="2E75B6" w:sz="4" w:space="4"/>
        </w:pBdr>
        <w:spacing w:after="120" w:before="360"/>
      </w:pPr>
      <w:r>
        <w:rPr>
          <w:rFonts w:ascii="Arial" w:cs="Arial" w:eastAsia="Arial" w:hAnsi="Arial"/>
          <w:b/>
          <w:bCs/>
          <w:color w:val="1F3864"/>
          <w:sz w:val="28"/>
          <w:szCs w:val="28"/>
        </w:rPr>
        <w:t xml:space="preserve">5. Research Questions</w:t>
      </w:r>
    </w:p>
    <w:p>
      <w:pPr>
        <w:pStyle w:val="ListParagraph"/>
        <w:numPr>
          <w:ilvl w:val="0"/>
          <w:numId w:val="2"/>
        </w:numPr>
        <w:spacing w:after="40" w:before="40" w:line="300" w:lineRule="auto"/>
      </w:pPr>
      <w:r>
        <w:rPr>
          <w:rFonts w:ascii="Arial" w:cs="Arial" w:eastAsia="Arial" w:hAnsi="Arial"/>
          <w:color w:val="1A1A1A"/>
          <w:sz w:val="22"/>
          <w:szCs w:val="22"/>
        </w:rPr>
        <w:t xml:space="preserve">RQ1: Can a webcam-based oculomotor test battery, implemented using OpenCV and MediaPipe, reliably extract eye-movement metrics that differ significantly between individuals with and without a recent concussion?</w:t>
      </w:r>
    </w:p>
    <w:p>
      <w:pPr>
        <w:pStyle w:val="ListParagraph"/>
        <w:numPr>
          <w:ilvl w:val="0"/>
          <w:numId w:val="2"/>
        </w:numPr>
        <w:spacing w:after="40" w:before="40" w:line="300" w:lineRule="auto"/>
      </w:pPr>
      <w:r>
        <w:rPr>
          <w:rFonts w:ascii="Arial" w:cs="Arial" w:eastAsia="Arial" w:hAnsi="Arial"/>
          <w:color w:val="1A1A1A"/>
          <w:sz w:val="22"/>
          <w:szCs w:val="22"/>
        </w:rPr>
        <w:t xml:space="preserve">RQ2: Which combination of oculomotor features — drawn from smooth pursuit, saccade, fixation, reaction time, and blink tests — provides the strongest discriminative signal for machine learning-based concussion classification?</w:t>
      </w:r>
    </w:p>
    <w:p>
      <w:pPr>
        <w:pStyle w:val="ListParagraph"/>
        <w:numPr>
          <w:ilvl w:val="0"/>
          <w:numId w:val="2"/>
        </w:numPr>
        <w:spacing w:after="40" w:before="40" w:line="300" w:lineRule="auto"/>
      </w:pPr>
      <w:r>
        <w:rPr>
          <w:rFonts w:ascii="Arial" w:cs="Arial" w:eastAsia="Arial" w:hAnsi="Arial"/>
          <w:color w:val="1A1A1A"/>
          <w:sz w:val="22"/>
          <w:szCs w:val="22"/>
        </w:rPr>
        <w:t xml:space="preserve">RQ3: What are the principal technical, clinical, and ethical barriers to deploying such a system as a scalable concussion screening tool in boxing and other contact sports environments?</w:t>
      </w:r>
    </w:p>
    <w:p>
      <w:pPr>
        <w:spacing w:after="160" w:before="160"/>
      </w:pPr>
      <w:r>
        <w:t xml:space="preserve"/>
      </w:r>
    </w:p>
    <w:p>
      <w:pPr>
        <w:pStyle w:val="Heading1"/>
        <w:pBdr>
          <w:bottom w:val="single" w:color="2E75B6" w:sz="4" w:space="4"/>
        </w:pBdr>
        <w:spacing w:after="120" w:before="360"/>
      </w:pPr>
      <w:r>
        <w:rPr>
          <w:rFonts w:ascii="Arial" w:cs="Arial" w:eastAsia="Arial" w:hAnsi="Arial"/>
          <w:b/>
          <w:bCs/>
          <w:color w:val="1F3864"/>
          <w:sz w:val="28"/>
          <w:szCs w:val="28"/>
        </w:rPr>
        <w:t xml:space="preserve">6. Methodology</w:t>
      </w:r>
    </w:p>
    <w:p>
      <w:pPr>
        <w:pStyle w:val="Heading2"/>
        <w:spacing w:after="80" w:before="240"/>
      </w:pPr>
      <w:r>
        <w:rPr>
          <w:rFonts w:ascii="Arial" w:cs="Arial" w:eastAsia="Arial" w:hAnsi="Arial"/>
          <w:b/>
          <w:bCs/>
          <w:color w:val="2E75B6"/>
          <w:sz w:val="24"/>
          <w:szCs w:val="24"/>
        </w:rPr>
        <w:t xml:space="preserve">6.1 Research Design</w:t>
      </w:r>
    </w:p>
    <w:p>
      <w:pPr>
        <w:spacing w:after="80" w:before="80" w:line="320" w:lineRule="auto"/>
        <w:jc w:val="both"/>
      </w:pPr>
      <w:r>
        <w:rPr>
          <w:rFonts w:ascii="Arial" w:cs="Arial" w:eastAsia="Arial" w:hAnsi="Arial"/>
          <w:color w:val="1A1A1A"/>
          <w:sz w:val="22"/>
          <w:szCs w:val="22"/>
        </w:rPr>
        <w:t xml:space="preserve">This dissertation adopts a mixed-methods design, combining system development and technical evaluation with empirical data collection and machine learning analysis. Methodologically, it falls within the applied engineering and health informatics paradigm, where a functional artefact (the assessment platform) is both the primary deliverable and the instrument of data collection. The study design is cross-sectional for the pilot data collection phase.</w:t>
      </w:r>
    </w:p>
    <w:p>
      <w:pPr>
        <w:pStyle w:val="Heading2"/>
        <w:spacing w:after="80" w:before="240"/>
      </w:pPr>
      <w:r>
        <w:rPr>
          <w:rFonts w:ascii="Arial" w:cs="Arial" w:eastAsia="Arial" w:hAnsi="Arial"/>
          <w:b/>
          <w:bCs/>
          <w:color w:val="2E75B6"/>
          <w:sz w:val="24"/>
          <w:szCs w:val="24"/>
        </w:rPr>
        <w:t xml:space="preserve">6.2 System Architecture and Test Battery</w:t>
      </w:r>
    </w:p>
    <w:p>
      <w:pPr>
        <w:spacing w:after="80" w:before="80" w:line="320" w:lineRule="auto"/>
        <w:jc w:val="both"/>
      </w:pPr>
      <w:r>
        <w:rPr>
          <w:rFonts w:ascii="Arial" w:cs="Arial" w:eastAsia="Arial" w:hAnsi="Arial"/>
          <w:color w:val="1A1A1A"/>
          <w:sz w:val="22"/>
          <w:szCs w:val="22"/>
        </w:rPr>
        <w:t xml:space="preserve">The assessment system has been developed as a browser-based application, enabling deployment without software installation on the participant side. The backend processing pipeline is implemented in Python, utilising OpenCV for video capture and frame processing, and MediaPipe FaceMesh for 468-landmark facial tracking — from which iris and eyelid landmark coordinates are extracted in real time.</w:t>
      </w:r>
    </w:p>
    <w:p>
      <w:pPr>
        <w:spacing w:after="40" w:before="40"/>
      </w:pPr>
      <w:r>
        <w:t xml:space="preserve"/>
      </w:r>
    </w:p>
    <w:p>
      <w:pPr>
        <w:spacing w:after="80" w:before="80" w:line="320" w:lineRule="auto"/>
        <w:jc w:val="both"/>
      </w:pPr>
      <w:r>
        <w:rPr>
          <w:rFonts w:ascii="Arial" w:cs="Arial" w:eastAsia="Arial" w:hAnsi="Arial"/>
          <w:color w:val="1A1A1A"/>
          <w:sz w:val="22"/>
          <w:szCs w:val="22"/>
        </w:rPr>
        <w:t xml:space="preserve">The test battery comprises fourteen individual oculomotor paradigms, grouped into the following categories:</w:t>
      </w:r>
    </w:p>
    <w:p>
      <w:pPr>
        <w:pStyle w:val="ListParagraph"/>
        <w:numPr>
          <w:ilvl w:val="0"/>
          <w:numId w:val="2"/>
        </w:numPr>
        <w:spacing w:after="40" w:before="40" w:line="300" w:lineRule="auto"/>
      </w:pPr>
      <w:r>
        <w:rPr>
          <w:rFonts w:ascii="Arial" w:cs="Arial" w:eastAsia="Arial" w:hAnsi="Arial"/>
          <w:color w:val="1A1A1A"/>
          <w:sz w:val="22"/>
          <w:szCs w:val="22"/>
        </w:rPr>
        <w:t xml:space="preserve">Smooth Pursuit Tests: the participant visually tracks a smoothly moving stimulus across the screen at defined velocities; pursuit gain (ratio of eye velocity to target velocity) is the primary metric extracted.</w:t>
      </w:r>
    </w:p>
    <w:p>
      <w:pPr>
        <w:pStyle w:val="ListParagraph"/>
        <w:numPr>
          <w:ilvl w:val="0"/>
          <w:numId w:val="2"/>
        </w:numPr>
        <w:spacing w:after="40" w:before="40" w:line="300" w:lineRule="auto"/>
      </w:pPr>
      <w:r>
        <w:rPr>
          <w:rFonts w:ascii="Arial" w:cs="Arial" w:eastAsia="Arial" w:hAnsi="Arial"/>
          <w:color w:val="1A1A1A"/>
          <w:sz w:val="22"/>
          <w:szCs w:val="22"/>
        </w:rPr>
        <w:t xml:space="preserve">Saccade Tests: rapid gaze shifts between two or more fixed targets are measured for latency, peak velocity, amplitude accuracy, and the presence of corrective saccades.</w:t>
      </w:r>
    </w:p>
    <w:p>
      <w:pPr>
        <w:pStyle w:val="ListParagraph"/>
        <w:numPr>
          <w:ilvl w:val="0"/>
          <w:numId w:val="2"/>
        </w:numPr>
        <w:spacing w:after="40" w:before="40" w:line="300" w:lineRule="auto"/>
      </w:pPr>
      <w:r>
        <w:rPr>
          <w:rFonts w:ascii="Arial" w:cs="Arial" w:eastAsia="Arial" w:hAnsi="Arial"/>
          <w:color w:val="1A1A1A"/>
          <w:sz w:val="22"/>
          <w:szCs w:val="22"/>
        </w:rPr>
        <w:t xml:space="preserve">Fixation Stability Tests: participants maintain gaze on a stationary target; fixation dispersion (standard deviation of gaze position) and micro-saccade frequency are computed.</w:t>
      </w:r>
    </w:p>
    <w:p>
      <w:pPr>
        <w:pStyle w:val="ListParagraph"/>
        <w:numPr>
          <w:ilvl w:val="0"/>
          <w:numId w:val="2"/>
        </w:numPr>
        <w:spacing w:after="40" w:before="40" w:line="300" w:lineRule="auto"/>
      </w:pPr>
      <w:r>
        <w:rPr>
          <w:rFonts w:ascii="Arial" w:cs="Arial" w:eastAsia="Arial" w:hAnsi="Arial"/>
          <w:color w:val="1A1A1A"/>
          <w:sz w:val="22"/>
          <w:szCs w:val="22"/>
        </w:rPr>
        <w:t xml:space="preserve">Reaction Time and Blink Tests: a stimulus appears at an unpredictable time; oculomotor reaction latency and blink frequency/duration are recorded as markers of cognitive readiness and fatigue.</w:t>
      </w:r>
    </w:p>
    <w:p>
      <w:pPr>
        <w:spacing w:after="40" w:before="40"/>
      </w:pPr>
      <w:r>
        <w:t xml:space="preserve"/>
      </w:r>
    </w:p>
    <w:p>
      <w:pPr>
        <w:spacing w:after="80" w:before="80" w:line="320" w:lineRule="auto"/>
        <w:jc w:val="both"/>
      </w:pPr>
      <w:r>
        <w:rPr>
          <w:rFonts w:ascii="Arial" w:cs="Arial" w:eastAsia="Arial" w:hAnsi="Arial"/>
          <w:color w:val="1A1A1A"/>
          <w:sz w:val="22"/>
          <w:szCs w:val="22"/>
        </w:rPr>
        <w:t xml:space="preserve">Webcam-based gaze estimation using MediaPipe has been validated in published research to achieve a mean absolute error below 2.5° within central gaze zones (MDPI Computers, 2025), which is deemed acceptable for the population-level group comparisons sought in this study.</w:t>
      </w:r>
    </w:p>
    <w:p>
      <w:pPr>
        <w:pStyle w:val="Heading2"/>
        <w:spacing w:after="80" w:before="240"/>
      </w:pPr>
      <w:r>
        <w:rPr>
          <w:rFonts w:ascii="Arial" w:cs="Arial" w:eastAsia="Arial" w:hAnsi="Arial"/>
          <w:b/>
          <w:bCs/>
          <w:color w:val="2E75B6"/>
          <w:sz w:val="24"/>
          <w:szCs w:val="24"/>
        </w:rPr>
        <w:t xml:space="preserve">6.3 Data Collection</w:t>
      </w:r>
    </w:p>
    <w:p>
      <w:pPr>
        <w:spacing w:after="80" w:before="80" w:line="320" w:lineRule="auto"/>
        <w:jc w:val="both"/>
      </w:pPr>
      <w:r>
        <w:rPr>
          <w:rFonts w:ascii="Arial" w:cs="Arial" w:eastAsia="Arial" w:hAnsi="Arial"/>
          <w:color w:val="1A1A1A"/>
          <w:sz w:val="22"/>
          <w:szCs w:val="22"/>
        </w:rPr>
        <w:t xml:space="preserve">A central objective of this dissertation is to build a labelled pilot dataset of quantitative oculomotor metrics using the developed assessment platform. Given the practical constraints of a taught postgraduate dissertation — including the compressed data collection window available after ethics approval is granted (see Section 9) — the data collection strategy is deliberately realistic and scoped accordingly.</w:t>
      </w:r>
    </w:p>
    <w:p>
      <w:pPr>
        <w:spacing w:after="40" w:before="40"/>
      </w:pPr>
      <w:r>
        <w:t xml:space="preserve"/>
      </w:r>
    </w:p>
    <w:p>
      <w:pPr>
        <w:spacing w:after="80" w:before="80" w:line="320" w:lineRule="auto"/>
        <w:jc w:val="both"/>
      </w:pPr>
      <w:r>
        <w:rPr>
          <w:rFonts w:ascii="Arial" w:cs="Arial" w:eastAsia="Arial" w:hAnsi="Arial"/>
          <w:color w:val="1A1A1A"/>
          <w:sz w:val="22"/>
          <w:szCs w:val="22"/>
        </w:rPr>
        <w:t xml:space="preserve">Data will be collected from two complementary sources:</w:t>
      </w:r>
    </w:p>
    <w:p>
      <w:pPr>
        <w:pStyle w:val="ListParagraph"/>
        <w:numPr>
          <w:ilvl w:val="0"/>
          <w:numId w:val="2"/>
        </w:numPr>
        <w:spacing w:after="40" w:before="40" w:line="300" w:lineRule="auto"/>
      </w:pPr>
      <w:r>
        <w:rPr>
          <w:rFonts w:ascii="Arial" w:cs="Arial" w:eastAsia="Arial" w:hAnsi="Arial"/>
          <w:color w:val="1A1A1A"/>
          <w:sz w:val="22"/>
          <w:szCs w:val="22"/>
        </w:rPr>
        <w:t xml:space="preserve">General Participant Group (Primary): healthy adult volunteers (aged 18–60) recruited via university networks and community contacts. Participants from sporting backgrounds are encouraged to participate, but no sport-specific eligibility criteria will be imposed. Each participant will complete the full 14-test oculomotor battery in a single session of approximately 20–30 minutes, delivered via the web-based platform on a standard laptop with integrated or USB webcam. This group will constitute the largest portion of the dataset and will establish normative baseline distributions for all oculomotor metrics.</w:t>
      </w:r>
    </w:p>
    <w:p>
      <w:pPr>
        <w:pStyle w:val="ListParagraph"/>
        <w:numPr>
          <w:ilvl w:val="0"/>
          <w:numId w:val="2"/>
        </w:numPr>
        <w:spacing w:after="40" w:before="40" w:line="300" w:lineRule="auto"/>
      </w:pPr>
      <w:r>
        <w:rPr>
          <w:rFonts w:ascii="Arial" w:cs="Arial" w:eastAsia="Arial" w:hAnsi="Arial"/>
          <w:color w:val="1A1A1A"/>
          <w:sz w:val="22"/>
          <w:szCs w:val="22"/>
        </w:rPr>
        <w:t xml:space="preserve">Clinical Referral Group (Opportunistic): where a collaborative relationship with a neurologist or clinical partner can be established within the available timeframe, de-identified oculomotor data may be sought from individuals with a documented concussion or acquired brain injury diagnosis. This channel is acknowledged as opportunistic; clinical data collection is not guaranteed and will depend entirely on formal partnership arrangements and ethics approvals from the relevant clinical institution. Any clinical data received will supplement, not underpin, the primary analysis.</w:t>
      </w:r>
    </w:p>
    <w:p>
      <w:pPr>
        <w:spacing w:after="40" w:before="40"/>
      </w:pPr>
      <w:r>
        <w:t xml:space="preserve"/>
      </w:r>
    </w:p>
    <w:p>
      <w:pPr>
        <w:spacing w:after="80" w:before="80" w:line="320" w:lineRule="auto"/>
        <w:jc w:val="both"/>
      </w:pPr>
      <w:r>
        <w:rPr>
          <w:rFonts w:ascii="Arial" w:cs="Arial" w:eastAsia="Arial" w:hAnsi="Arial"/>
          <w:color w:val="1A1A1A"/>
          <w:sz w:val="22"/>
          <w:szCs w:val="22"/>
        </w:rPr>
        <w:t xml:space="preserve">The context of boxing and contact sports serves as the primary applied motivation for this research — informing test design, metric selection, and framing of findings — rather than a specific recruitment target for the pilot phase. The literature review and discussion chapters will contextualise results within the sports concussion domain, and recommendations for future sports-specific data collection protocols will form part of the project's contribution.</w:t>
      </w:r>
    </w:p>
    <w:p>
      <w:pPr>
        <w:spacing w:after="40" w:before="40"/>
      </w:pPr>
      <w:r>
        <w:t xml:space="preserve"/>
      </w:r>
    </w:p>
    <w:p>
      <w:pPr>
        <w:spacing w:after="80" w:before="80" w:line="320" w:lineRule="auto"/>
        <w:jc w:val="both"/>
      </w:pPr>
      <w:r>
        <w:rPr>
          <w:rFonts w:ascii="Arial" w:cs="Arial" w:eastAsia="Arial" w:hAnsi="Arial"/>
          <w:color w:val="1A1A1A"/>
          <w:sz w:val="22"/>
          <w:szCs w:val="22"/>
        </w:rPr>
        <w:t xml:space="preserve">All data collection will proceed only following formal ethics approval from the university research ethics board (Ethical Checklist submission due 30 July 2026). Written informed consent will be obtained from all participants prior to any data collection. Data will be anonymised immediately at the point of collection and stored securely in compliance with the UK General Data Protection Regulation (GDPR).</w:t>
      </w:r>
    </w:p>
    <w:p>
      <w:pPr>
        <w:pStyle w:val="Heading2"/>
        <w:spacing w:after="80" w:before="240"/>
      </w:pPr>
      <w:r>
        <w:rPr>
          <w:rFonts w:ascii="Arial" w:cs="Arial" w:eastAsia="Arial" w:hAnsi="Arial"/>
          <w:b/>
          <w:bCs/>
          <w:color w:val="2E75B6"/>
          <w:sz w:val="24"/>
          <w:szCs w:val="24"/>
        </w:rPr>
        <w:t xml:space="preserve">6.4 Feature Engineering and Machine Learning</w:t>
      </w:r>
    </w:p>
    <w:p>
      <w:pPr>
        <w:spacing w:after="80" w:before="80" w:line="320" w:lineRule="auto"/>
        <w:jc w:val="both"/>
      </w:pPr>
      <w:r>
        <w:rPr>
          <w:rFonts w:ascii="Arial" w:cs="Arial" w:eastAsia="Arial" w:hAnsi="Arial"/>
          <w:color w:val="1A1A1A"/>
          <w:sz w:val="22"/>
          <w:szCs w:val="22"/>
        </w:rPr>
        <w:t xml:space="preserve">Raw gaze coordinates and landmark time-series data will be processed into a structured feature matrix. Features will include: smooth pursuit gain per test, mean saccade latency and velocity, fixation dispersion radius, blink rate per minute, and reaction time distribution statistics (mean, standard deviation, skewness). Where sample size permits, dimensionality reduction via PCA will precede model training.</w:t>
      </w:r>
    </w:p>
    <w:p>
      <w:pPr>
        <w:spacing w:after="40" w:before="40"/>
      </w:pPr>
      <w:r>
        <w:t xml:space="preserve"/>
      </w:r>
    </w:p>
    <w:p>
      <w:pPr>
        <w:spacing w:after="80" w:before="80" w:line="320" w:lineRule="auto"/>
        <w:jc w:val="both"/>
      </w:pPr>
      <w:r>
        <w:rPr>
          <w:rFonts w:ascii="Arial" w:cs="Arial" w:eastAsia="Arial" w:hAnsi="Arial"/>
          <w:color w:val="1A1A1A"/>
          <w:sz w:val="22"/>
          <w:szCs w:val="22"/>
        </w:rPr>
        <w:t xml:space="preserve">Three primary classification approaches will be evaluated: logistic regression (as an interpretable baseline), random forest (for non-linear feature interactions, consistent with the mTBI recovery prediction literature), and a gradient boosting classifier (XGBoost). Model performance will be assessed using stratified k-fold cross-validation, with primary metrics of AUC-ROC, sensitivity, and specificity — chosen for their clinical interpretability.</w:t>
      </w:r>
    </w:p>
    <w:p>
      <w:pPr>
        <w:pStyle w:val="Heading2"/>
        <w:spacing w:after="80" w:before="240"/>
      </w:pPr>
      <w:r>
        <w:rPr>
          <w:rFonts w:ascii="Arial" w:cs="Arial" w:eastAsia="Arial" w:hAnsi="Arial"/>
          <w:b/>
          <w:bCs/>
          <w:color w:val="2E75B6"/>
          <w:sz w:val="24"/>
          <w:szCs w:val="24"/>
        </w:rPr>
        <w:t xml:space="preserve">6.5 Evaluation Framework</w:t>
      </w:r>
    </w:p>
    <w:p>
      <w:pPr>
        <w:spacing w:after="80" w:before="80" w:line="320" w:lineRule="auto"/>
        <w:jc w:val="both"/>
      </w:pPr>
      <w:r>
        <w:rPr>
          <w:rFonts w:ascii="Arial" w:cs="Arial" w:eastAsia="Arial" w:hAnsi="Arial"/>
          <w:color w:val="1A1A1A"/>
          <w:sz w:val="22"/>
          <w:szCs w:val="22"/>
        </w:rPr>
        <w:t xml:space="preserve">Technical performance will be benchmarked against published studies using comparable test paradigms. Limitations specific to webcam-based systems — including sensitivity to ambient lighting, head movement artefacts, and inter-participant variability in pupil contrast — will be systematically documented. The clinical validity of extracted metrics will be assessed through correlation with SCAT5 sub-scores where both are obtained.</w:t>
      </w:r>
    </w:p>
    <w:p>
      <w:pPr>
        <w:spacing w:after="160" w:before="160"/>
      </w:pPr>
      <w:r>
        <w:t xml:space="preserve"/>
      </w:r>
    </w:p>
    <w:p>
      <w:pPr>
        <w:pStyle w:val="Heading1"/>
        <w:pBdr>
          <w:bottom w:val="single" w:color="2E75B6" w:sz="4" w:space="4"/>
        </w:pBdr>
        <w:spacing w:after="120" w:before="360"/>
      </w:pPr>
      <w:r>
        <w:rPr>
          <w:rFonts w:ascii="Arial" w:cs="Arial" w:eastAsia="Arial" w:hAnsi="Arial"/>
          <w:b/>
          <w:bCs/>
          <w:color w:val="1F3864"/>
          <w:sz w:val="28"/>
          <w:szCs w:val="28"/>
        </w:rPr>
        <w:t xml:space="preserve">7.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Tool / Library / Justification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Gaze Tracking</w:t>
            </w:r>
          </w:p>
        </w:tc>
        <w:tc>
          <w:tcPr>
            <w:tcW w:type="dxa" w:w="6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20"/>
                <w:szCs w:val="20"/>
              </w:rPr>
              <w:t xml:space="preserve">MediaPipe FaceMesh (Google) — real-time 468-point facial landmark extraction; iris tracking; open-source, no specialist hardware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Computer Vision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OpenCV — frame capture, pre-processing, pupil localisation, calibration routines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Test Delivery</w:t>
            </w:r>
          </w:p>
        </w:tc>
        <w:tc>
          <w:tcPr>
            <w:tcW w:type="dxa" w:w="6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20"/>
                <w:szCs w:val="20"/>
              </w:rPr>
              <w:t xml:space="preserve">JavaScript / HTML5 (browser-based) — cross-platform delivery without installation; WebRTC for camera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Backend Processing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Python 3.x — signal processing (NumPy, SciPy), feature extraction, data pipeline orchestration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Machine Learning</w:t>
            </w:r>
          </w:p>
        </w:tc>
        <w:tc>
          <w:tcPr>
            <w:tcW w:type="dxa" w:w="6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20"/>
                <w:szCs w:val="20"/>
              </w:rPr>
              <w:t xml:space="preserve">scikit-learn (Random Forest, Logistic Regression), XGBoost — well-validated libraries with clinical ML precedent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Data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CSV / SQLite — lightweight, portable, GDPR-compliant local storage for pilot dataset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Statistical Analysis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20"/>
                <w:szCs w:val="20"/>
              </w:rPr>
              <w:t xml:space="preserve">Pandas, Matplotlib, Seaborn — exploratory data analysis and visualisation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Vercel (web hosting) — serverless deployment enabling remote or pitch-side access via URL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Version Control</w:t>
            </w:r>
          </w:p>
        </w:tc>
        <w:tc>
          <w:tcPr>
            <w:tcW w:type="dxa" w:w="6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20"/>
                <w:szCs w:val="20"/>
              </w:rPr>
              <w:t xml:space="preserve">Git / GitHub — code versioning and reproducibility</w:t>
            </w:r>
          </w:p>
        </w:tc>
      </w:tr>
    </w:tbl>
    <w:p>
      <w:pPr>
        <w:spacing w:after="160" w:before="160"/>
      </w:pPr>
      <w:r>
        <w:t xml:space="preserve"/>
      </w:r>
    </w:p>
    <w:p>
      <w:pPr>
        <w:pStyle w:val="Heading1"/>
        <w:pBdr>
          <w:bottom w:val="single" w:color="2E75B6" w:sz="4" w:space="4"/>
        </w:pBdr>
        <w:spacing w:after="120" w:before="360"/>
      </w:pPr>
      <w:r>
        <w:rPr>
          <w:rFonts w:ascii="Arial" w:cs="Arial" w:eastAsia="Arial" w:hAnsi="Arial"/>
          <w:b/>
          <w:bCs/>
          <w:color w:val="1F3864"/>
          <w:sz w:val="28"/>
          <w:szCs w:val="28"/>
        </w:rPr>
        <w:t xml:space="preserve">8. Expected Outcomes and Contribution</w:t>
      </w:r>
    </w:p>
    <w:p>
      <w:pPr>
        <w:spacing w:after="80" w:before="80" w:line="320" w:lineRule="auto"/>
        <w:jc w:val="both"/>
      </w:pPr>
      <w:r>
        <w:rPr>
          <w:rFonts w:ascii="Arial" w:cs="Arial" w:eastAsia="Arial" w:hAnsi="Arial"/>
          <w:color w:val="1A1A1A"/>
          <w:sz w:val="22"/>
          <w:szCs w:val="22"/>
        </w:rPr>
        <w:t xml:space="preserve">This dissertation is expected to produce the following primary outputs and contributions:</w:t>
      </w:r>
    </w:p>
    <w:p>
      <w:pPr>
        <w:spacing w:after="60" w:before="60"/>
      </w:pPr>
      <w:r>
        <w:t xml:space="preserve"/>
      </w:r>
    </w:p>
    <w:p>
      <w:pPr>
        <w:pStyle w:val="ListParagraph"/>
        <w:numPr>
          <w:ilvl w:val="0"/>
          <w:numId w:val="2"/>
        </w:numPr>
        <w:spacing w:after="40" w:before="40" w:line="300" w:lineRule="auto"/>
      </w:pPr>
      <w:r>
        <w:rPr>
          <w:rFonts w:ascii="Arial" w:cs="Arial" w:eastAsia="Arial" w:hAnsi="Arial"/>
          <w:color w:val="1A1A1A"/>
          <w:sz w:val="22"/>
          <w:szCs w:val="22"/>
        </w:rPr>
        <w:t xml:space="preserve">A functional, open-source oculomotor assessment platform deployable on standard consumer hardware, with a published test battery of fourteen paradigms — potentially useful to future researchers and practitioners in sports medicine and neurological assessment.</w:t>
      </w:r>
    </w:p>
    <w:p>
      <w:pPr>
        <w:pStyle w:val="ListParagraph"/>
        <w:numPr>
          <w:ilvl w:val="0"/>
          <w:numId w:val="2"/>
        </w:numPr>
        <w:spacing w:after="40" w:before="40" w:line="300" w:lineRule="auto"/>
      </w:pPr>
      <w:r>
        <w:rPr>
          <w:rFonts w:ascii="Arial" w:cs="Arial" w:eastAsia="Arial" w:hAnsi="Arial"/>
          <w:color w:val="1A1A1A"/>
          <w:sz w:val="22"/>
          <w:szCs w:val="22"/>
        </w:rPr>
        <w:t xml:space="preserve">A pilot dataset of quantitative oculomotor metrics from sports participants, annotated with concussion history and SCAT5 scores where available, serving as a foundation for future larger-scale studies.</w:t>
      </w:r>
    </w:p>
    <w:p>
      <w:pPr>
        <w:pStyle w:val="ListParagraph"/>
        <w:numPr>
          <w:ilvl w:val="0"/>
          <w:numId w:val="2"/>
        </w:numPr>
        <w:spacing w:after="40" w:before="40" w:line="300" w:lineRule="auto"/>
      </w:pPr>
      <w:r>
        <w:rPr>
          <w:rFonts w:ascii="Arial" w:cs="Arial" w:eastAsia="Arial" w:hAnsi="Arial"/>
          <w:color w:val="1A1A1A"/>
          <w:sz w:val="22"/>
          <w:szCs w:val="22"/>
        </w:rPr>
        <w:t xml:space="preserve">A comparative evaluation of machine learning classifiers trained on oculomotor features, establishing preliminary evidence (or null findings) for the feasibility of webcam-based concussion screening.</w:t>
      </w:r>
    </w:p>
    <w:p>
      <w:pPr>
        <w:pStyle w:val="ListParagraph"/>
        <w:numPr>
          <w:ilvl w:val="0"/>
          <w:numId w:val="2"/>
        </w:numPr>
        <w:spacing w:after="40" w:before="40" w:line="300" w:lineRule="auto"/>
      </w:pPr>
      <w:r>
        <w:rPr>
          <w:rFonts w:ascii="Arial" w:cs="Arial" w:eastAsia="Arial" w:hAnsi="Arial"/>
          <w:color w:val="1A1A1A"/>
          <w:sz w:val="22"/>
          <w:szCs w:val="22"/>
        </w:rPr>
        <w:t xml:space="preserve">A critical analysis of the technical and clinical barriers to deploying accessible eye-tracking in sports and healthcare settings, contributing to the growing literature on democratising neurological assessment tools.</w:t>
      </w:r>
    </w:p>
    <w:p>
      <w:pPr>
        <w:spacing w:after="40" w:before="40"/>
      </w:pPr>
      <w:r>
        <w:t xml:space="preserve"/>
      </w:r>
    </w:p>
    <w:p>
      <w:pPr>
        <w:spacing w:after="80" w:before="80" w:line="320" w:lineRule="auto"/>
        <w:jc w:val="both"/>
      </w:pPr>
      <w:r>
        <w:rPr>
          <w:rFonts w:ascii="Arial" w:cs="Arial" w:eastAsia="Arial" w:hAnsi="Arial"/>
          <w:color w:val="1A1A1A"/>
          <w:sz w:val="22"/>
          <w:szCs w:val="22"/>
        </w:rPr>
        <w:t xml:space="preserve">In the broader context of applied AI in health, this project demonstrates a pathway from open-source computer vision tooling to clinically-motivated intelligent screening — a domain where academic contribution, ethical rigour, and practical impact converge.</w:t>
      </w:r>
    </w:p>
    <w:p>
      <w:pPr>
        <w:spacing w:after="160" w:before="160"/>
      </w:pPr>
      <w:r>
        <w:t xml:space="preserve"/>
      </w:r>
    </w:p>
    <w:p>
      <w:pPr>
        <w:pStyle w:val="Heading1"/>
        <w:pBdr>
          <w:bottom w:val="single" w:color="2E75B6" w:sz="4" w:space="4"/>
        </w:pBdr>
        <w:spacing w:after="120" w:before="360"/>
      </w:pPr>
      <w:r>
        <w:rPr>
          <w:rFonts w:ascii="Arial" w:cs="Arial" w:eastAsia="Arial" w:hAnsi="Arial"/>
          <w:b/>
          <w:bCs/>
          <w:color w:val="1F3864"/>
          <w:sz w:val="28"/>
          <w:szCs w:val="28"/>
        </w:rPr>
        <w:t xml:space="preserve">9. Ethical Considerations and Approval Process</w:t>
      </w:r>
    </w:p>
    <w:p>
      <w:pPr>
        <w:spacing w:after="80" w:before="80" w:line="320" w:lineRule="auto"/>
        <w:jc w:val="both"/>
      </w:pPr>
      <w:r>
        <w:rPr>
          <w:rFonts w:ascii="Arial" w:cs="Arial" w:eastAsia="Arial" w:hAnsi="Arial"/>
          <w:color w:val="1A1A1A"/>
          <w:sz w:val="22"/>
          <w:szCs w:val="22"/>
        </w:rPr>
        <w:t xml:space="preserve">This research involves human participants and the collection of health-sensitive oculomotor data, necessitating rigorous ethical governance throughout. The university's formal ethics approval process will be followed in full before any data collection commences.</w:t>
      </w:r>
    </w:p>
    <w:p>
      <w:pPr>
        <w:spacing w:after="40" w:before="40"/>
      </w:pPr>
      <w:r>
        <w:t xml:space="preserve"/>
      </w:r>
    </w:p>
    <w:p>
      <w:pPr>
        <w:spacing w:after="80" w:before="80" w:line="320" w:lineRule="auto"/>
        <w:jc w:val="both"/>
      </w:pPr>
      <w:r>
        <w:rPr>
          <w:rFonts w:ascii="Arial" w:cs="Arial" w:eastAsia="Arial" w:hAnsi="Arial"/>
          <w:color w:val="1A1A1A"/>
          <w:sz w:val="22"/>
          <w:szCs w:val="22"/>
        </w:rPr>
        <w:t xml:space="preserve">The required Ethical Checklist — the university's formal ethics review submission — is due on 30 July 2026. The preparation of this document will occur in parallel with system finalisation during June–July 2026. The checklist will address: participant recruitment and eligibility criteria; informed consent procedures; data handling, anonymisation, and storage; potential risks to participants; and the limitations of the system in clinical contexts. Data collection will not begin until written confirmation of ethical approval has been received.</w:t>
      </w:r>
    </w:p>
    <w:p>
      <w:pPr>
        <w:spacing w:after="40" w:before="40"/>
      </w:pPr>
      <w:r>
        <w:t xml:space="preserve"/>
      </w:r>
    </w:p>
    <w:p>
      <w:pPr>
        <w:spacing w:after="80" w:before="80" w:line="320" w:lineRule="auto"/>
        <w:jc w:val="both"/>
      </w:pPr>
      <w:r>
        <w:rPr>
          <w:rFonts w:ascii="Arial" w:cs="Arial" w:eastAsia="Arial" w:hAnsi="Arial"/>
          <w:color w:val="1A1A1A"/>
          <w:sz w:val="22"/>
          <w:szCs w:val="22"/>
        </w:rPr>
        <w:t xml:space="preserve">Key ethical principles governing this study include:</w:t>
      </w:r>
    </w:p>
    <w:p>
      <w:pPr>
        <w:pStyle w:val="ListParagraph"/>
        <w:numPr>
          <w:ilvl w:val="0"/>
          <w:numId w:val="2"/>
        </w:numPr>
        <w:spacing w:after="40" w:before="40" w:line="300" w:lineRule="auto"/>
      </w:pPr>
      <w:r>
        <w:rPr>
          <w:rFonts w:ascii="Arial" w:cs="Arial" w:eastAsia="Arial" w:hAnsi="Arial"/>
          <w:color w:val="1A1A1A"/>
          <w:sz w:val="22"/>
          <w:szCs w:val="22"/>
        </w:rPr>
        <w:t xml:space="preserve">Voluntary participation: all participants will be fully informed of the study's purpose, procedures, and their right to withdraw at any time without consequence or explanation.</w:t>
      </w:r>
    </w:p>
    <w:p>
      <w:pPr>
        <w:pStyle w:val="ListParagraph"/>
        <w:numPr>
          <w:ilvl w:val="0"/>
          <w:numId w:val="2"/>
        </w:numPr>
        <w:spacing w:after="40" w:before="40" w:line="300" w:lineRule="auto"/>
      </w:pPr>
      <w:r>
        <w:rPr>
          <w:rFonts w:ascii="Arial" w:cs="Arial" w:eastAsia="Arial" w:hAnsi="Arial"/>
          <w:color w:val="1A1A1A"/>
          <w:sz w:val="22"/>
          <w:szCs w:val="22"/>
        </w:rPr>
        <w:t xml:space="preserve">Informed consent: written consent will be obtained from every participant prior to any data collection. Participants will be made explicitly aware that the system produces research outputs, not clinical diagnoses.</w:t>
      </w:r>
    </w:p>
    <w:p>
      <w:pPr>
        <w:pStyle w:val="ListParagraph"/>
        <w:numPr>
          <w:ilvl w:val="0"/>
          <w:numId w:val="2"/>
        </w:numPr>
        <w:spacing w:after="40" w:before="40" w:line="300" w:lineRule="auto"/>
      </w:pPr>
      <w:r>
        <w:rPr>
          <w:rFonts w:ascii="Arial" w:cs="Arial" w:eastAsia="Arial" w:hAnsi="Arial"/>
          <w:color w:val="1A1A1A"/>
          <w:sz w:val="22"/>
          <w:szCs w:val="22"/>
        </w:rPr>
        <w:t xml:space="preserve">Clinical boundaries: no results generated by this system will be used, presented, or communicated in a manner that could influence clinical or return-to-play decisions. This function is reserved exclusively for qualified medical professionals.</w:t>
      </w:r>
    </w:p>
    <w:p>
      <w:pPr>
        <w:pStyle w:val="ListParagraph"/>
        <w:numPr>
          <w:ilvl w:val="0"/>
          <w:numId w:val="2"/>
        </w:numPr>
        <w:spacing w:after="40" w:before="40" w:line="300" w:lineRule="auto"/>
      </w:pPr>
      <w:r>
        <w:rPr>
          <w:rFonts w:ascii="Arial" w:cs="Arial" w:eastAsia="Arial" w:hAnsi="Arial"/>
          <w:color w:val="1A1A1A"/>
          <w:sz w:val="22"/>
          <w:szCs w:val="22"/>
        </w:rPr>
        <w:t xml:space="preserve">Data protection: all oculomotor data will be anonymised at the point of collection, stored on encrypted, password-protected devices, and retained only for the duration required by university policy, in full compliance with the UK General Data Protection Regulation (GDPR).</w:t>
      </w:r>
    </w:p>
    <w:p>
      <w:pPr>
        <w:pStyle w:val="ListParagraph"/>
        <w:numPr>
          <w:ilvl w:val="0"/>
          <w:numId w:val="2"/>
        </w:numPr>
        <w:spacing w:after="40" w:before="40" w:line="300" w:lineRule="auto"/>
      </w:pPr>
      <w:r>
        <w:rPr>
          <w:rFonts w:ascii="Arial" w:cs="Arial" w:eastAsia="Arial" w:hAnsi="Arial"/>
          <w:color w:val="1A1A1A"/>
          <w:sz w:val="22"/>
          <w:szCs w:val="22"/>
        </w:rPr>
        <w:t xml:space="preserve">Transparency of limitations: any dissemination of findings — to participants, academic audiences, or partner organisations — will clearly communicate the system's limitations, including its unvalidated clinical status and the constraints of a small pilot sample.</w:t>
      </w:r>
    </w:p>
    <w:p>
      <w:pPr>
        <w:spacing w:after="160" w:before="160"/>
      </w:pPr>
      <w:r>
        <w:t xml:space="preserve"/>
      </w:r>
    </w:p>
    <w:p>
      <w:pPr>
        <w:pStyle w:val="Heading1"/>
        <w:pBdr>
          <w:bottom w:val="single" w:color="2E75B6" w:sz="4" w:space="4"/>
        </w:pBdr>
        <w:spacing w:after="120" w:before="360"/>
      </w:pPr>
      <w:r>
        <w:rPr>
          <w:rFonts w:ascii="Arial" w:cs="Arial" w:eastAsia="Arial" w:hAnsi="Arial"/>
          <w:b/>
          <w:bCs/>
          <w:color w:val="1F3864"/>
          <w:sz w:val="28"/>
          <w:szCs w:val="28"/>
        </w:rPr>
        <w:t xml:space="preserve">10. Proposed Timeline</w:t>
      </w:r>
    </w:p>
    <w:p>
      <w:pPr>
        <w:spacing w:after="80" w:before="80" w:line="320" w:lineRule="auto"/>
        <w:jc w:val="both"/>
      </w:pPr>
      <w:r>
        <w:rPr>
          <w:rFonts w:ascii="Arial" w:cs="Arial" w:eastAsia="Arial" w:hAnsi="Arial"/>
          <w:color w:val="1A1A1A"/>
          <w:sz w:val="22"/>
          <w:szCs w:val="22"/>
        </w:rPr>
        <w:t xml:space="preserve">The following timeline reflects the formal submission deadlines set by the university and provides a realistic plan for completing all components of the dissertation within the available timeframe.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Milestone / Phase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Deadline / Period</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Key Activities &amp; Deliverables</w:t>
            </w:r>
          </w:p>
        </w:tc>
      </w:tr>
      <w:t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spacing w:after="0" w:before="0"/>
            </w:pPr>
            <w:r>
              <w:rPr>
                <w:rFonts w:ascii="Arial" w:cs="Arial" w:eastAsia="Arial" w:hAnsi="Arial"/>
                <w:b w:val="false"/>
                <w:bCs w:val="false"/>
                <w:color w:val="1A1A1A"/>
                <w:sz w:val="19"/>
                <w:szCs w:val="19"/>
              </w:rPr>
              <w:t xml:space="preserve">Phase 1</w:t>
            </w:r>
          </w:p>
          <w:p>
            <w:pPr>
              <w:spacing w:after="0" w:before="40"/>
            </w:pPr>
            <w:r>
              <w:rPr>
                <w:rFonts w:ascii="Arial" w:cs="Arial" w:eastAsia="Arial" w:hAnsi="Arial"/>
                <w:b w:val="false"/>
                <w:bCs w:val="false"/>
                <w:color w:val="1A1A1A"/>
                <w:sz w:val="19"/>
                <w:szCs w:val="19"/>
              </w:rPr>
              <w:t xml:space="preserve">Proposal &amp; System</w:t>
            </w:r>
          </w:p>
        </w:tc>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spacing w:after="0" w:before="0"/>
            </w:pPr>
            <w:r>
              <w:rPr>
                <w:rFonts w:ascii="Arial" w:cs="Arial" w:eastAsia="Arial" w:hAnsi="Arial"/>
                <w:b w:val="false"/>
                <w:bCs w:val="false"/>
                <w:color w:val="1A1A1A"/>
                <w:sz w:val="19"/>
                <w:szCs w:val="19"/>
              </w:rPr>
              <w:t xml:space="preserve">May 2026</w:t>
            </w:r>
          </w:p>
          <w:p>
            <w:pPr>
              <w:spacing w:after="0" w:before="40"/>
            </w:pPr>
            <w:r>
              <w:rPr>
                <w:rFonts w:ascii="Arial" w:cs="Arial" w:eastAsia="Arial" w:hAnsi="Arial"/>
                <w:b/>
                <w:bCs/>
                <w:color w:val="C00000"/>
                <w:sz w:val="19"/>
                <w:szCs w:val="19"/>
              </w:rPr>
              <w:t xml:space="preserve">[Due: 21 May]</w:t>
            </w:r>
          </w:p>
        </w:tc>
        <w:tc>
          <w:tcPr>
            <w:tcW w:type="dxa" w:w="516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spacing w:after="0" w:before="0"/>
            </w:pPr>
            <w:r>
              <w:rPr>
                <w:rFonts w:ascii="Arial" w:cs="Arial" w:eastAsia="Arial" w:hAnsi="Arial"/>
                <w:b w:val="false"/>
                <w:bCs w:val="false"/>
                <w:color w:val="1A1A1A"/>
                <w:sz w:val="19"/>
                <w:szCs w:val="19"/>
              </w:rPr>
              <w:t xml:space="preserve">Finalise Research Proposal (this document); complete test battery documentation; refine webcam pipeline; submit Research Proposal by 21 May 2026 at 15:00</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b w:val="false"/>
                <w:bCs w:val="false"/>
                <w:color w:val="1A1A1A"/>
                <w:sz w:val="19"/>
                <w:szCs w:val="19"/>
              </w:rPr>
              <w:t xml:space="preserve">Phase 2</w:t>
            </w:r>
          </w:p>
          <w:p>
            <w:pPr>
              <w:spacing w:after="0" w:before="40"/>
            </w:pPr>
            <w:r>
              <w:rPr>
                <w:rFonts w:ascii="Arial" w:cs="Arial" w:eastAsia="Arial" w:hAnsi="Arial"/>
                <w:b w:val="false"/>
                <w:bCs w:val="false"/>
                <w:color w:val="1A1A1A"/>
                <w:sz w:val="19"/>
                <w:szCs w:val="19"/>
              </w:rPr>
              <w:t xml:space="preserve">Ethics Preparation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b w:val="false"/>
                <w:bCs w:val="false"/>
                <w:color w:val="1A1A1A"/>
                <w:sz w:val="19"/>
                <w:szCs w:val="19"/>
              </w:rPr>
              <w:t xml:space="preserve">May – July 2026</w:t>
            </w:r>
          </w:p>
          <w:p>
            <w:pPr>
              <w:spacing w:after="0" w:before="40"/>
            </w:pPr>
            <w:r>
              <w:rPr>
                <w:rFonts w:ascii="Arial" w:cs="Arial" w:eastAsia="Arial" w:hAnsi="Arial"/>
                <w:b/>
                <w:bCs/>
                <w:color w:val="C00000"/>
                <w:sz w:val="19"/>
                <w:szCs w:val="19"/>
              </w:rPr>
              <w:t xml:space="preserve">[Due: 30 Jul]</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b w:val="false"/>
                <w:bCs w:val="false"/>
                <w:color w:val="1A1A1A"/>
                <w:sz w:val="19"/>
                <w:szCs w:val="19"/>
              </w:rPr>
              <w:t xml:space="preserve">Prepare Ethical Checklist for university submission; draft participant information sheets and consent forms; identify potential clinical partners (neurologist network); submit Ethical Checklist by 30 July 2026 at 15:00</w:t>
            </w:r>
          </w:p>
        </w:tc>
      </w:tr>
      <w:t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spacing w:after="0" w:before="0"/>
            </w:pPr>
            <w:r>
              <w:rPr>
                <w:rFonts w:ascii="Arial" w:cs="Arial" w:eastAsia="Arial" w:hAnsi="Arial"/>
                <w:b w:val="false"/>
                <w:bCs w:val="false"/>
                <w:color w:val="1A1A1A"/>
                <w:sz w:val="19"/>
                <w:szCs w:val="19"/>
              </w:rPr>
              <w:t xml:space="preserve">Phase 3</w:t>
            </w:r>
          </w:p>
          <w:p>
            <w:pPr>
              <w:spacing w:after="0" w:before="40"/>
            </w:pPr>
            <w:r>
              <w:rPr>
                <w:rFonts w:ascii="Arial" w:cs="Arial" w:eastAsia="Arial" w:hAnsi="Arial"/>
                <w:b w:val="false"/>
                <w:bCs w:val="false"/>
                <w:color w:val="1A1A1A"/>
                <w:sz w:val="19"/>
                <w:szCs w:val="19"/>
              </w:rPr>
              <w:t xml:space="preserve">Data Collection</w:t>
            </w:r>
          </w:p>
        </w:tc>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spacing w:after="0" w:before="0"/>
            </w:pPr>
            <w:r>
              <w:rPr>
                <w:rFonts w:ascii="Arial" w:cs="Arial" w:eastAsia="Arial" w:hAnsi="Arial"/>
                <w:b w:val="false"/>
                <w:bCs w:val="false"/>
                <w:color w:val="1A1A1A"/>
                <w:sz w:val="19"/>
                <w:szCs w:val="19"/>
              </w:rPr>
              <w:t xml:space="preserve">Late July – Aug 2026</w:t>
            </w:r>
          </w:p>
        </w:tc>
        <w:tc>
          <w:tcPr>
            <w:tcW w:type="dxa" w:w="516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spacing w:after="0" w:before="0"/>
            </w:pPr>
            <w:r>
              <w:rPr>
                <w:rFonts w:ascii="Arial" w:cs="Arial" w:eastAsia="Arial" w:hAnsi="Arial"/>
                <w:b w:val="false"/>
                <w:bCs w:val="false"/>
                <w:color w:val="1A1A1A"/>
                <w:sz w:val="19"/>
                <w:szCs w:val="19"/>
              </w:rPr>
              <w:t xml:space="preserve">Following ethics approval: recruit general participant cohort; conduct oculomotor test sessions; explore opportunistic clinical data access; build and validate pilot dataset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b w:val="false"/>
                <w:bCs w:val="false"/>
                <w:color w:val="1A1A1A"/>
                <w:sz w:val="19"/>
                <w:szCs w:val="19"/>
              </w:rPr>
              <w:t xml:space="preserve">Phase 4</w:t>
            </w:r>
          </w:p>
          <w:p>
            <w:pPr>
              <w:spacing w:after="0" w:before="40"/>
            </w:pPr>
            <w:r>
              <w:rPr>
                <w:rFonts w:ascii="Arial" w:cs="Arial" w:eastAsia="Arial" w:hAnsi="Arial"/>
                <w:b w:val="false"/>
                <w:bCs w:val="false"/>
                <w:color w:val="1A1A1A"/>
                <w:sz w:val="19"/>
                <w:szCs w:val="19"/>
              </w:rPr>
              <w:t xml:space="preserve">Analysis &amp; ML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b w:val="false"/>
                <w:bCs w:val="false"/>
                <w:color w:val="1A1A1A"/>
                <w:sz w:val="19"/>
                <w:szCs w:val="19"/>
              </w:rPr>
              <w:t xml:space="preserve">August 2026</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b w:val="false"/>
                <w:bCs w:val="false"/>
                <w:color w:val="1A1A1A"/>
                <w:sz w:val="19"/>
                <w:szCs w:val="19"/>
              </w:rPr>
              <w:t xml:space="preserve">Feature engineering from raw gaze data; train and evaluate machine learning classifiers (Random Forest, XGBoost, Logistic Regression); statistical comparison against normative baselines</w:t>
            </w:r>
          </w:p>
        </w:tc>
      </w:tr>
      <w:t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spacing w:after="0" w:before="0"/>
            </w:pPr>
            <w:r>
              <w:rPr>
                <w:rFonts w:ascii="Arial" w:cs="Arial" w:eastAsia="Arial" w:hAnsi="Arial"/>
                <w:b w:val="false"/>
                <w:bCs w:val="false"/>
                <w:color w:val="1A1A1A"/>
                <w:sz w:val="19"/>
                <w:szCs w:val="19"/>
              </w:rPr>
              <w:t xml:space="preserve">Phase 5</w:t>
            </w:r>
          </w:p>
          <w:p>
            <w:pPr>
              <w:spacing w:after="0" w:before="40"/>
            </w:pPr>
            <w:r>
              <w:rPr>
                <w:rFonts w:ascii="Arial" w:cs="Arial" w:eastAsia="Arial" w:hAnsi="Arial"/>
                <w:b w:val="false"/>
                <w:bCs w:val="false"/>
                <w:color w:val="1A1A1A"/>
                <w:sz w:val="19"/>
                <w:szCs w:val="19"/>
              </w:rPr>
              <w:t xml:space="preserve">Write-up</w:t>
            </w:r>
          </w:p>
        </w:tc>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spacing w:after="0" w:before="0"/>
            </w:pPr>
            <w:r>
              <w:rPr>
                <w:rFonts w:ascii="Arial" w:cs="Arial" w:eastAsia="Arial" w:hAnsi="Arial"/>
                <w:b w:val="false"/>
                <w:bCs w:val="false"/>
                <w:color w:val="1A1A1A"/>
                <w:sz w:val="19"/>
                <w:szCs w:val="19"/>
              </w:rPr>
              <w:t xml:space="preserve">Aug – Sept 2026</w:t>
            </w:r>
          </w:p>
        </w:tc>
        <w:tc>
          <w:tcPr>
            <w:tcW w:type="dxa" w:w="516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spacing w:after="0" w:before="0"/>
            </w:pPr>
            <w:r>
              <w:rPr>
                <w:rFonts w:ascii="Arial" w:cs="Arial" w:eastAsia="Arial" w:hAnsi="Arial"/>
                <w:b w:val="false"/>
                <w:bCs w:val="false"/>
                <w:color w:val="1A1A1A"/>
                <w:sz w:val="19"/>
                <w:szCs w:val="19"/>
              </w:rPr>
              <w:t xml:space="preserve">Draft all dissertation chapters (Introduction, Literature Review, Methodology, Results, Discussion, Conclusion); supervisor feedback cycles; proofreading and referencing</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b w:val="false"/>
                <w:bCs w:val="false"/>
                <w:color w:val="1A1A1A"/>
                <w:sz w:val="19"/>
                <w:szCs w:val="19"/>
              </w:rPr>
              <w:t xml:space="preserve">Final Submission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b w:val="false"/>
                <w:bCs w:val="false"/>
                <w:color w:val="1A1A1A"/>
                <w:sz w:val="19"/>
                <w:szCs w:val="19"/>
              </w:rPr>
              <w:t xml:space="preserve">3 Sep 2026</w:t>
            </w:r>
          </w:p>
          <w:p>
            <w:pPr>
              <w:spacing w:after="0" w:before="40"/>
            </w:pPr>
            <w:r>
              <w:rPr>
                <w:rFonts w:ascii="Arial" w:cs="Arial" w:eastAsia="Arial" w:hAnsi="Arial"/>
                <w:b/>
                <w:bCs/>
                <w:color w:val="C00000"/>
                <w:sz w:val="19"/>
                <w:szCs w:val="19"/>
              </w:rPr>
              <w:t xml:space="preserve">[Due: 3 Sep, 15:00]</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b w:val="false"/>
                <w:bCs w:val="false"/>
                <w:color w:val="1A1A1A"/>
                <w:sz w:val="19"/>
                <w:szCs w:val="19"/>
              </w:rPr>
              <w:t xml:space="preserve">Submit completed 001 Dissertation via university portal by 3 September 2026 at 15:00</w:t>
            </w:r>
          </w:p>
        </w:tc>
      </w:tr>
    </w:tbl>
    <w:p>
      <w:pPr>
        <w:spacing w:after="80" w:before="80"/>
      </w:pPr>
      <w:r>
        <w:t xml:space="preserve"/>
      </w:r>
    </w:p>
    <w:p>
      <w:pPr>
        <w:spacing w:after="80" w:before="80" w:line="320" w:lineRule="auto"/>
        <w:jc w:val="both"/>
      </w:pPr>
      <w:r>
        <w:rPr>
          <w:rFonts w:ascii="Arial" w:cs="Arial" w:eastAsia="Arial" w:hAnsi="Arial"/>
          <w:i/>
          <w:iCs/>
          <w:color w:val="666666"/>
          <w:sz w:val="22"/>
          <w:szCs w:val="22"/>
        </w:rPr>
        <w:t xml:space="preserve">Note: Data collection is contingent on ethics approval being granted promptly following the July 30th submission. The compressed timeline between ethics approval and final submission (approximately five weeks) necessitates a focused and bounded data collection scope, which is reflected in the pilot study design described in Section 6.3.</w:t>
      </w:r>
    </w:p>
    <w:p>
      <w:pPr>
        <w:spacing w:after="160" w:before="160"/>
      </w:pPr>
      <w:r>
        <w:t xml:space="preserve"/>
      </w:r>
    </w:p>
    <w:p>
      <w:pPr>
        <w:pStyle w:val="Heading1"/>
        <w:pBdr>
          <w:bottom w:val="single" w:color="2E75B6" w:sz="4" w:space="4"/>
        </w:pBdr>
        <w:spacing w:after="120" w:before="360"/>
      </w:pPr>
      <w:r>
        <w:rPr>
          <w:rFonts w:ascii="Arial" w:cs="Arial" w:eastAsia="Arial" w:hAnsi="Arial"/>
          <w:b/>
          <w:bCs/>
          <w:color w:val="1F3864"/>
          <w:sz w:val="28"/>
          <w:szCs w:val="28"/>
        </w:rPr>
        <w:t xml:space="preserve">11. Key References</w:t>
      </w:r>
    </w:p>
    <w:p>
      <w:pPr>
        <w:spacing w:after="60" w:before="60" w:line="300" w:lineRule="auto"/>
        <w:ind w:left="720" w:hanging="720"/>
      </w:pPr>
      <w:r>
        <w:rPr>
          <w:rFonts w:ascii="Arial" w:cs="Arial" w:eastAsia="Arial" w:hAnsi="Arial"/>
          <w:color w:val="404040"/>
          <w:sz w:val="20"/>
          <w:szCs w:val="20"/>
        </w:rPr>
        <w:t xml:space="preserve">Anzalone, S.M. et al. (2021). "Smooth pursuit eye movements as a biomarker for mild concussion within 7 days of injury." PLOS ONE. PubMed PMID: 34894915.</w:t>
      </w:r>
    </w:p>
    <w:p>
      <w:pPr>
        <w:spacing w:after="60" w:before="60" w:line="300" w:lineRule="auto"/>
        <w:ind w:left="720" w:hanging="720"/>
      </w:pPr>
      <w:r>
        <w:rPr>
          <w:rFonts w:ascii="Arial" w:cs="Arial" w:eastAsia="Arial" w:hAnsi="Arial"/>
          <w:color w:val="404040"/>
          <w:sz w:val="20"/>
          <w:szCs w:val="20"/>
        </w:rPr>
        <w:t xml:space="preserve">Bernstein, C. et al. (2023). "Integration of eye-tracking systems with SCAT5 for mild TBI and concussion diagnostics: Building a framework for the AI era." Brain Multiphysics, 4. ScienceDirect.</w:t>
      </w:r>
    </w:p>
    <w:p>
      <w:pPr>
        <w:spacing w:after="60" w:before="60" w:line="300" w:lineRule="auto"/>
        <w:ind w:left="720" w:hanging="720"/>
      </w:pPr>
      <w:r>
        <w:rPr>
          <w:rFonts w:ascii="Arial" w:cs="Arial" w:eastAsia="Arial" w:hAnsi="Arial"/>
          <w:color w:val="404040"/>
          <w:sz w:val="20"/>
          <w:szCs w:val="20"/>
        </w:rPr>
        <w:t xml:space="preserve">Bogdanova, Y. et al. (2024). "Assessment of oculomotor functions as a biomarker in mild traumatic brain injury." Frontiers in Neurology. PMC11257115.</w:t>
      </w:r>
    </w:p>
    <w:p>
      <w:pPr>
        <w:spacing w:after="60" w:before="60" w:line="300" w:lineRule="auto"/>
        <w:ind w:left="720" w:hanging="720"/>
      </w:pPr>
      <w:r>
        <w:rPr>
          <w:rFonts w:ascii="Arial" w:cs="Arial" w:eastAsia="Arial" w:hAnsi="Arial"/>
          <w:color w:val="404040"/>
          <w:sz w:val="20"/>
          <w:szCs w:val="20"/>
        </w:rPr>
        <w:t xml:space="preserve">CDC (2024). Data on sports and recreation activities. HEADS UP. https://www.cdc.gov/heads-up/data/index.html</w:t>
      </w:r>
    </w:p>
    <w:p>
      <w:pPr>
        <w:spacing w:after="60" w:before="60" w:line="300" w:lineRule="auto"/>
        <w:ind w:left="720" w:hanging="720"/>
      </w:pPr>
      <w:r>
        <w:rPr>
          <w:rFonts w:ascii="Arial" w:cs="Arial" w:eastAsia="Arial" w:hAnsi="Arial"/>
          <w:color w:val="404040"/>
          <w:sz w:val="20"/>
          <w:szCs w:val="20"/>
        </w:rPr>
        <w:t xml:space="preserve">Heitger, M.H. et al. (2024). "Classification of short and long term mild traumatic brain injury using computerized eye tracking." Scientific Reports, 14. https://www.nature.com/articles/s41598-024-63540-8</w:t>
      </w:r>
    </w:p>
    <w:p>
      <w:pPr>
        <w:spacing w:after="60" w:before="60" w:line="300" w:lineRule="auto"/>
        <w:ind w:left="720" w:hanging="720"/>
      </w:pPr>
      <w:r>
        <w:rPr>
          <w:rFonts w:ascii="Arial" w:cs="Arial" w:eastAsia="Arial" w:hAnsi="Arial"/>
          <w:color w:val="404040"/>
          <w:sz w:val="20"/>
          <w:szCs w:val="20"/>
        </w:rPr>
        <w:t xml:space="preserve">Iverson, G.L. et al. (2025). "Oculomotor dysfunction may not subside upon clinical resolution of sport-related concussion." Scientific Reports. https://www.nature.com/articles/s41598-025-21124-0</w:t>
      </w:r>
    </w:p>
    <w:p>
      <w:pPr>
        <w:spacing w:after="60" w:before="60" w:line="300" w:lineRule="auto"/>
        <w:ind w:left="720" w:hanging="720"/>
      </w:pPr>
      <w:r>
        <w:rPr>
          <w:rFonts w:ascii="Arial" w:cs="Arial" w:eastAsia="Arial" w:hAnsi="Arial"/>
          <w:color w:val="404040"/>
          <w:sz w:val="20"/>
          <w:szCs w:val="20"/>
        </w:rPr>
        <w:t xml:space="preserve">Kontos, A.P. et al. (2024). "Elevated smooth pursuit gain in collegiate athletes with sport-related concussion immediately following injury." PMC11267136.</w:t>
      </w:r>
    </w:p>
    <w:p>
      <w:pPr>
        <w:spacing w:after="60" w:before="60" w:line="300" w:lineRule="auto"/>
        <w:ind w:left="720" w:hanging="720"/>
      </w:pPr>
      <w:r>
        <w:rPr>
          <w:rFonts w:ascii="Arial" w:cs="Arial" w:eastAsia="Arial" w:hAnsi="Arial"/>
          <w:color w:val="404040"/>
          <w:sz w:val="20"/>
          <w:szCs w:val="20"/>
        </w:rPr>
        <w:t xml:space="preserve">Lu, Y. et al. (2025). "Real-time gaze estimation using webcam-based CNN models for human-computer interactions." MDPI Computers, 14(2), 57.</w:t>
      </w:r>
    </w:p>
    <w:p>
      <w:pPr>
        <w:spacing w:after="60" w:before="60" w:line="300" w:lineRule="auto"/>
        <w:ind w:left="720" w:hanging="720"/>
      </w:pPr>
      <w:r>
        <w:rPr>
          <w:rFonts w:ascii="Arial" w:cs="Arial" w:eastAsia="Arial" w:hAnsi="Arial"/>
          <w:color w:val="404040"/>
          <w:sz w:val="20"/>
          <w:szCs w:val="20"/>
        </w:rPr>
        <w:t xml:space="preserve">McCrory, P. et al. (2023). "Amsterdam consensus statement on concussion in sport." British Journal of Sports Medicine.</w:t>
      </w:r>
    </w:p>
    <w:p>
      <w:pPr>
        <w:spacing w:after="60" w:before="60" w:line="300" w:lineRule="auto"/>
        <w:ind w:left="720" w:hanging="720"/>
      </w:pPr>
      <w:r>
        <w:rPr>
          <w:rFonts w:ascii="Arial" w:cs="Arial" w:eastAsia="Arial" w:hAnsi="Arial"/>
          <w:color w:val="404040"/>
          <w:sz w:val="20"/>
          <w:szCs w:val="20"/>
        </w:rPr>
        <w:t xml:space="preserve">Perugini, A. et al. (2025). "Virtual reality-based eye tracking throughout typical concussion recovery." The Clinical Neuropsychologist. https://doi.org/10.1080/13854046.2025.2503328</w:t>
      </w:r>
    </w:p>
    <w:p>
      <w:pPr>
        <w:spacing w:after="60" w:before="60" w:line="300" w:lineRule="auto"/>
        <w:ind w:left="720" w:hanging="720"/>
      </w:pPr>
      <w:r>
        <w:rPr>
          <w:rFonts w:ascii="Arial" w:cs="Arial" w:eastAsia="Arial" w:hAnsi="Arial"/>
          <w:color w:val="404040"/>
          <w:sz w:val="20"/>
          <w:szCs w:val="20"/>
        </w:rPr>
        <w:t xml:space="preserve">Saucier, D.M. et al. (2025). "Investigating the utility of the BrainEye smartphone eye tracking application in concussion management." Sports Medicine – Open. Springer Nature.</w:t>
      </w:r>
    </w:p>
    <w:p>
      <w:pPr>
        <w:spacing w:after="60" w:before="60" w:line="300" w:lineRule="auto"/>
        <w:ind w:left="720" w:hanging="720"/>
      </w:pPr>
      <w:r>
        <w:rPr>
          <w:rFonts w:ascii="Arial" w:cs="Arial" w:eastAsia="Arial" w:hAnsi="Arial"/>
          <w:color w:val="404040"/>
          <w:sz w:val="20"/>
          <w:szCs w:val="20"/>
        </w:rPr>
        <w:t xml:space="preserve">Toth, A. et al. (2024). "Automated eye tracking enables saccade performance evaluation of patients with concussion history." Optometry and Vision Science. PubMed 38033013.</w:t>
      </w:r>
    </w:p>
    <w:p>
      <w:pPr>
        <w:spacing w:after="200" w:before="20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DISSERTATION PROPOSAL</w:t>
    </w:r>
    <w:r>
      <w:rPr>
        <w:rFonts w:ascii="Arial" w:cs="Arial" w:eastAsia="Arial" w:hAnsi="Arial"/>
        <w:color w:val="888888"/>
        <w:sz w:val="18"/>
        <w:szCs w:val="18"/>
      </w:rPr>
      <w:t xml:space="preserve">   |   Applied AI and Data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2026-05-17T21:26:07.956Z</dcterms:created>
  <dcterms:modified xsi:type="dcterms:W3CDTF">2026-05-17T21:26:07.966Z</dcterms:modified>
</cp:coreProperties>
</file>

<file path=docProps/custom.xml><?xml version="1.0" encoding="utf-8"?>
<Properties xmlns="http://schemas.openxmlformats.org/officeDocument/2006/custom-properties" xmlns:vt="http://schemas.openxmlformats.org/officeDocument/2006/docPropsVTypes"/>
</file>