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A6F40" w14:textId="77777777" w:rsidR="00A86ADF" w:rsidRPr="00A86ADF" w:rsidRDefault="00A86ADF" w:rsidP="00A86ADF">
      <w:pPr>
        <w:pStyle w:val="NormalWeb"/>
        <w:spacing w:before="0" w:beforeAutospacing="0" w:after="240" w:afterAutospacing="0"/>
        <w:jc w:val="center"/>
        <w:rPr>
          <w:rFonts w:ascii="Open Sans" w:hAnsi="Open Sans" w:cs="Open Sans"/>
          <w:color w:val="0E101A"/>
          <w:sz w:val="32"/>
          <w:szCs w:val="32"/>
        </w:rPr>
      </w:pPr>
      <w:r w:rsidRPr="00A86ADF">
        <w:rPr>
          <w:rStyle w:val="Strong"/>
          <w:rFonts w:ascii="Open Sans" w:hAnsi="Open Sans" w:cs="Open Sans"/>
          <w:color w:val="0E101A"/>
          <w:sz w:val="32"/>
          <w:szCs w:val="32"/>
        </w:rPr>
        <w:t>CHAPTER V</w:t>
      </w:r>
    </w:p>
    <w:p w14:paraId="7DBAC536" w14:textId="0A0097BC" w:rsidR="00A86ADF" w:rsidRPr="00A86ADF" w:rsidRDefault="00A86ADF" w:rsidP="00A86ADF">
      <w:pPr>
        <w:pStyle w:val="NormalWeb"/>
        <w:spacing w:before="0" w:beforeAutospacing="0" w:after="240" w:afterAutospacing="0"/>
        <w:jc w:val="right"/>
        <w:rPr>
          <w:rFonts w:ascii="Open Sans" w:hAnsi="Open Sans" w:cs="Open Sans"/>
          <w:color w:val="0E101A"/>
        </w:rPr>
      </w:pPr>
      <w:r w:rsidRPr="00A86ADF">
        <w:rPr>
          <w:rFonts w:ascii="Open Sans" w:hAnsi="Open Sans" w:cs="Open Sans"/>
          <w:color w:val="0E101A"/>
        </w:rPr>
        <w:t>half is even</w:t>
      </w:r>
      <w:r>
        <w:rPr>
          <w:rFonts w:ascii="Open Sans" w:hAnsi="Open Sans" w:cs="Open Sans"/>
          <w:color w:val="0E101A"/>
        </w:rPr>
        <w:br/>
        <w:t>-------------------------------------------------------------------------------------------------------------------------</w:t>
      </w:r>
    </w:p>
    <w:p w14:paraId="012C9617"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2686B25F"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 xml:space="preserve">In this chapter, we’ll learn the second important concept: the break-even price point. Before entering trades, you </w:t>
      </w:r>
      <w:proofErr w:type="gramStart"/>
      <w:r w:rsidRPr="00A86ADF">
        <w:rPr>
          <w:rFonts w:ascii="Open Sans" w:hAnsi="Open Sans" w:cs="Open Sans"/>
          <w:color w:val="0E101A"/>
        </w:rPr>
        <w:t>have to</w:t>
      </w:r>
      <w:proofErr w:type="gramEnd"/>
      <w:r w:rsidRPr="00A86ADF">
        <w:rPr>
          <w:rFonts w:ascii="Open Sans" w:hAnsi="Open Sans" w:cs="Open Sans"/>
          <w:color w:val="0E101A"/>
        </w:rPr>
        <w:t xml:space="preserve"> know where the break-even point is.</w:t>
      </w:r>
    </w:p>
    <w:p w14:paraId="18759AF7"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72C6BA66"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PROBLEM-SOLUTION</w:t>
      </w:r>
    </w:p>
    <w:p w14:paraId="4CE9DA3F"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Sometimes traders focus too much on profit that they forget the safety measures. In high-leverage trading, profit is not the most important goal, but “</w:t>
      </w:r>
      <w:r w:rsidRPr="00A86ADF">
        <w:rPr>
          <w:rStyle w:val="Strong"/>
          <w:rFonts w:ascii="Open Sans" w:hAnsi="Open Sans" w:cs="Open Sans"/>
          <w:color w:val="0E101A"/>
        </w:rPr>
        <w:t>DON’T LOSE YOUR MONEY</w:t>
      </w:r>
      <w:r w:rsidRPr="00A86ADF">
        <w:rPr>
          <w:rFonts w:ascii="Open Sans" w:hAnsi="Open Sans" w:cs="Open Sans"/>
          <w:color w:val="0E101A"/>
        </w:rPr>
        <w:t>” is.</w:t>
      </w:r>
    </w:p>
    <w:p w14:paraId="4266766F"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 xml:space="preserve">Before getting into trades, a fund manager must know his break-even price point. If he’s not sure if he can even reach that break-even price point, then don’t even bother to </w:t>
      </w:r>
      <w:proofErr w:type="gramStart"/>
      <w:r w:rsidRPr="00A86ADF">
        <w:rPr>
          <w:rFonts w:ascii="Open Sans" w:hAnsi="Open Sans" w:cs="Open Sans"/>
          <w:color w:val="0E101A"/>
        </w:rPr>
        <w:t>enter into</w:t>
      </w:r>
      <w:proofErr w:type="gramEnd"/>
      <w:r w:rsidRPr="00A86ADF">
        <w:rPr>
          <w:rFonts w:ascii="Open Sans" w:hAnsi="Open Sans" w:cs="Open Sans"/>
          <w:color w:val="0E101A"/>
        </w:rPr>
        <w:t xml:space="preserve"> trades.</w:t>
      </w:r>
    </w:p>
    <w:p w14:paraId="6FDA481A"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Our Automated Trading System (ATS) provides you tools to project this break-even point (</w:t>
      </w:r>
      <w:r w:rsidRPr="00A86ADF">
        <w:rPr>
          <w:rStyle w:val="Strong"/>
          <w:rFonts w:ascii="Open Sans" w:hAnsi="Open Sans" w:cs="Open Sans"/>
          <w:color w:val="0E101A"/>
        </w:rPr>
        <w:t>rAEPr</w:t>
      </w:r>
      <w:r w:rsidRPr="00A86ADF">
        <w:rPr>
          <w:rFonts w:ascii="Open Sans" w:hAnsi="Open Sans" w:cs="Open Sans"/>
          <w:color w:val="0E101A"/>
        </w:rPr>
        <w:t>).</w:t>
      </w:r>
    </w:p>
    <w:p w14:paraId="240D0E19"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23E2AA47"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PHILOSOPHY</w:t>
      </w:r>
    </w:p>
    <w:p w14:paraId="49AB2D6D"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To be successful as a fund manager, playing safe is the corner-stone philosophy of high-leverage trading. Play to win is just as important. Without the intention to gain, we shouldn’t trade at all.</w:t>
      </w:r>
    </w:p>
    <w:p w14:paraId="46FA7AF3"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124B99A4"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7951E87D"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SOLUTION</w:t>
      </w:r>
    </w:p>
    <w:p w14:paraId="5651014A"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lastRenderedPageBreak/>
        <w:t>In military operations, plan A’s goal is to achieve some target. Plan B’s goal is loss mitigation. If the target cannot be achieved, don’t get killed. Well, at least cut the loss to the minimum.</w:t>
      </w:r>
    </w:p>
    <w:p w14:paraId="7CAB53B6"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After setting the </w:t>
      </w:r>
      <w:r w:rsidRPr="00A86ADF">
        <w:rPr>
          <w:rStyle w:val="Strong"/>
          <w:rFonts w:ascii="Open Sans" w:hAnsi="Open Sans" w:cs="Open Sans"/>
          <w:color w:val="0E101A"/>
        </w:rPr>
        <w:t>eTP</w:t>
      </w:r>
      <w:r w:rsidRPr="00A86ADF">
        <w:rPr>
          <w:rFonts w:ascii="Open Sans" w:hAnsi="Open Sans" w:cs="Open Sans"/>
          <w:color w:val="0E101A"/>
        </w:rPr>
        <w:t> which is the price target, the second number you should set is the Break-Even – or projected average entry price (</w:t>
      </w:r>
      <w:r w:rsidRPr="00A86ADF">
        <w:rPr>
          <w:rStyle w:val="Strong"/>
          <w:rFonts w:ascii="Open Sans" w:hAnsi="Open Sans" w:cs="Open Sans"/>
          <w:color w:val="0E101A"/>
        </w:rPr>
        <w:t>pAEPr</w:t>
      </w:r>
      <w:r w:rsidRPr="00A86ADF">
        <w:rPr>
          <w:rFonts w:ascii="Open Sans" w:hAnsi="Open Sans" w:cs="Open Sans"/>
          <w:color w:val="0E101A"/>
        </w:rPr>
        <w:t>).</w:t>
      </w:r>
    </w:p>
    <w:p w14:paraId="53B7798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After these two numbers are set, the </w:t>
      </w:r>
      <w:r w:rsidRPr="00A86ADF">
        <w:rPr>
          <w:rStyle w:val="Strong"/>
          <w:rFonts w:ascii="Open Sans" w:hAnsi="Open Sans" w:cs="Open Sans"/>
          <w:color w:val="0E101A"/>
        </w:rPr>
        <w:t>mTP</w:t>
      </w:r>
      <w:r w:rsidRPr="00A86ADF">
        <w:rPr>
          <w:rFonts w:ascii="Open Sans" w:hAnsi="Open Sans" w:cs="Open Sans"/>
          <w:color w:val="0E101A"/>
        </w:rPr>
        <w:t> is the derived number.</w:t>
      </w:r>
    </w:p>
    <w:p w14:paraId="40BE3F8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Having these three numbers, all you have to do as the fund manager is to plug these number into the Automated Trading System (</w:t>
      </w:r>
      <w:r w:rsidRPr="00A86ADF">
        <w:rPr>
          <w:rStyle w:val="Strong"/>
          <w:rFonts w:ascii="Open Sans" w:hAnsi="Open Sans" w:cs="Open Sans"/>
          <w:color w:val="0E101A"/>
        </w:rPr>
        <w:t>ATS</w:t>
      </w:r>
      <w:r w:rsidRPr="00A86ADF">
        <w:rPr>
          <w:rFonts w:ascii="Open Sans" w:hAnsi="Open Sans" w:cs="Open Sans"/>
          <w:color w:val="0E101A"/>
        </w:rPr>
        <w:t>), then goes to the beach, enjoying margaritas, while waiting for the profits to be realized.</w:t>
      </w:r>
    </w:p>
    <w:p w14:paraId="5D98182D"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Remember, you can only have access to the Pre-Trade Simulator (</w:t>
      </w:r>
      <w:r w:rsidRPr="00A86ADF">
        <w:rPr>
          <w:rStyle w:val="Strong"/>
          <w:rFonts w:ascii="Open Sans" w:hAnsi="Open Sans" w:cs="Open Sans"/>
          <w:color w:val="0E101A"/>
        </w:rPr>
        <w:t>PTS</w:t>
      </w:r>
      <w:r w:rsidRPr="00A86ADF">
        <w:rPr>
          <w:rFonts w:ascii="Open Sans" w:hAnsi="Open Sans" w:cs="Open Sans"/>
          <w:color w:val="0E101A"/>
        </w:rPr>
        <w:t>) and the </w:t>
      </w:r>
      <w:r w:rsidRPr="00A86ADF">
        <w:rPr>
          <w:rStyle w:val="Strong"/>
          <w:rFonts w:ascii="Open Sans" w:hAnsi="Open Sans" w:cs="Open Sans"/>
          <w:color w:val="0E101A"/>
        </w:rPr>
        <w:t>ATS</w:t>
      </w:r>
      <w:r w:rsidRPr="00A86ADF">
        <w:rPr>
          <w:rFonts w:ascii="Open Sans" w:hAnsi="Open Sans" w:cs="Open Sans"/>
          <w:color w:val="0E101A"/>
        </w:rPr>
        <w:t> in the classroom. You can register here: </w:t>
      </w:r>
      <w:hyperlink r:id="rId4" w:tgtFrame="_blank" w:history="1">
        <w:r w:rsidRPr="00A86ADF">
          <w:rPr>
            <w:rStyle w:val="Hyperlink"/>
            <w:rFonts w:ascii="Open Sans" w:hAnsi="Open Sans" w:cs="Open Sans"/>
            <w:color w:val="4A6EE0"/>
          </w:rPr>
          <w:t>https://mcaforex.com</w:t>
        </w:r>
      </w:hyperlink>
      <w:r w:rsidRPr="00A86ADF">
        <w:rPr>
          <w:rFonts w:ascii="Open Sans" w:hAnsi="Open Sans" w:cs="Open Sans"/>
          <w:color w:val="0E101A"/>
        </w:rPr>
        <w:t>.</w:t>
      </w:r>
    </w:p>
    <w:p w14:paraId="2EE45309"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08524E33"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STRATEGY &amp; TACTICS</w:t>
      </w:r>
    </w:p>
    <w:p w14:paraId="588EAA6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With a grand plan A to achieve the winning goal, you should have a contingency plan B to exit with no loss, should the market moves against you so bad that’s it’s almost impossible to achieve the original plan A.</w:t>
      </w:r>
    </w:p>
    <w:p w14:paraId="742C343D"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Our Automated Trading System (</w:t>
      </w:r>
      <w:r w:rsidRPr="00A86ADF">
        <w:rPr>
          <w:rStyle w:val="Strong"/>
          <w:rFonts w:ascii="Open Sans" w:hAnsi="Open Sans" w:cs="Open Sans"/>
          <w:color w:val="0E101A"/>
        </w:rPr>
        <w:t>ATS</w:t>
      </w:r>
      <w:r w:rsidRPr="00A86ADF">
        <w:rPr>
          <w:rFonts w:ascii="Open Sans" w:hAnsi="Open Sans" w:cs="Open Sans"/>
          <w:color w:val="0E101A"/>
        </w:rPr>
        <w:t>) provides fund manager a mechanism to adjust the original </w:t>
      </w:r>
      <w:r w:rsidRPr="00A86ADF">
        <w:rPr>
          <w:rStyle w:val="Strong"/>
          <w:rFonts w:ascii="Open Sans" w:hAnsi="Open Sans" w:cs="Open Sans"/>
          <w:color w:val="0E101A"/>
        </w:rPr>
        <w:t>eTP</w:t>
      </w:r>
      <w:r w:rsidRPr="00A86ADF">
        <w:rPr>
          <w:rFonts w:ascii="Open Sans" w:hAnsi="Open Sans" w:cs="Open Sans"/>
          <w:color w:val="0E101A"/>
        </w:rPr>
        <w:t> to the new </w:t>
      </w:r>
      <w:r w:rsidRPr="00A86ADF">
        <w:rPr>
          <w:rStyle w:val="Strong"/>
          <w:rFonts w:ascii="Open Sans" w:hAnsi="Open Sans" w:cs="Open Sans"/>
          <w:color w:val="0E101A"/>
        </w:rPr>
        <w:t>eTP</w:t>
      </w:r>
      <w:r w:rsidRPr="00A86ADF">
        <w:rPr>
          <w:rFonts w:ascii="Open Sans" w:hAnsi="Open Sans" w:cs="Open Sans"/>
          <w:color w:val="0E101A"/>
        </w:rPr>
        <w:t>, which is the same as the </w:t>
      </w:r>
      <w:r w:rsidRPr="00A86ADF">
        <w:rPr>
          <w:rStyle w:val="Strong"/>
          <w:rFonts w:ascii="Open Sans" w:hAnsi="Open Sans" w:cs="Open Sans"/>
          <w:color w:val="0E101A"/>
        </w:rPr>
        <w:t>rAEPr</w:t>
      </w:r>
      <w:r w:rsidRPr="00A86ADF">
        <w:rPr>
          <w:rFonts w:ascii="Open Sans" w:hAnsi="Open Sans" w:cs="Open Sans"/>
          <w:color w:val="0E101A"/>
        </w:rPr>
        <w:t>, which effective liquidate all position for an accumulative break-even.</w:t>
      </w:r>
    </w:p>
    <w:p w14:paraId="5EDD0DE8"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616B5FF6"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DEFINITIONS</w:t>
      </w:r>
    </w:p>
    <w:p w14:paraId="6F4D42AC"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eTp</w:t>
      </w:r>
      <w:r w:rsidRPr="00A86ADF">
        <w:rPr>
          <w:rFonts w:ascii="Open Sans"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0203A651" w14:textId="7E95FE02"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rAEPr </w:t>
      </w:r>
      <w:r w:rsidRPr="00A86ADF">
        <w:rPr>
          <w:rFonts w:ascii="Open Sans" w:hAnsi="Open Sans" w:cs="Open Sans"/>
          <w:color w:val="0E101A"/>
        </w:rPr>
        <w:t xml:space="preserve">is the second most important number. This is the real Average Entry Price for collective trades. The formula to calculate profit </w:t>
      </w:r>
      <w:r w:rsidRPr="00A86ADF">
        <w:rPr>
          <w:rFonts w:ascii="Open Sans" w:hAnsi="Open Sans" w:cs="Open Sans"/>
          <w:color w:val="0E101A"/>
        </w:rPr>
        <w:t>is</w:t>
      </w:r>
      <w:r w:rsidRPr="00A86ADF">
        <w:rPr>
          <w:rFonts w:ascii="Open Sans" w:hAnsi="Open Sans" w:cs="Open Sans"/>
          <w:color w:val="0E101A"/>
        </w:rPr>
        <w:t> </w:t>
      </w:r>
      <w:r w:rsidRPr="00A86ADF">
        <w:rPr>
          <w:rStyle w:val="Strong"/>
          <w:rFonts w:ascii="Open Sans" w:hAnsi="Open Sans" w:cs="Open Sans"/>
          <w:color w:val="0E101A"/>
        </w:rPr>
        <w:t xml:space="preserve">aL </w:t>
      </w:r>
      <w:r w:rsidRPr="00A86ADF">
        <w:rPr>
          <w:rStyle w:val="Strong"/>
          <w:rFonts w:ascii="Open Sans" w:hAnsi="Open Sans" w:cs="Open Sans"/>
          <w:b w:val="0"/>
          <w:bCs w:val="0"/>
          <w:color w:val="0E101A"/>
        </w:rPr>
        <w:t>*</w:t>
      </w:r>
      <w:r w:rsidRPr="00A86ADF">
        <w:rPr>
          <w:rStyle w:val="Strong"/>
          <w:rFonts w:ascii="Open Sans" w:hAnsi="Open Sans" w:cs="Open Sans"/>
          <w:color w:val="0E101A"/>
        </w:rPr>
        <w:t xml:space="preserve"> (eTP </w:t>
      </w:r>
      <w:r w:rsidRPr="00A86ADF">
        <w:rPr>
          <w:rStyle w:val="Strong"/>
          <w:rFonts w:ascii="Open Sans" w:hAnsi="Open Sans" w:cs="Open Sans"/>
          <w:b w:val="0"/>
          <w:bCs w:val="0"/>
          <w:color w:val="0E101A"/>
        </w:rPr>
        <w:t>–</w:t>
      </w:r>
      <w:r w:rsidRPr="00A86ADF">
        <w:rPr>
          <w:rStyle w:val="Strong"/>
          <w:rFonts w:ascii="Open Sans" w:hAnsi="Open Sans" w:cs="Open Sans"/>
          <w:color w:val="0E101A"/>
        </w:rPr>
        <w:t xml:space="preserve"> rAEPr).</w:t>
      </w:r>
    </w:p>
    <w:p w14:paraId="61101F35"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pAEPr </w:t>
      </w:r>
      <w:r w:rsidRPr="00A86ADF">
        <w:rPr>
          <w:rFonts w:ascii="Open Sans" w:hAnsi="Open Sans" w:cs="Open Sans"/>
          <w:color w:val="0E101A"/>
        </w:rPr>
        <w:t>is the projected Average Entry Price, which is the projected/simulated variable for the </w:t>
      </w:r>
      <w:r w:rsidRPr="00A86ADF">
        <w:rPr>
          <w:rStyle w:val="Strong"/>
          <w:rFonts w:ascii="Open Sans" w:hAnsi="Open Sans" w:cs="Open Sans"/>
          <w:color w:val="0E101A"/>
        </w:rPr>
        <w:t>rAEPr</w:t>
      </w:r>
      <w:r w:rsidRPr="00A86ADF">
        <w:rPr>
          <w:rFonts w:ascii="Open Sans" w:hAnsi="Open Sans" w:cs="Open Sans"/>
          <w:color w:val="0E101A"/>
        </w:rPr>
        <w:t> when trades were executed. After trades were executed, </w:t>
      </w:r>
      <w:r w:rsidRPr="00A86ADF">
        <w:rPr>
          <w:rStyle w:val="Strong"/>
          <w:rFonts w:ascii="Open Sans" w:hAnsi="Open Sans" w:cs="Open Sans"/>
          <w:color w:val="0E101A"/>
        </w:rPr>
        <w:t>rAEPr</w:t>
      </w:r>
      <w:r w:rsidRPr="00A86ADF">
        <w:rPr>
          <w:rFonts w:ascii="Open Sans" w:hAnsi="Open Sans" w:cs="Open Sans"/>
          <w:color w:val="0E101A"/>
        </w:rPr>
        <w:t> will override this </w:t>
      </w:r>
      <w:r w:rsidRPr="00A86ADF">
        <w:rPr>
          <w:rStyle w:val="Strong"/>
          <w:rFonts w:ascii="Open Sans" w:hAnsi="Open Sans" w:cs="Open Sans"/>
          <w:color w:val="0E101A"/>
        </w:rPr>
        <w:t>pAEPr</w:t>
      </w:r>
      <w:r w:rsidRPr="00A86ADF">
        <w:rPr>
          <w:rFonts w:ascii="Open Sans" w:hAnsi="Open Sans" w:cs="Open Sans"/>
          <w:color w:val="0E101A"/>
        </w:rPr>
        <w:t>.</w:t>
      </w:r>
    </w:p>
    <w:p w14:paraId="428A0D6C"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4531B88F"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1F821500"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CASE STUDY</w:t>
      </w:r>
    </w:p>
    <w:p w14:paraId="5C6C6CAD"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So far, in the previous chapters, we only projected the winning scenarios. What about break-even scenarios?</w:t>
      </w:r>
    </w:p>
    <w:p w14:paraId="4692143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The real break-even scenario happens when the market moves against you initially, but then only bounces back 50% of the collectively opened trades.</w:t>
      </w:r>
    </w:p>
    <w:p w14:paraId="6D1E8D5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Let’s study that scenario using the following case study:</w:t>
      </w:r>
    </w:p>
    <w:p w14:paraId="4821637A"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43F2188F"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39A50C9A"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CASE STUDY 5 (the break-even scenario)</w:t>
      </w:r>
    </w:p>
    <w:p w14:paraId="0BE143F2"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5BF83FC7"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Our trading capital is $29,000.</w:t>
      </w:r>
    </w:p>
    <w:p w14:paraId="5DB39D3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It was September 7, 2020. The current gold price is 1980.</w:t>
      </w:r>
    </w:p>
    <w:p w14:paraId="4EA344B6"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We expect the intra-week high gold price to be around 2000.</w:t>
      </w:r>
    </w:p>
    <w:p w14:paraId="688FCC03"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We define the trading range price between 1800... 2000.</w:t>
      </w:r>
    </w:p>
    <w:p w14:paraId="6F927D62"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So, we spread out our capitals, and therefore, for each price, we buy one ounce of gold.</w:t>
      </w:r>
    </w:p>
    <w:p w14:paraId="61E100D3"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This time, against our expectation, gold doesn’t rise but keeps dropping. It drops to 1850. Then Friday morning it bounces back to 1915. </w:t>
      </w:r>
    </w:p>
    <w:p w14:paraId="0FE991F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We decide to liquidate all positions. What is the outcome?</w:t>
      </w:r>
    </w:p>
    <w:p w14:paraId="0E919F7A"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Emphasis"/>
          <w:rFonts w:ascii="Open Sans" w:hAnsi="Open Sans" w:cs="Open Sans"/>
          <w:color w:val="0E101A"/>
        </w:rPr>
        <w:t>We bought 130 oz of gold with an average price of 1865. So, after gold drops down to 1850 then bounce back to 1865 on Friday morning, we liquidate all positions and break even.</w:t>
      </w:r>
    </w:p>
    <w:p w14:paraId="039FD0A2"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For a 130-Dollar price drop situation, then 50% bounce back retracement, we still break even. This is not a bad idea.</w:t>
      </w:r>
    </w:p>
    <w:p w14:paraId="25138B01"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79C86905"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1871E5D8"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We define the upper bound for the trading range as the </w:t>
      </w:r>
      <w:r w:rsidRPr="00A86ADF">
        <w:rPr>
          <w:rStyle w:val="Strong"/>
          <w:rFonts w:ascii="Open Sans" w:hAnsi="Open Sans" w:cs="Open Sans"/>
          <w:color w:val="0E101A"/>
        </w:rPr>
        <w:t>eTP</w:t>
      </w:r>
      <w:r w:rsidRPr="00A86ADF">
        <w:rPr>
          <w:rFonts w:ascii="Open Sans" w:hAnsi="Open Sans" w:cs="Open Sans"/>
          <w:color w:val="0E101A"/>
        </w:rPr>
        <w:t> of our opened long positions. In these collective trades, we expect the gold price to go up, but it didn’t. Instead, it dropped $130 then bounced upward $65. When the current price is in the neighborhood of </w:t>
      </w:r>
      <w:r w:rsidRPr="00A86ADF">
        <w:rPr>
          <w:rStyle w:val="Strong"/>
          <w:rFonts w:ascii="Open Sans" w:hAnsi="Open Sans" w:cs="Open Sans"/>
          <w:color w:val="0E101A"/>
        </w:rPr>
        <w:t>rAEPr,</w:t>
      </w:r>
      <w:r w:rsidRPr="00A86ADF">
        <w:rPr>
          <w:rFonts w:ascii="Open Sans" w:hAnsi="Open Sans" w:cs="Open Sans"/>
          <w:color w:val="0E101A"/>
        </w:rPr>
        <w:t> If you feel like you were trapped in a short-term contrarian (down) trend, at this price, which is 1915, you’d have an option to get out with no loss (just swap fees only).</w:t>
      </w:r>
    </w:p>
    <w:p w14:paraId="648B6137"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521D5B56"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For better understanding, let’s look at the Illustration below:</w:t>
      </w:r>
    </w:p>
    <w:p w14:paraId="0CC52D1F" w14:textId="31753B7A" w:rsidR="00A86ADF" w:rsidRPr="00A86ADF" w:rsidRDefault="00A86ADF" w:rsidP="00A86ADF">
      <w:pPr>
        <w:pStyle w:val="NormalWeb"/>
        <w:spacing w:before="0" w:beforeAutospacing="0" w:after="240" w:afterAutospacing="0"/>
        <w:rPr>
          <w:rFonts w:ascii="Open Sans" w:hAnsi="Open Sans" w:cs="Open Sans"/>
          <w:color w:val="0E101A"/>
        </w:rPr>
      </w:pPr>
      <w:r>
        <w:rPr>
          <w:rFonts w:ascii="Open Sans" w:hAnsi="Open Sans" w:cs="Open Sans"/>
          <w:noProof/>
          <w:color w:val="0E101A"/>
        </w:rPr>
        <w:drawing>
          <wp:inline distT="0" distB="0" distL="0" distR="0" wp14:anchorId="79778ACA" wp14:editId="4C1AE5CF">
            <wp:extent cx="6010275" cy="4116070"/>
            <wp:effectExtent l="0" t="0" r="9525" b="0"/>
            <wp:docPr id="1"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0852" cy="4116465"/>
                    </a:xfrm>
                    <a:prstGeom prst="rect">
                      <a:avLst/>
                    </a:prstGeom>
                  </pic:spPr>
                </pic:pic>
              </a:graphicData>
            </a:graphic>
          </wp:inline>
        </w:drawing>
      </w:r>
    </w:p>
    <w:p w14:paraId="53172C3E"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Illustration V</w:t>
      </w:r>
    </w:p>
    <w:p w14:paraId="3B093558"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6B503D3E"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004A7049"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lastRenderedPageBreak/>
        <w:t>FORMULA(s):</w:t>
      </w:r>
    </w:p>
    <w:p w14:paraId="42C23E44" w14:textId="77777777" w:rsidR="00A86ADF" w:rsidRPr="00A86ADF" w:rsidRDefault="00A86ADF" w:rsidP="00A86ADF">
      <w:pPr>
        <w:pStyle w:val="NormalWeb"/>
        <w:spacing w:before="0" w:beforeAutospacing="0" w:after="240" w:afterAutospacing="0"/>
        <w:jc w:val="center"/>
        <w:rPr>
          <w:rFonts w:ascii="Open Sans" w:hAnsi="Open Sans" w:cs="Open Sans"/>
          <w:color w:val="0E101A"/>
        </w:rPr>
      </w:pPr>
      <w:r w:rsidRPr="00A86ADF">
        <w:rPr>
          <w:rStyle w:val="Strong"/>
          <w:rFonts w:ascii="Open Sans" w:hAnsi="Open Sans" w:cs="Open Sans"/>
          <w:color w:val="0E101A"/>
        </w:rPr>
        <w:t>rAEPr </w:t>
      </w:r>
      <w:r w:rsidRPr="00A86ADF">
        <w:rPr>
          <w:rFonts w:ascii="Open Sans" w:hAnsi="Open Sans" w:cs="Open Sans"/>
          <w:color w:val="0E101A"/>
        </w:rPr>
        <w:t>=</w:t>
      </w:r>
      <w:r w:rsidRPr="00A86ADF">
        <w:rPr>
          <w:rStyle w:val="Strong"/>
          <w:rFonts w:ascii="Open Sans" w:hAnsi="Open Sans" w:cs="Open Sans"/>
          <w:color w:val="0E101A"/>
        </w:rPr>
        <w:t> (eTP </w:t>
      </w:r>
      <w:r w:rsidRPr="00A86ADF">
        <w:rPr>
          <w:rFonts w:ascii="Open Sans" w:hAnsi="Open Sans" w:cs="Open Sans"/>
          <w:color w:val="0E101A"/>
        </w:rPr>
        <w:t>+</w:t>
      </w:r>
      <w:r w:rsidRPr="00A86ADF">
        <w:rPr>
          <w:rStyle w:val="Strong"/>
          <w:rFonts w:ascii="Open Sans" w:hAnsi="Open Sans" w:cs="Open Sans"/>
          <w:color w:val="0E101A"/>
        </w:rPr>
        <w:t> rmTP) / </w:t>
      </w:r>
      <w:r w:rsidRPr="00A86ADF">
        <w:rPr>
          <w:rFonts w:ascii="Open Sans" w:hAnsi="Open Sans" w:cs="Open Sans"/>
          <w:color w:val="0E101A"/>
        </w:rPr>
        <w:t>2</w:t>
      </w:r>
    </w:p>
    <w:p w14:paraId="30DB94D1"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72E8DD2E"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6A7A23F2"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ELABORATIONS</w:t>
      </w:r>
    </w:p>
    <w:p w14:paraId="6AC1ED07"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Play to win! However, you got to play safe. If not, you may lose your capital. Therefore, you ought to Play Safe to Win - which is a very rare combination.</w:t>
      </w:r>
    </w:p>
    <w:p w14:paraId="2CAF17E3"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Without a trading system and all the toolset in place, it’s very difficult to pre-plan and project different plans, options, and safe exit points.</w:t>
      </w:r>
    </w:p>
    <w:p w14:paraId="543419FC"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6DD5AD10"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You need to train and form your mind into a winning-safe mindset. This is the foundation and framework for any future trading operations.</w:t>
      </w:r>
    </w:p>
    <w:p w14:paraId="395D3AD2"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Invest in your specialized knowledge. Making money in the high-leverage trading speculation game does not base on a large source of funds as capital. You will win consistently because of superior knowledge and a proven Automated Trading System (</w:t>
      </w:r>
      <w:r w:rsidRPr="00A86ADF">
        <w:rPr>
          <w:rStyle w:val="Strong"/>
          <w:rFonts w:ascii="Open Sans" w:hAnsi="Open Sans" w:cs="Open Sans"/>
          <w:color w:val="0E101A"/>
        </w:rPr>
        <w:t>ATS</w:t>
      </w:r>
      <w:r w:rsidRPr="00A86ADF">
        <w:rPr>
          <w:rFonts w:ascii="Open Sans" w:hAnsi="Open Sans" w:cs="Open Sans"/>
          <w:color w:val="0E101A"/>
        </w:rPr>
        <w:t>) in place. That’s the reason why you should come to the class. </w:t>
      </w:r>
    </w:p>
    <w:p w14:paraId="48A65571"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3028B102"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You can register here: </w:t>
      </w:r>
      <w:hyperlink r:id="rId6" w:tgtFrame="_blank" w:history="1">
        <w:r w:rsidRPr="00A86ADF">
          <w:rPr>
            <w:rStyle w:val="Hyperlink"/>
            <w:rFonts w:ascii="Open Sans" w:hAnsi="Open Sans" w:cs="Open Sans"/>
            <w:color w:val="4A6EE0"/>
          </w:rPr>
          <w:t>https://mcaforex.com</w:t>
        </w:r>
      </w:hyperlink>
      <w:r w:rsidRPr="00A86ADF">
        <w:rPr>
          <w:rFonts w:ascii="Open Sans" w:hAnsi="Open Sans" w:cs="Open Sans"/>
          <w:color w:val="0E101A"/>
        </w:rPr>
        <w:t>.</w:t>
      </w:r>
    </w:p>
    <w:p w14:paraId="241B7537"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4C6C9081"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Style w:val="Strong"/>
          <w:rFonts w:ascii="Open Sans" w:hAnsi="Open Sans" w:cs="Open Sans"/>
          <w:color w:val="0E101A"/>
        </w:rPr>
        <w:t>RECAP</w:t>
      </w:r>
    </w:p>
    <w:p w14:paraId="7BF07050"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t xml:space="preserve">If you cannot achieve the original plan’s goal, at least you got to find a way to exit prematurely and without any loss. </w:t>
      </w:r>
      <w:proofErr w:type="gramStart"/>
      <w:r w:rsidRPr="00A86ADF">
        <w:rPr>
          <w:rFonts w:ascii="Open Sans" w:hAnsi="Open Sans" w:cs="Open Sans"/>
          <w:color w:val="0E101A"/>
        </w:rPr>
        <w:t>As long as</w:t>
      </w:r>
      <w:proofErr w:type="gramEnd"/>
      <w:r w:rsidRPr="00A86ADF">
        <w:rPr>
          <w:rFonts w:ascii="Open Sans" w:hAnsi="Open Sans" w:cs="Open Sans"/>
          <w:color w:val="0E101A"/>
        </w:rPr>
        <w:t xml:space="preserve"> you can preserve your capital, opportunities are plenty. Do not insist on making money when the market turns against your original plan. Find a quick exit instead!</w:t>
      </w:r>
    </w:p>
    <w:p w14:paraId="5211A9E4" w14:textId="77777777" w:rsidR="00A86ADF" w:rsidRPr="00A86ADF" w:rsidRDefault="00A86ADF" w:rsidP="00A86ADF">
      <w:pPr>
        <w:pStyle w:val="NormalWeb"/>
        <w:spacing w:before="0" w:beforeAutospacing="0" w:after="240" w:afterAutospacing="0"/>
        <w:rPr>
          <w:rFonts w:ascii="Open Sans" w:hAnsi="Open Sans" w:cs="Open Sans"/>
          <w:color w:val="0E101A"/>
        </w:rPr>
      </w:pPr>
      <w:r w:rsidRPr="00A86ADF">
        <w:rPr>
          <w:rFonts w:ascii="Open Sans" w:hAnsi="Open Sans" w:cs="Open Sans"/>
          <w:color w:val="0E101A"/>
        </w:rPr>
        <w:lastRenderedPageBreak/>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0AAF8159"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0A01EDEE" w14:textId="77777777" w:rsidR="00A86ADF" w:rsidRPr="00A86ADF" w:rsidRDefault="00A86ADF" w:rsidP="00A86ADF">
      <w:pPr>
        <w:pStyle w:val="NormalWeb"/>
        <w:spacing w:before="0" w:beforeAutospacing="0" w:after="240" w:afterAutospacing="0"/>
        <w:rPr>
          <w:rFonts w:ascii="Open Sans" w:hAnsi="Open Sans" w:cs="Open Sans"/>
          <w:color w:val="0E101A"/>
        </w:rPr>
      </w:pPr>
    </w:p>
    <w:p w14:paraId="31028C5E" w14:textId="77777777" w:rsidR="00EE5645" w:rsidRPr="00A86ADF" w:rsidRDefault="00EE5645" w:rsidP="00A86ADF">
      <w:pPr>
        <w:spacing w:after="240"/>
        <w:rPr>
          <w:rFonts w:ascii="Open Sans" w:hAnsi="Open Sans" w:cs="Open Sans"/>
        </w:rPr>
      </w:pPr>
    </w:p>
    <w:sectPr w:rsidR="00EE5645" w:rsidRPr="00A8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CA"/>
    <w:rsid w:val="00055BF8"/>
    <w:rsid w:val="00142AB8"/>
    <w:rsid w:val="001F37F0"/>
    <w:rsid w:val="00231847"/>
    <w:rsid w:val="002444BC"/>
    <w:rsid w:val="002C08F6"/>
    <w:rsid w:val="003534CE"/>
    <w:rsid w:val="00363637"/>
    <w:rsid w:val="003E254F"/>
    <w:rsid w:val="003F406D"/>
    <w:rsid w:val="00503A07"/>
    <w:rsid w:val="006A7E1B"/>
    <w:rsid w:val="00773FC9"/>
    <w:rsid w:val="00782293"/>
    <w:rsid w:val="0079212F"/>
    <w:rsid w:val="007D60AA"/>
    <w:rsid w:val="00873DB1"/>
    <w:rsid w:val="008E1FB2"/>
    <w:rsid w:val="009735DE"/>
    <w:rsid w:val="0099443E"/>
    <w:rsid w:val="009C2223"/>
    <w:rsid w:val="00A25D6B"/>
    <w:rsid w:val="00A86ADF"/>
    <w:rsid w:val="00AB1C06"/>
    <w:rsid w:val="00AF0390"/>
    <w:rsid w:val="00B35DF5"/>
    <w:rsid w:val="00B43AE2"/>
    <w:rsid w:val="00BC6CBC"/>
    <w:rsid w:val="00D369B8"/>
    <w:rsid w:val="00DF6BCA"/>
    <w:rsid w:val="00ED510E"/>
    <w:rsid w:val="00EE5645"/>
    <w:rsid w:val="00F6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B04C"/>
  <w15:chartTrackingRefBased/>
  <w15:docId w15:val="{55A8FA0E-EDAB-4C44-9D35-63F0B250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4CE"/>
    <w:rPr>
      <w:color w:val="0563C1" w:themeColor="hyperlink"/>
      <w:u w:val="single"/>
    </w:rPr>
  </w:style>
  <w:style w:type="character" w:styleId="UnresolvedMention">
    <w:name w:val="Unresolved Mention"/>
    <w:basedOn w:val="DefaultParagraphFont"/>
    <w:uiPriority w:val="99"/>
    <w:semiHidden/>
    <w:unhideWhenUsed/>
    <w:rsid w:val="003534CE"/>
    <w:rPr>
      <w:color w:val="605E5C"/>
      <w:shd w:val="clear" w:color="auto" w:fill="E1DFDD"/>
    </w:rPr>
  </w:style>
  <w:style w:type="paragraph" w:styleId="NormalWeb">
    <w:name w:val="Normal (Web)"/>
    <w:basedOn w:val="Normal"/>
    <w:uiPriority w:val="99"/>
    <w:semiHidden/>
    <w:unhideWhenUsed/>
    <w:rsid w:val="00A86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ADF"/>
    <w:rPr>
      <w:b/>
      <w:bCs/>
    </w:rPr>
  </w:style>
  <w:style w:type="character" w:styleId="Emphasis">
    <w:name w:val="Emphasis"/>
    <w:basedOn w:val="DefaultParagraphFont"/>
    <w:uiPriority w:val="20"/>
    <w:qFormat/>
    <w:rsid w:val="00A86A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51028">
      <w:bodyDiv w:val="1"/>
      <w:marLeft w:val="0"/>
      <w:marRight w:val="0"/>
      <w:marTop w:val="0"/>
      <w:marBottom w:val="0"/>
      <w:divBdr>
        <w:top w:val="none" w:sz="0" w:space="0" w:color="auto"/>
        <w:left w:val="none" w:sz="0" w:space="0" w:color="auto"/>
        <w:bottom w:val="none" w:sz="0" w:space="0" w:color="auto"/>
        <w:right w:val="none" w:sz="0" w:space="0" w:color="auto"/>
      </w:divBdr>
    </w:div>
    <w:div w:id="1392920202">
      <w:bodyDiv w:val="1"/>
      <w:marLeft w:val="0"/>
      <w:marRight w:val="0"/>
      <w:marTop w:val="0"/>
      <w:marBottom w:val="0"/>
      <w:divBdr>
        <w:top w:val="none" w:sz="0" w:space="0" w:color="auto"/>
        <w:left w:val="none" w:sz="0" w:space="0" w:color="auto"/>
        <w:bottom w:val="none" w:sz="0" w:space="0" w:color="auto"/>
        <w:right w:val="none" w:sz="0" w:space="0" w:color="auto"/>
      </w:divBdr>
    </w:div>
    <w:div w:id="15979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aforex.com" TargetMode="External"/><Relationship Id="rId5" Type="http://schemas.openxmlformats.org/officeDocument/2006/relationships/image" Target="media/image1.png"/><Relationship Id="rId4"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17</cp:revision>
  <dcterms:created xsi:type="dcterms:W3CDTF">2020-10-22T14:41:00Z</dcterms:created>
  <dcterms:modified xsi:type="dcterms:W3CDTF">2020-11-18T20:13:00Z</dcterms:modified>
</cp:coreProperties>
</file>