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Abstract</w:t>
      </w:r>
    </w:p>
    <w:p>
      <w:pPr>
        <w:pStyle w:val="FirstParagraph"/>
      </w:pPr>
      <w:r>
        <w:t xml:space="preserve">Lending decisions are economic decisions, but credit-scoring</w:t>
      </w:r>
      <w:r>
        <w:t xml:space="preserve"> </w:t>
      </w:r>
      <w:r>
        <w:t xml:space="preserve">evaluation has historically relied on discrimination metrics —</w:t>
      </w:r>
      <w:r>
        <w:t xml:space="preserve"> </w:t>
      </w:r>
      <w:r>
        <w:t xml:space="preserve">AUC, Gini, KS, and cut-off rules such as Youden’s J. The</w:t>
      </w:r>
      <w:r>
        <w:t xml:space="preserve"> </w:t>
      </w:r>
      <w:r>
        <w:t xml:space="preserve">published evidence base for profit-driven cut-off selection is</w:t>
      </w:r>
      <w:r>
        <w:t xml:space="preserve"> </w:t>
      </w:r>
      <w:r>
        <w:t xml:space="preserve">principled but thin on controlled empirical comparisons under</w:t>
      </w:r>
      <w:r>
        <w:t xml:space="preserve"> </w:t>
      </w:r>
      <w:r>
        <w:t xml:space="preserve">combined economic, PD-signal, and operating-cost stress. The</w:t>
      </w:r>
      <w:r>
        <w:t xml:space="preserve"> </w:t>
      </w:r>
      <w:r>
        <w:t xml:space="preserve">thesis asks: under what conditions do profit-driven cut-offs</w:t>
      </w:r>
      <w:r>
        <w:t xml:space="preserve"> </w:t>
      </w:r>
      <w:r>
        <w:t xml:space="preserve">outperform discrimination-driven cut-offs in expected dollar</w:t>
      </w:r>
      <w:r>
        <w:t xml:space="preserve"> </w:t>
      </w:r>
      <w:r>
        <w:t xml:space="preserve">profit?</w:t>
      </w:r>
    </w:p>
    <w:p>
      <w:pPr>
        <w:pStyle w:val="BodyText"/>
      </w:pPr>
      <w:r>
        <w:t xml:space="preserve">The empirical experiment uses the synthetic rl-debt-collection</w:t>
      </w:r>
      <w:r>
        <w:t xml:space="preserve"> </w:t>
      </w:r>
      <w:r>
        <w:t xml:space="preserve">simulator under controlled APR and LGD assumptions and a known</w:t>
      </w:r>
      <w:r>
        <w:t xml:space="preserve"> </w:t>
      </w:r>
      <w:r>
        <w:t xml:space="preserve">data-generating process. The modelling population contains</w:t>
      </w:r>
      <w:r>
        <w:t xml:space="preserve"> </w:t>
      </w:r>
      <w:r>
        <w:t xml:space="preserve">534,314 rows. After excluding 12-month loans whose writeoff</w:t>
      </w:r>
      <w:r>
        <w:t xml:space="preserve"> </w:t>
      </w:r>
      <w:r>
        <w:t xml:space="preserve">trigger is unreachable within the 12-month forward target</w:t>
      </w:r>
      <w:r>
        <w:t xml:space="preserve"> </w:t>
      </w:r>
      <w:r>
        <w:t xml:space="preserve">window, the economic-analysis population contains 235,968 rows.</w:t>
      </w:r>
      <w:r>
        <w:t xml:space="preserve"> </w:t>
      </w:r>
      <w:r>
        <w:t xml:space="preserve">PD modelling is dual-track: a tuned, Platt-calibrated LightGBM</w:t>
      </w:r>
      <w:r>
        <w:t xml:space="preserve"> </w:t>
      </w:r>
      <w:r>
        <w:t xml:space="preserve">as primary, plus Logistic Regression and a Weight-of-Evidence</w:t>
      </w:r>
      <w:r>
        <w:t xml:space="preserve"> </w:t>
      </w:r>
      <w:r>
        <w:t xml:space="preserve">Scorecard. A tenor-aware Lifetime Net Margin formula stack</w:t>
      </w:r>
      <w:r>
        <w:t xml:space="preserve"> </w:t>
      </w:r>
      <w:r>
        <w:t xml:space="preserve">drives the economic framework. The empirical chain spans a</w:t>
      </w:r>
      <w:r>
        <w:t xml:space="preserve"> </w:t>
      </w:r>
      <w:r>
        <w:t xml:space="preserve">576-cell economic stress grid, a 64-cell PD-signal ×</w:t>
      </w:r>
      <w:r>
        <w:t xml:space="preserve"> </w:t>
      </w:r>
      <w:r>
        <w:t xml:space="preserve">operating-cost stress space, and a 1,000-resample bootstrap on</w:t>
      </w:r>
      <w:r>
        <w:t xml:space="preserve"> </w:t>
      </w:r>
      <w:r>
        <w:t xml:space="preserve">64,027 out-of-time rows at four anchor scenarios.</w:t>
      </w:r>
    </w:p>
    <w:p>
      <w:pPr>
        <w:pStyle w:val="BodyText"/>
      </w:pPr>
      <w:r>
        <w:t xml:space="preserve">Within the tested scenario space, profit-driven cut-offs</w:t>
      </w:r>
      <w:r>
        <w:t xml:space="preserve"> </w:t>
      </w:r>
      <w:r>
        <w:t xml:space="preserve">strictly beat Youden’s J in dollar terms. Point-estimate dollar</w:t>
      </w:r>
      <w:r>
        <w:t xml:space="preserve"> </w:t>
      </w:r>
      <w:r>
        <w:t xml:space="preserve">uplift was positive in 64 of 64 stress cells; uplift was</w:t>
      </w:r>
      <w:r>
        <w:t xml:space="preserve"> </w:t>
      </w:r>
      <w:r>
        <w:t xml:space="preserve">positive in 4,000 of 4,000 anchor × bootstrap combinations,</w:t>
      </w:r>
      <w:r>
        <w:t xml:space="preserve"> </w:t>
      </w:r>
      <w:r>
        <w:t xml:space="preserve">with per-anchor 95% bootstrap CIs not crossing zero. The</w:t>
      </w:r>
      <w:r>
        <w:t xml:space="preserve"> </w:t>
      </w:r>
      <w:r>
        <w:t xml:space="preserve">approval-rate cut-off gap widens as PD signal informativeness</w:t>
      </w:r>
      <w:r>
        <w:t xml:space="preserve"> </w:t>
      </w:r>
      <w:r>
        <w:t xml:space="preserve">falls — from approximately +15.5 pp at raw Gini ≈ 0.80 to</w:t>
      </w:r>
      <w:r>
        <w:t xml:space="preserve"> </w:t>
      </w:r>
      <w:r>
        <w:t xml:space="preserve">approximately +35.7 pp at Gini 0.30. A single reject-most</w:t>
      </w:r>
      <w:r>
        <w:t xml:space="preserve"> </w:t>
      </w:r>
      <w:r>
        <w:t xml:space="preserve">regime appears only at the joint extreme of all six stress</w:t>
      </w:r>
      <w:r>
        <w:t xml:space="preserve"> </w:t>
      </w:r>
      <w:r>
        <w:t xml:space="preserve">dimensions, indicating an adaptive optimisation rule. The</w:t>
      </w:r>
      <w:r>
        <w:t xml:space="preserve"> </w:t>
      </w:r>
      <w:r>
        <w:t xml:space="preserve">tenor-aware Lifetime framework yields portfolio profit</w:t>
      </w:r>
      <w:r>
        <w:t xml:space="preserve"> </w:t>
      </w:r>
      <w:r>
        <w:t xml:space="preserve">approximately 40% higher than the simpler Adjusted Single-period</w:t>
      </w:r>
      <w:r>
        <w:t xml:space="preserve"> </w:t>
      </w:r>
      <w:r>
        <w:t xml:space="preserve">Benchmark on 36-month loans.</w:t>
      </w:r>
    </w:p>
    <w:p>
      <w:pPr>
        <w:pStyle w:val="BodyText"/>
      </w:pPr>
      <w:r>
        <w:t xml:space="preserve">The thesis advances four contributions: a tenor-aware Lifetime</w:t>
      </w:r>
      <w:r>
        <w:t xml:space="preserve"> </w:t>
      </w:r>
      <w:r>
        <w:t xml:space="preserve">Net Margin framework; a multi-dimensional stress-test design;</w:t>
      </w:r>
      <w:r>
        <w:t xml:space="preserve"> </w:t>
      </w:r>
      <w:r>
        <w:t xml:space="preserve">the PD-signal inversion finding (the cut-off gap widens as PD</w:t>
      </w:r>
      <w:r>
        <w:t xml:space="preserve"> </w:t>
      </w:r>
      <w:r>
        <w:t xml:space="preserve">discrimination falls), highlighted as the most novel; and a</w:t>
      </w:r>
      <w:r>
        <w:t xml:space="preserve"> </w:t>
      </w:r>
      <w:r>
        <w:t xml:space="preserve">bootstrap-versus-assumption uncertainty discipline. The</w:t>
      </w:r>
      <w:r>
        <w:t xml:space="preserve"> </w:t>
      </w:r>
      <w:r>
        <w:t xml:space="preserve">findings are conditional on the synthetic simulator, the locked</w:t>
      </w:r>
      <w:r>
        <w:t xml:space="preserve"> </w:t>
      </w:r>
      <w:r>
        <w:t xml:space="preserve">formulas, and the tested scenario space; replication on real</w:t>
      </w:r>
      <w:r>
        <w:t xml:space="preserve"> </w:t>
      </w:r>
      <w:r>
        <w:t xml:space="preserve">public data and on alternative simulator configurations is the</w:t>
      </w:r>
      <w:r>
        <w:t xml:space="preserve"> </w:t>
      </w:r>
      <w:r>
        <w:t xml:space="preserve">priority future-research direction.</w:t>
      </w:r>
    </w:p>
    <w:bookmarkEnd w:id="9"/>
    <w:bookmarkStart w:id="17" w:name="chapter-1-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Chapter 1 — Introduction</w:t>
      </w:r>
    </w:p>
    <w:p>
      <w:pPr>
        <w:pStyle w:val="FirstParagraph"/>
      </w:pPr>
      <w:r>
        <w:t xml:space="preserve">Lending is an economic decision. When a bank or credit institution</w:t>
      </w:r>
      <w:r>
        <w:t xml:space="preserve"> </w:t>
      </w:r>
      <w:r>
        <w:t xml:space="preserve">approves or rejects a loan application, it is committing capital</w:t>
      </w:r>
      <w:r>
        <w:t xml:space="preserve"> </w:t>
      </w:r>
      <w:r>
        <w:t xml:space="preserve">under uncertainty in pursuit of a margin: interest income</w:t>
      </w:r>
      <w:r>
        <w:t xml:space="preserve"> </w:t>
      </w:r>
      <w:r>
        <w:t xml:space="preserve">survival-weighted by repayment behaviour, net of expected loss,</w:t>
      </w:r>
      <w:r>
        <w:t xml:space="preserve"> </w:t>
      </w:r>
      <w:r>
        <w:t xml:space="preserve">funding cost, acquisition cost, and recurring operating expense.</w:t>
      </w:r>
      <w:r>
        <w:t xml:space="preserve"> </w:t>
      </w:r>
      <w:r>
        <w:t xml:space="preserve">The credit-scoring literature, however, has historically evaluated</w:t>
      </w:r>
      <w:r>
        <w:t xml:space="preserve"> </w:t>
      </w:r>
      <w:r>
        <w:t xml:space="preserve">borrower-risk models through</w:t>
      </w:r>
      <w:r>
        <w:t xml:space="preserve"> </w:t>
      </w:r>
      <w:r>
        <w:rPr>
          <w:i/>
          <w:iCs/>
        </w:rPr>
        <w:t xml:space="preserve">discrimination metrics</w:t>
      </w:r>
      <w:r>
        <w:t xml:space="preserve"> </w:t>
      </w:r>
      <w:r>
        <w:t xml:space="preserve">— the area</w:t>
      </w:r>
      <w:r>
        <w:t xml:space="preserve"> </w:t>
      </w:r>
      <w:r>
        <w:t xml:space="preserve">under the ROC curve (AUC), the Gini coefficient, the</w:t>
      </w:r>
      <w:r>
        <w:t xml:space="preserve"> </w:t>
      </w:r>
      <w:r>
        <w:t xml:space="preserve">Kolmogorov-Smirnov statistic — and through cut-off rules derived</w:t>
      </w:r>
      <w:r>
        <w:t xml:space="preserve"> </w:t>
      </w:r>
      <w:r>
        <w:t xml:space="preserve">from them, of which Youden’s J statistic (the threshold maximising</w:t>
      </w:r>
      <w:r>
        <w:t xml:space="preserve"> </w:t>
      </w:r>
      <w:r>
        <w:t xml:space="preserve">True Positive Rate − False Positive Rate) is the canonical example.</w:t>
      </w:r>
      <w:r>
        <w:t xml:space="preserve"> </w:t>
      </w:r>
      <w:r>
        <w:t xml:space="preserve">Discrimination metrics measure how well a model</w:t>
      </w:r>
      <w:r>
        <w:t xml:space="preserve"> </w:t>
      </w:r>
      <w:r>
        <w:rPr>
          <w:i/>
          <w:iCs/>
        </w:rPr>
        <w:t xml:space="preserve">ranks</w:t>
      </w:r>
      <w:r>
        <w:t xml:space="preserve"> </w:t>
      </w:r>
      <w:r>
        <w:t xml:space="preserve">borrowers;</w:t>
      </w:r>
      <w:r>
        <w:t xml:space="preserve"> </w:t>
      </w:r>
      <w:r>
        <w:t xml:space="preserve">cut-off rules derived from them assume that the goal of the cut-off</w:t>
      </w:r>
      <w:r>
        <w:t xml:space="preserve"> </w:t>
      </w:r>
      <w:r>
        <w:t xml:space="preserve">is to balance a classification error trade-off rather than to</w:t>
      </w:r>
      <w:r>
        <w:t xml:space="preserve"> </w:t>
      </w:r>
      <w:r>
        <w:t xml:space="preserve">maximise an economic objective. The discrepancy between the</w:t>
      </w:r>
      <w:r>
        <w:t xml:space="preserve"> </w:t>
      </w:r>
      <w:r>
        <w:t xml:space="preserve">classification objective and the dollar-profit objective is the</w:t>
      </w:r>
      <w:r>
        <w:t xml:space="preserve"> </w:t>
      </w:r>
      <w:r>
        <w:t xml:space="preserve">starting point of this thesis.</w:t>
      </w:r>
    </w:p>
    <w:p>
      <w:pPr>
        <w:pStyle w:val="BodyText"/>
      </w:pPr>
      <w:r>
        <w:t xml:space="preserve">The discrepancy matters because the loan-portfolio decision-maker</w:t>
      </w:r>
      <w:r>
        <w:t xml:space="preserve"> </w:t>
      </w:r>
      <w:r>
        <w:t xml:space="preserve">does not, in general, want to minimise misclassification rate. They</w:t>
      </w:r>
      <w:r>
        <w:t xml:space="preserve"> </w:t>
      </w:r>
      <w:r>
        <w:t xml:space="preserve">want to maximise expected dollar profit subject to whatever capital,</w:t>
      </w:r>
      <w:r>
        <w:t xml:space="preserve"> </w:t>
      </w:r>
      <w:r>
        <w:t xml:space="preserve">regulatory, or strategic constraints they face. A cut-off optimised</w:t>
      </w:r>
      <w:r>
        <w:t xml:space="preserve"> </w:t>
      </w:r>
      <w:r>
        <w:t xml:space="preserve">against profit can — and in practice does — sit at a different</w:t>
      </w:r>
      <w:r>
        <w:t xml:space="preserve"> </w:t>
      </w:r>
      <w:r>
        <w:t xml:space="preserve">threshold than the one optimised against TPR − FPR. Whether the gap</w:t>
      </w:r>
      <w:r>
        <w:t xml:space="preserve"> </w:t>
      </w:r>
      <w:r>
        <w:t xml:space="preserve">is large, small, positive, or negative depends on the joint</w:t>
      </w:r>
      <w:r>
        <w:t xml:space="preserve"> </w:t>
      </w:r>
      <w:r>
        <w:t xml:space="preserve">distribution of borrower-level risk, the pricing scheme, recovery</w:t>
      </w:r>
      <w:r>
        <w:t xml:space="preserve"> </w:t>
      </w:r>
      <w:r>
        <w:t xml:space="preserve">assumptions, and the cost stack. These dependencies are what</w:t>
      </w:r>
      <w:r>
        <w:t xml:space="preserve"> </w:t>
      </w:r>
      <w:r>
        <w:t xml:space="preserve">motivate the present thesis.</w:t>
      </w:r>
    </w:p>
    <w:p>
      <w:r>
        <w:pict>
          <v:rect style="width:0;height:1.5pt" o:hralign="center" o:hrstd="t" o:hr="t"/>
        </w:pict>
      </w:r>
    </w:p>
    <w:bookmarkStart w:id="10" w:name="motivatio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 Motivation</w:t>
      </w:r>
    </w:p>
    <w:p>
      <w:pPr>
        <w:pStyle w:val="FirstParagraph"/>
      </w:pPr>
      <w:r>
        <w:t xml:space="preserve">The textbook profit-cut-off literature [TODO: cite Mays 2004;</w:t>
      </w:r>
      <w:r>
        <w:t xml:space="preserve"> </w:t>
      </w:r>
      <w:r>
        <w:t xml:space="preserve">Anderson 2007; Siddiqi 2017] treats profit-curve analysis as a</w:t>
      </w:r>
      <w:r>
        <w:t xml:space="preserve"> </w:t>
      </w:r>
      <w:r>
        <w:t xml:space="preserve">primary scorecard-validation tool and recommends profit-driven</w:t>
      </w:r>
      <w:r>
        <w:t xml:space="preserve"> </w:t>
      </w:r>
      <w:r>
        <w:t xml:space="preserve">cut-off selection over discrimination-driven cut-off selection on</w:t>
      </w:r>
      <w:r>
        <w:t xml:space="preserve"> </w:t>
      </w:r>
      <w:r>
        <w:t xml:space="preserve">principled grounds. The empirical evidence base for that</w:t>
      </w:r>
      <w:r>
        <w:t xml:space="preserve"> </w:t>
      </w:r>
      <w:r>
        <w:t xml:space="preserve">recommendation is, however, thin in two respects. First, the</w:t>
      </w:r>
      <w:r>
        <w:t xml:space="preserve"> </w:t>
      </w:r>
      <w:r>
        <w:t xml:space="preserve">published evidence typically rests on a single illustrative profit</w:t>
      </w:r>
      <w:r>
        <w:t xml:space="preserve"> </w:t>
      </w:r>
      <w:r>
        <w:t xml:space="preserve">curve drawn for a single representative cost regime, with limited</w:t>
      </w:r>
      <w:r>
        <w:t xml:space="preserve"> </w:t>
      </w:r>
      <w:r>
        <w:t xml:space="preserve">sensitivity analysis across the surrounding economic-assumption</w:t>
      </w:r>
      <w:r>
        <w:t xml:space="preserve"> </w:t>
      </w:r>
      <w:r>
        <w:t xml:space="preserve">space. Second, the published evidence rarely interrogates how the</w:t>
      </w:r>
      <w:r>
        <w:t xml:space="preserve"> </w:t>
      </w:r>
      <w:r>
        <w:t xml:space="preserve">profit-versus-discrimination gap behaves under stress: under</w:t>
      </w:r>
      <w:r>
        <w:t xml:space="preserve"> </w:t>
      </w:r>
      <w:r>
        <w:t xml:space="preserve">degraded PD signal informativeness, under elevated operating cost,</w:t>
      </w:r>
      <w:r>
        <w:t xml:space="preserve"> </w:t>
      </w:r>
      <w:r>
        <w:t xml:space="preserve">under alternative pricing schemes, or under joint stress on</w:t>
      </w:r>
      <w:r>
        <w:t xml:space="preserve"> </w:t>
      </w:r>
      <w:r>
        <w:t xml:space="preserve">multiple economic levers simultaneously.</w:t>
      </w:r>
    </w:p>
    <w:p>
      <w:pPr>
        <w:pStyle w:val="BodyText"/>
      </w:pPr>
      <w:r>
        <w:t xml:space="preserve">The result is that practitioners adopting profit-driven cut-off</w:t>
      </w:r>
      <w:r>
        <w:t xml:space="preserve"> </w:t>
      </w:r>
      <w:r>
        <w:t xml:space="preserve">frameworks face several open questions: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Magnitude.</w:t>
      </w:r>
      <w:r>
        <w:t xml:space="preserve"> </w:t>
      </w:r>
      <w:r>
        <w:t xml:space="preserve">Is the dollar advantage of profit-driven over</w:t>
      </w:r>
      <w:r>
        <w:t xml:space="preserve"> </w:t>
      </w:r>
      <w:r>
        <w:t xml:space="preserve">discrimination-driven cut-off selection substantial, or is it the</w:t>
      </w:r>
      <w:r>
        <w:t xml:space="preserve"> </w:t>
      </w:r>
      <w:r>
        <w:t xml:space="preserve">kind of small refinement that can be safely ignored?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Robustness.</w:t>
      </w:r>
      <w:r>
        <w:t xml:space="preserve"> </w:t>
      </w:r>
      <w:r>
        <w:t xml:space="preserve">Does the advantage survive changes in pricing, loss</w:t>
      </w:r>
      <w:r>
        <w:t xml:space="preserve"> </w:t>
      </w:r>
      <w:r>
        <w:t xml:space="preserve">given default, acquisition cost, funding cost, or operating cost?</w:t>
      </w:r>
      <w:r>
        <w:t xml:space="preserve"> </w:t>
      </w:r>
      <w:r>
        <w:t xml:space="preserve">Or does the framework produce an advantage only in narrow corners</w:t>
      </w:r>
      <w:r>
        <w:t xml:space="preserve"> </w:t>
      </w:r>
      <w:r>
        <w:t xml:space="preserve">of the assumption space?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PD-signal sensitivity.</w:t>
      </w:r>
      <w:r>
        <w:t xml:space="preserve"> </w:t>
      </w:r>
      <w:r>
        <w:t xml:space="preserve">Does the framework retain its advantage</w:t>
      </w:r>
      <w:r>
        <w:t xml:space="preserve"> </w:t>
      </w:r>
      <w:r>
        <w:t xml:space="preserve">when the PD model is weaker — and if so, in which direction does</w:t>
      </w:r>
      <w:r>
        <w:t xml:space="preserve"> </w:t>
      </w:r>
      <w:r>
        <w:t xml:space="preserve">the advantage move? Conventional intuition might suggest that</w:t>
      </w:r>
      <w:r>
        <w:t xml:space="preserve"> </w:t>
      </w:r>
      <w:r>
        <w:t xml:space="preserve">better PD models are needed to extract economic value from cut-off</w:t>
      </w:r>
      <w:r>
        <w:t xml:space="preserve"> </w:t>
      </w:r>
      <w:r>
        <w:t xml:space="preserve">optimisation; the question is whether that intuition holds up</w:t>
      </w:r>
      <w:r>
        <w:t xml:space="preserve"> </w:t>
      </w:r>
      <w:r>
        <w:t xml:space="preserve">under controlled stress.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Adaptivity.</w:t>
      </w:r>
      <w:r>
        <w:t xml:space="preserve"> </w:t>
      </w:r>
      <w:r>
        <w:t xml:space="preserve">Does the framework collapse correctly when the</w:t>
      </w:r>
      <w:r>
        <w:t xml:space="preserve"> </w:t>
      </w:r>
      <w:r>
        <w:t xml:space="preserve">economics genuinely break — when most accounts are loss-making</w:t>
      </w:r>
      <w:r>
        <w:t xml:space="preserve"> </w:t>
      </w:r>
      <w:r>
        <w:t xml:space="preserve">after all costs — or does it produce nonsensical</w:t>
      </w:r>
      <w:r>
        <w:t xml:space="preserve"> </w:t>
      </w:r>
      <w:r>
        <w:t xml:space="preserve">“approve</w:t>
      </w:r>
      <w:r>
        <w:t xml:space="preserve"> </w:t>
      </w:r>
      <w:r>
        <w:t xml:space="preserve">everyone”</w:t>
      </w:r>
      <w:r>
        <w:t xml:space="preserve"> </w:t>
      </w:r>
      <w:r>
        <w:t xml:space="preserve">recommendations regardless of the underlying conditions?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Comparability.</w:t>
      </w:r>
      <w:r>
        <w:t xml:space="preserve"> </w:t>
      </w:r>
      <w:r>
        <w:t xml:space="preserve">How much does it matter whether the profit metric</w:t>
      </w:r>
      <w:r>
        <w:t xml:space="preserve"> </w:t>
      </w:r>
      <w:r>
        <w:t xml:space="preserve">is single-period or tenor-aware? On a portfolio mixing 24-month</w:t>
      </w:r>
      <w:r>
        <w:t xml:space="preserve"> </w:t>
      </w:r>
      <w:r>
        <w:t xml:space="preserve">and 36-month loans, does the choice of formula systematically</w:t>
      </w:r>
      <w:r>
        <w:t xml:space="preserve"> </w:t>
      </w:r>
      <w:r>
        <w:t xml:space="preserve">distort the cut-off recommendation?</w:t>
      </w:r>
    </w:p>
    <w:p>
      <w:pPr>
        <w:pStyle w:val="FirstParagraph"/>
      </w:pPr>
      <w:r>
        <w:t xml:space="preserve">These questions cannot be answered by a single profit-curve</w:t>
      </w:r>
      <w:r>
        <w:t xml:space="preserve"> </w:t>
      </w:r>
      <w:r>
        <w:t xml:space="preserve">illustration. They require a controlled empirical experiment in</w:t>
      </w:r>
      <w:r>
        <w:t xml:space="preserve"> </w:t>
      </w:r>
      <w:r>
        <w:t xml:space="preserve">which the relevant economic and PD-signal levers can be varied</w:t>
      </w:r>
      <w:r>
        <w:t xml:space="preserve"> </w:t>
      </w:r>
      <w:r>
        <w:t xml:space="preserve">independently and jointly, in which the locked formula stack and</w:t>
      </w:r>
      <w:r>
        <w:t xml:space="preserve"> </w:t>
      </w:r>
      <w:r>
        <w:t xml:space="preserve">the cut-off rule can be evaluated on the same population at every</w:t>
      </w:r>
      <w:r>
        <w:t xml:space="preserve"> </w:t>
      </w:r>
      <w:r>
        <w:t xml:space="preserve">stress point, and in which the within-sample noise of the dollar</w:t>
      </w:r>
      <w:r>
        <w:t xml:space="preserve"> </w:t>
      </w:r>
      <w:r>
        <w:t xml:space="preserve">uplift can be quantified separately from the assumption uncertainty.</w:t>
      </w:r>
    </w:p>
    <w:p>
      <w:pPr>
        <w:pStyle w:val="BodyText"/>
      </w:pPr>
      <w:r>
        <w:t xml:space="preserve">This thesis conducts such an experiment on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simulator. The synthetic-data choice is</w:t>
      </w:r>
      <w:r>
        <w:t xml:space="preserve"> </w:t>
      </w:r>
      <w:r>
        <w:t xml:space="preserve">methodological, not incidental: real public consumer-credit</w:t>
      </w:r>
      <w:r>
        <w:t xml:space="preserve"> </w:t>
      </w:r>
      <w:r>
        <w:t xml:space="preserve">datasets confound the profit-versus-discrimination question with</w:t>
      </w:r>
      <w:r>
        <w:t xml:space="preserve"> </w:t>
      </w:r>
      <w:r>
        <w:t xml:space="preserve">data-quality artefacts (missingness, censoring, reporting lag),</w:t>
      </w:r>
      <w:r>
        <w:t xml:space="preserve"> </w:t>
      </w:r>
      <w:r>
        <w:t xml:space="preserve">regulatory artefacts (disparate-impact constraints), and</w:t>
      </w:r>
      <w:r>
        <w:t xml:space="preserve"> </w:t>
      </w:r>
      <w:r>
        <w:t xml:space="preserve">proprietary-data artefacts (sample selection by the originator,</w:t>
      </w:r>
      <w:r>
        <w:t xml:space="preserve"> </w:t>
      </w:r>
      <w:r>
        <w:t xml:space="preserve">risk-based pricing already embedded in the data). The simulator</w:t>
      </w:r>
      <w:r>
        <w:t xml:space="preserve"> </w:t>
      </w:r>
      <w:r>
        <w:t xml:space="preserve">allows the methodology to be tested under known conditions —</w:t>
      </w:r>
      <w:r>
        <w:t xml:space="preserve"> </w:t>
      </w:r>
      <w:r>
        <w:t xml:space="preserve">controlled APR and LGD assumptions, and a known simulator</w:t>
      </w:r>
      <w:r>
        <w:t xml:space="preserve"> </w:t>
      </w:r>
      <w:r>
        <w:t xml:space="preserve">data-generating process — so that observed effects can be</w:t>
      </w:r>
      <w:r>
        <w:t xml:space="preserve"> </w:t>
      </w:r>
      <w:r>
        <w:t xml:space="preserve">attributed to the cut-off framework itself rather than to omitted</w:t>
      </w:r>
      <w:r>
        <w:t xml:space="preserve"> </w:t>
      </w:r>
      <w:r>
        <w:t xml:space="preserve">confounders. Replication on real data is the</w:t>
      </w:r>
      <w:r>
        <w:t xml:space="preserve"> </w:t>
      </w:r>
      <w:r>
        <w:t xml:space="preserve">priority direction in the Future Work catalogue (Chapter 6, F2 and</w:t>
      </w:r>
      <w:r>
        <w:t xml:space="preserve"> </w:t>
      </w:r>
      <w:r>
        <w:t xml:space="preserve">F7), not a substitute for the controlled experiment conducted here.</w:t>
      </w:r>
    </w:p>
    <w:p>
      <w:r>
        <w:pict>
          <v:rect style="width:0;height:1.5pt" o:hralign="center" o:hrstd="t" o:hr="t"/>
        </w:pict>
      </w:r>
    </w:p>
    <w:bookmarkEnd w:id="10"/>
    <w:bookmarkStart w:id="11" w:name="research-questio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 Research Question</w:t>
      </w:r>
    </w:p>
    <w:p>
      <w:pPr>
        <w:pStyle w:val="FirstParagraph"/>
      </w:pPr>
      <w:r>
        <w:t xml:space="preserve">The thesis is organised around a single main research question:</w:t>
      </w:r>
    </w:p>
    <w:p>
      <w:pPr>
        <w:pStyle w:val="BlockText"/>
      </w:pPr>
      <w:r>
        <w:rPr>
          <w:i/>
          <w:iCs/>
        </w:rPr>
        <w:t xml:space="preserve">Under what conditions do profit-driven cut-offs outperform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discrimination-driven cut-offs in expected dollar profit?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“under what conditions”</w:t>
      </w:r>
      <w:r>
        <w:t xml:space="preserve"> </w:t>
      </w:r>
      <w:r>
        <w:t xml:space="preserve">framing is deliberate. The question is</w:t>
      </w:r>
      <w:r>
        <w:t xml:space="preserve"> </w:t>
      </w:r>
      <w:r>
        <w:t xml:space="preserve">not whether profit-driven cut-offs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outperform</w:t>
      </w:r>
      <w:r>
        <w:t xml:space="preserve"> </w:t>
      </w:r>
      <w:r>
        <w:t xml:space="preserve">discrimination-driven cut-offs — that is established by the</w:t>
      </w:r>
      <w:r>
        <w:t xml:space="preserve"> </w:t>
      </w:r>
      <w:r>
        <w:t xml:space="preserve">textbook literature on principled grounds — but rather whether the</w:t>
      </w:r>
      <w:r>
        <w:t xml:space="preserve"> </w:t>
      </w:r>
      <w:r>
        <w:t xml:space="preserve">outperformance is robust across the joint space of economic</w:t>
      </w:r>
      <w:r>
        <w:t xml:space="preserve"> </w:t>
      </w:r>
      <w:r>
        <w:t xml:space="preserve">assumptions, PD-signal regimes, and operating cost levels that a</w:t>
      </w:r>
      <w:r>
        <w:t xml:space="preserve"> </w:t>
      </w:r>
      <w:r>
        <w:t xml:space="preserve">real institution would face.</w:t>
      </w:r>
    </w:p>
    <w:p>
      <w:pPr>
        <w:pStyle w:val="BodyText"/>
      </w:pPr>
      <w:r>
        <w:t xml:space="preserve">The main question decomposes into four sub-questions, each of which</w:t>
      </w:r>
      <w:r>
        <w:t xml:space="preserve"> </w:t>
      </w:r>
      <w:r>
        <w:t xml:space="preserve">is addressed by a distinct phase of the empirical analysis reported</w:t>
      </w:r>
      <w:r>
        <w:t xml:space="preserve"> </w:t>
      </w:r>
      <w:r>
        <w:t xml:space="preserve">in Chapter 4: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 profit-driven cut-offs differ from Youden’s J cut-offs</w:t>
      </w:r>
      <w:r>
        <w:rPr>
          <w:i/>
          <w:iCs/>
        </w:rPr>
        <w:t xml:space="preserve"> </w:t>
      </w:r>
      <w:r>
        <w:rPr>
          <w:i/>
          <w:iCs/>
        </w:rPr>
        <w:t xml:space="preserve">in approval-rate and dollar-profit terms on the locked</w:t>
      </w:r>
      <w:r>
        <w:rPr>
          <w:i/>
          <w:iCs/>
        </w:rPr>
        <w:t xml:space="preserve"> </w:t>
      </w:r>
      <w:r>
        <w:rPr>
          <w:i/>
          <w:iCs/>
        </w:rPr>
        <w:t xml:space="preserve">tenor-aware Lifetime Net Margin formula stack?</w:t>
      </w:r>
      <w:r>
        <w:t xml:space="preserve"> </w:t>
      </w:r>
      <w:r>
        <w:t xml:space="preserve">(Chapter 4 §4.2,</w:t>
      </w:r>
      <w:r>
        <w:t xml:space="preserve"> </w:t>
      </w:r>
      <w:r>
        <w:t xml:space="preserve">§4.3, §4.4)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does PD signal informativeness affect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profit-versus-Youden cut-off gap?</w:t>
      </w:r>
      <w:r>
        <w:t xml:space="preserve"> </w:t>
      </w:r>
      <w:r>
        <w:t xml:space="preserve">(Chapter 4 §4.5)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How sensitive are the optimal cut-offs to APR pricing strategy,</w:t>
      </w:r>
      <w:r>
        <w:rPr>
          <w:i/>
          <w:iCs/>
        </w:rPr>
        <w:t xml:space="preserve"> </w:t>
      </w:r>
      <w:r>
        <w:rPr>
          <w:i/>
          <w:iCs/>
        </w:rPr>
        <w:t xml:space="preserve">LGD, acquisition cost, funding cost, and operating cost?</w:t>
      </w:r>
      <w:r>
        <w:t xml:space="preserve"> </w:t>
      </w:r>
      <w:r>
        <w:t xml:space="preserve">(Chapter 4 §4.3, §4.6)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Does the tenor-aware Lifetime Net Margin framework materially</w:t>
      </w:r>
      <w:r>
        <w:rPr>
          <w:i/>
          <w:iCs/>
        </w:rPr>
        <w:t xml:space="preserve"> </w:t>
      </w:r>
      <w:r>
        <w:rPr>
          <w:i/>
          <w:iCs/>
        </w:rPr>
        <w:t xml:space="preserve">differ from a simpler single-period benchmark, and if so, in</w:t>
      </w:r>
      <w:r>
        <w:rPr>
          <w:i/>
          <w:iCs/>
        </w:rPr>
        <w:t xml:space="preserve"> </w:t>
      </w:r>
      <w:r>
        <w:rPr>
          <w:i/>
          <w:iCs/>
        </w:rPr>
        <w:t xml:space="preserve">which direction?</w:t>
      </w:r>
      <w:r>
        <w:t xml:space="preserve"> </w:t>
      </w:r>
      <w:r>
        <w:t xml:space="preserve">(Chapter 4 §4.2; Finding 4 in Chapter 5 §5.1)</w:t>
      </w:r>
    </w:p>
    <w:p>
      <w:pPr>
        <w:pStyle w:val="FirstParagraph"/>
      </w:pPr>
      <w:r>
        <w:t xml:space="preserve">Each sub-question is operationalised as one or more measurable</w:t>
      </w:r>
      <w:r>
        <w:t xml:space="preserve"> </w:t>
      </w:r>
      <w:r>
        <w:t xml:space="preserve">comparisons on the locked OOT economics population (n = 64,027 rows</w:t>
      </w:r>
      <w:r>
        <w:t xml:space="preserve"> </w:t>
      </w:r>
      <w:r>
        <w:t xml:space="preserve">of 24-month and 36-month loans; see Chapter 3 §3.4 for the</w:t>
      </w:r>
      <w:r>
        <w:t xml:space="preserve"> </w:t>
      </w:r>
      <w:r>
        <w:t xml:space="preserve">population derivation). The aggregate evidence base spans a 576-cell</w:t>
      </w:r>
      <w:r>
        <w:t xml:space="preserve"> </w:t>
      </w:r>
      <w:r>
        <w:t xml:space="preserve">economic stress grid (Chapter 4 §4.3), a 64-cell extended Phase 4.2</w:t>
      </w:r>
      <w:r>
        <w:t xml:space="preserve"> </w:t>
      </w:r>
      <w:r>
        <w:t xml:space="preserve">stress space (Chapter 4 §4.5, §4.6, §4.7), and a 1,000-resample × 4</w:t>
      </w:r>
      <w:r>
        <w:t xml:space="preserve"> </w:t>
      </w:r>
      <w:r>
        <w:t xml:space="preserve">anchor scenarios bootstrap (Chapter 4 §4.4).</w:t>
      </w:r>
    </w:p>
    <w:p>
      <w:r>
        <w:pict>
          <v:rect style="width:0;height:1.5pt" o:hralign="center" o:hrstd="t" o:hr="t"/>
        </w:pict>
      </w:r>
    </w:p>
    <w:bookmarkEnd w:id="11"/>
    <w:bookmarkStart w:id="12" w:name="thesis-claim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 Thesis Claim</w:t>
      </w:r>
    </w:p>
    <w:p>
      <w:pPr>
        <w:pStyle w:val="FirstParagraph"/>
      </w:pPr>
      <w:r>
        <w:t xml:space="preserve">The thesis’s central empirical claim, refined in Chapter 4 §4.7</w:t>
      </w:r>
      <w:r>
        <w:t xml:space="preserve"> </w:t>
      </w:r>
      <w:r>
        <w:t xml:space="preserve">after the full evidence base was assembled, is:</w:t>
      </w:r>
    </w:p>
    <w:p>
      <w:pPr>
        <w:pStyle w:val="BlockText"/>
      </w:pPr>
      <w:r>
        <w:rPr>
          <w:i/>
          <w:iCs/>
        </w:rPr>
        <w:t xml:space="preserve">Within the tested scenario space, profit-driven cut-offs strictly</w:t>
      </w:r>
      <w:r>
        <w:rPr>
          <w:i/>
          <w:iCs/>
        </w:rPr>
        <w:t xml:space="preserve"> </w:t>
      </w:r>
      <w:r>
        <w:rPr>
          <w:i/>
          <w:iCs/>
        </w:rPr>
        <w:t xml:space="preserve">beat Youden’s J in dollar terms, regardless of whether the</w:t>
      </w:r>
      <w:r>
        <w:rPr>
          <w:i/>
          <w:iCs/>
        </w:rPr>
        <w:t xml:space="preserve"> </w:t>
      </w:r>
      <w:r>
        <w:rPr>
          <w:i/>
          <w:iCs/>
        </w:rPr>
        <w:t xml:space="preserve">profit-optimal cut-off is more or less permissive than Youden’s</w:t>
      </w:r>
      <w:r>
        <w:rPr>
          <w:i/>
          <w:iCs/>
        </w:rPr>
        <w:t xml:space="preserve"> </w:t>
      </w:r>
      <w:r>
        <w:rPr>
          <w:i/>
          <w:iCs/>
        </w:rPr>
        <w:t xml:space="preserve">in approval-rate terms.</w:t>
      </w:r>
    </w:p>
    <w:p>
      <w:pPr>
        <w:pStyle w:val="FirstParagraph"/>
      </w:pPr>
      <w:r>
        <w:t xml:space="preserve">This is not claimed as a universal real-market law; it is an</w:t>
      </w:r>
      <w:r>
        <w:t xml:space="preserve"> </w:t>
      </w:r>
      <w:r>
        <w:t xml:space="preserve">empirical finding under the locked simulator (Chapter 3 §3.1), the</w:t>
      </w:r>
      <w:r>
        <w:t xml:space="preserve"> </w:t>
      </w:r>
      <w:r>
        <w:t xml:space="preserve">locked PD model (Chapter 3 §3.3, with the LightGBM tuned + Platt</w:t>
      </w:r>
      <w:r>
        <w:t xml:space="preserve"> </w:t>
      </w:r>
      <w:r>
        <w:t xml:space="preserve">model as primary), the locked Lifetime Net Margin formula stack</w:t>
      </w:r>
      <w:r>
        <w:t xml:space="preserve"> </w:t>
      </w:r>
      <w:r>
        <w:t xml:space="preserve">(Chapter 3 §3.4), and the explicit stress-test design (Chapter 3</w:t>
      </w:r>
      <w:r>
        <w:t xml:space="preserve"> </w:t>
      </w:r>
      <w:r>
        <w:t xml:space="preserve">§3.5) documented in Chapters 3 through 6.</w:t>
      </w:r>
    </w:p>
    <w:p>
      <w:pPr>
        <w:pStyle w:val="BodyText"/>
      </w:pPr>
      <w:r>
        <w:t xml:space="preserve">Two qualifiers are essential. First,</w:t>
      </w:r>
      <w:r>
        <w:t xml:space="preserve"> </w:t>
      </w:r>
      <w:r>
        <w:t xml:space="preserve">“strictly beat in dollar</w:t>
      </w:r>
      <w:r>
        <w:t xml:space="preserve"> </w:t>
      </w:r>
      <w:r>
        <w:t xml:space="preserve">terms”</w:t>
      </w:r>
      <w:r>
        <w:t xml:space="preserve"> </w:t>
      </w:r>
      <w:r>
        <w:t xml:space="preserve">is the dollar-anchored form of the claim, deliberately</w:t>
      </w:r>
      <w:r>
        <w:t xml:space="preserve"> </w:t>
      </w:r>
      <w:r>
        <w:t xml:space="preserve">substituted for an earlier direction-anchored form</w:t>
      </w:r>
      <w:r>
        <w:t xml:space="preserve"> </w:t>
      </w:r>
      <w:r>
        <w:t xml:space="preserve">(</w:t>
      </w:r>
      <w:r>
        <w:t xml:space="preserve">“profit-driven cut-offs are systematically more permissive than</w:t>
      </w:r>
      <w:r>
        <w:t xml:space="preserve"> </w:t>
      </w:r>
      <w:r>
        <w:t xml:space="preserve">Youden’s”</w:t>
      </w:r>
      <w:r>
        <w:t xml:space="preserve">) which the empirical evidence did not uniformly support.</w:t>
      </w:r>
      <w:r>
        <w:t xml:space="preserve"> </w:t>
      </w:r>
      <w:r>
        <w:t xml:space="preserve">The dollar-anchored form is supported by positive point-estimate</w:t>
      </w:r>
      <w:r>
        <w:t xml:space="preserve"> </w:t>
      </w:r>
      <w:r>
        <w:t xml:space="preserve">uplift in 64 of 64 stress cells of the Phase 4.2 design and by</w:t>
      </w:r>
      <w:r>
        <w:t xml:space="preserve"> </w:t>
      </w:r>
      <w:r>
        <w:t xml:space="preserve">positive uplift in 4,000 of 4,000 bootstrap × anchor combinations,</w:t>
      </w:r>
      <w:r>
        <w:t xml:space="preserve"> </w:t>
      </w:r>
      <w:r>
        <w:t xml:space="preserve">with per-anchor 95% CIs not crossing zero (Chapter 4 §4.4 and §4.7).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is a strict boundary</w:t>
      </w:r>
      <w:r>
        <w:t xml:space="preserve"> </w:t>
      </w:r>
      <w:r>
        <w:t xml:space="preserve">condition, not a rhetorical flourish. The boundary conditions under</w:t>
      </w:r>
      <w:r>
        <w:t xml:space="preserve"> </w:t>
      </w:r>
      <w:r>
        <w:t xml:space="preserve">which the claim is valid are enumerated in Chapter 5 §5.5 and</w:t>
      </w:r>
      <w:r>
        <w:t xml:space="preserve"> </w:t>
      </w:r>
      <w:r>
        <w:t xml:space="preserve">treated formally as Limitations in Chapter 6 §6.1. The replication</w:t>
      </w:r>
      <w:r>
        <w:t xml:space="preserve"> </w:t>
      </w:r>
      <w:r>
        <w:t xml:space="preserve">directions that would extend the claim’s scope — to real data, to</w:t>
      </w:r>
      <w:r>
        <w:t xml:space="preserve"> </w:t>
      </w:r>
      <w:r>
        <w:t xml:space="preserve">alternative simulator configurations, to declining-hazard</w:t>
      </w:r>
      <w:r>
        <w:t xml:space="preserve"> </w:t>
      </w:r>
      <w:r>
        <w:t xml:space="preserve">formulations, and to market-calibrated APR tier tables — are</w:t>
      </w:r>
      <w:r>
        <w:t xml:space="preserve"> </w:t>
      </w:r>
      <w:r>
        <w:t xml:space="preserve">catalogued as Future Work F1 through F7 in Chapter 6 §6.2.</w:t>
      </w:r>
    </w:p>
    <w:p>
      <w:r>
        <w:pict>
          <v:rect style="width:0;height:1.5pt" o:hralign="center" o:hrstd="t" o:hr="t"/>
        </w:pict>
      </w:r>
    </w:p>
    <w:bookmarkEnd w:id="12"/>
    <w:bookmarkStart w:id="13" w:name="contribution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1.4 Contributions</w:t>
      </w:r>
    </w:p>
    <w:p>
      <w:pPr>
        <w:pStyle w:val="FirstParagraph"/>
      </w:pPr>
      <w:r>
        <w:t xml:space="preserve">The thesis advances four contributions to the profit-driven credit</w:t>
      </w:r>
      <w:r>
        <w:t xml:space="preserve"> </w:t>
      </w:r>
      <w:r>
        <w:t xml:space="preserve">scoring literature.</w:t>
      </w:r>
    </w:p>
    <w:p>
      <w:pPr>
        <w:pStyle w:val="BodyText"/>
      </w:pPr>
      <w:r>
        <w:rPr>
          <w:b/>
          <w:bCs/>
        </w:rPr>
        <w:t xml:space="preserve">Contribution 1 — A tenor-aware Lifetime Net Margin framework for</w:t>
      </w:r>
      <w:r>
        <w:rPr>
          <w:b/>
          <w:bCs/>
        </w:rPr>
        <w:t xml:space="preserve"> </w:t>
      </w:r>
      <w:r>
        <w:rPr>
          <w:b/>
          <w:bCs/>
        </w:rPr>
        <w:t xml:space="preserve">cut-off optimisation.</w:t>
      </w:r>
      <w:r>
        <w:t xml:space="preserve"> </w:t>
      </w:r>
      <w:r>
        <w:t xml:space="preserve">Most published profit-cut-off analyses adopt</w:t>
      </w:r>
      <w:r>
        <w:t xml:space="preserve"> </w:t>
      </w:r>
      <w:r>
        <w:t xml:space="preserve">a single-period profit formula in which one period of interest is</w:t>
      </w:r>
      <w:r>
        <w:t xml:space="preserve"> </w:t>
      </w:r>
      <w:r>
        <w:t xml:space="preserve">collected from a non-defaulting borrower and one period of expected</w:t>
      </w:r>
      <w:r>
        <w:t xml:space="preserve"> </w:t>
      </w:r>
      <w:r>
        <w:t xml:space="preserve">loss is incurred on a defaulting borrower. The thesis adopts a</w:t>
      </w:r>
      <w:r>
        <w:t xml:space="preserve"> </w:t>
      </w:r>
      <w:r>
        <w:t xml:space="preserve">tenor-aware Lifetime Net Margin formula that survival-weights</w:t>
      </w:r>
      <w:r>
        <w:t xml:space="preserve"> </w:t>
      </w:r>
      <w:r>
        <w:t xml:space="preserve">revenue and expected loss across the full amortization schedule</w:t>
      </w:r>
      <w:r>
        <w:t xml:space="preserve"> </w:t>
      </w:r>
      <w:r>
        <w:t xml:space="preserve">(Chapter 3 §3.4; reference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,</w:t>
      </w:r>
      <w:r>
        <w:t xml:space="preserve"> </w:t>
      </w:r>
      <w:r>
        <w:t xml:space="preserve">validated by nine identity and monotonicity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). The Phase 3.1B base economic comparison</w:t>
      </w:r>
      <w:r>
        <w:t xml:space="preserve"> </w:t>
      </w:r>
      <w:r>
        <w:t xml:space="preserve">(Chapter 4 §4.2) shows that the simpler Adjusted Single-period</w:t>
      </w:r>
      <w:r>
        <w:t xml:space="preserve"> </w:t>
      </w:r>
      <w:r>
        <w:t xml:space="preserve">Benchmark (ASB) understates the lifetime metric by approximately</w:t>
      </w:r>
      <w:r>
        <w:t xml:space="preserve"> </w:t>
      </w:r>
      <w:r>
        <w:t xml:space="preserve">40% on 36-month loans because amortization and survival weighting</w:t>
      </w:r>
      <w:r>
        <w:t xml:space="preserve"> </w:t>
      </w:r>
      <w:r>
        <w:t xml:space="preserve">are systematically ignored in the single-period form. The locked</w:t>
      </w:r>
      <w:r>
        <w:t xml:space="preserve"> </w:t>
      </w:r>
      <w:r>
        <w:t xml:space="preserve">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provide a reference</w:t>
      </w:r>
      <w:r>
        <w:t xml:space="preserve"> </w:t>
      </w:r>
      <w:r>
        <w:t xml:space="preserve">implementation against which subsequent tenor-aware studies can</w:t>
      </w:r>
      <w:r>
        <w:t xml:space="preserve"> </w:t>
      </w:r>
      <w:r>
        <w:t xml:space="preserve">compare.</w:t>
      </w:r>
    </w:p>
    <w:p>
      <w:pPr>
        <w:pStyle w:val="BodyText"/>
      </w:pPr>
      <w:r>
        <w:rPr>
          <w:b/>
          <w:bCs/>
        </w:rPr>
        <w:t xml:space="preserve">Contribution 2 — A multi-dimensional stress-test design.</w:t>
      </w:r>
      <w:r>
        <w:t xml:space="preserve"> </w:t>
      </w:r>
      <w:r>
        <w:t xml:space="preserve">The</w:t>
      </w:r>
      <w:r>
        <w:t xml:space="preserve"> </w:t>
      </w:r>
      <w:r>
        <w:t xml:space="preserve">bulk of published stress-testing analyses for retail credit profit</w:t>
      </w:r>
      <w:r>
        <w:t xml:space="preserve"> </w:t>
      </w:r>
      <w:r>
        <w:t xml:space="preserve">frameworks vary one or two parameters at a time [TODO: cite</w:t>
      </w:r>
      <w:r>
        <w:t xml:space="preserve"> </w:t>
      </w:r>
      <w:r>
        <w:t xml:space="preserve">Bellotti &amp; Crook 2009; Verbraken et al. 2014]. The thesis instead</w:t>
      </w:r>
      <w:r>
        <w:t xml:space="preserve"> </w:t>
      </w:r>
      <w:r>
        <w:t xml:space="preserve">constructs a 576-cell economic stress grid crossing five dimensions</w:t>
      </w:r>
      <w:r>
        <w:t xml:space="preserve"> </w:t>
      </w:r>
      <w:r>
        <w:t xml:space="preserve">(PD multiplier, APR strategy, acquisition cost, LGD, cost of funds;</w:t>
      </w:r>
      <w:r>
        <w:t xml:space="preserve"> </w:t>
      </w:r>
      <w:r>
        <w:t xml:space="preserve">Chapter 4 §4.3) and a 64-cell extended Phase 4.2 stress space</w:t>
      </w:r>
      <w:r>
        <w:t xml:space="preserve"> </w:t>
      </w:r>
      <w:r>
        <w:t xml:space="preserve">crossing PD discrimination stress and operating cost (Chapter 4</w:t>
      </w:r>
      <w:r>
        <w:t xml:space="preserve"> </w:t>
      </w:r>
      <w:r>
        <w:t xml:space="preserve">§4.5, §4.6, §4.7). The design is motivated by the empirical finding</w:t>
      </w:r>
      <w:r>
        <w:t xml:space="preserve"> </w:t>
      </w:r>
      <w:r>
        <w:t xml:space="preserve">that the only reject-most regime in the entire 64-cell space</w:t>
      </w:r>
      <w:r>
        <w:t xml:space="preserve"> </w:t>
      </w:r>
      <w:r>
        <w:t xml:space="preserve">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 all six stress dimensions</w:t>
      </w:r>
      <w:r>
        <w:t xml:space="preserve"> </w:t>
      </w:r>
      <w:r>
        <w:t xml:space="preserve">— a regime that no single-axis study would have detected. The</w:t>
      </w:r>
      <w:r>
        <w:t xml:space="preserve"> </w:t>
      </w:r>
      <w:r>
        <w:t xml:space="preserve">multi-dimensional design is therefore proposed not only as an</w:t>
      </w:r>
      <w:r>
        <w:t xml:space="preserve"> </w:t>
      </w:r>
      <w:r>
        <w:t xml:space="preserve">empirical apparatus but as a methodological contribution in its own</w:t>
      </w:r>
      <w:r>
        <w:t xml:space="preserve"> </w:t>
      </w:r>
      <w:r>
        <w:t xml:space="preserve">right: characterising the robustness of a cut-off framework</w:t>
      </w:r>
      <w:r>
        <w:t xml:space="preserve"> </w:t>
      </w:r>
      <w:r>
        <w:t xml:space="preserve">requires probing the joint stress space, not its marginal</w:t>
      </w:r>
      <w:r>
        <w:t xml:space="preserve"> </w:t>
      </w:r>
      <w:r>
        <w:t xml:space="preserve">projections.</w:t>
      </w:r>
    </w:p>
    <w:p>
      <w:pPr>
        <w:pStyle w:val="BodyText"/>
      </w:pPr>
      <w:r>
        <w:rPr>
          <w:b/>
          <w:bCs/>
        </w:rPr>
        <w:t xml:space="preserve">Contribution 3 — The PD-signal inversion finding.</w:t>
      </w:r>
      <w:r>
        <w:t xml:space="preserve"> </w:t>
      </w:r>
      <w:r>
        <w:t xml:space="preserve">The most</w:t>
      </w:r>
      <w:r>
        <w:t xml:space="preserve"> </w:t>
      </w:r>
      <w:r>
        <w:t xml:space="preserve">novel empirical contribution of the thesis is documented in</w:t>
      </w:r>
      <w:r>
        <w:t xml:space="preserve"> </w:t>
      </w:r>
      <w:r>
        <w:t xml:space="preserve">Chapter 4 §4.5: the cut-off gap between profit-driven and Youden’s</w:t>
      </w:r>
      <w:r>
        <w:t xml:space="preserve"> </w:t>
      </w:r>
      <w:r>
        <w:t xml:space="preserve">J cut-offs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 as PD signal informativeness</w:t>
      </w:r>
      <w:r>
        <w:t xml:space="preserve"> </w:t>
      </w:r>
      <w:r>
        <w:t xml:space="preserve">falls — from approximately +15.5 percentage points at the LightGBM</w:t>
      </w:r>
      <w:r>
        <w:t xml:space="preserve"> </w:t>
      </w:r>
      <w:r>
        <w:t xml:space="preserve">raw Gini ≈ 0.80 to approximately +35.7 pp at Gini 0.30. The</w:t>
      </w:r>
      <w:r>
        <w:t xml:space="preserve"> </w:t>
      </w:r>
      <w:r>
        <w:t xml:space="preserve">mechanism is straightforward when stated: as the ROC curve</w:t>
      </w:r>
      <w:r>
        <w:t xml:space="preserve"> </w:t>
      </w:r>
      <w:r>
        <w:t xml:space="preserve">flattens, Youden’s J-maximising threshold migrates inward (becomes</w:t>
      </w:r>
      <w:r>
        <w:t xml:space="preserve"> </w:t>
      </w:r>
      <w:r>
        <w:t xml:space="preserve">more conservative), while the profit-optimal threshold remains</w:t>
      </w:r>
      <w:r>
        <w:t xml:space="preserve"> </w:t>
      </w:r>
      <w:r>
        <w:t xml:space="preserve">anchored to the underlying economics. The two cut-offs therefore</w:t>
      </w:r>
      <w:r>
        <w:t xml:space="preserve"> </w:t>
      </w:r>
      <w:r>
        <w:t xml:space="preserve">separate as discrimination falls. The implication inverts an</w:t>
      </w:r>
      <w:r>
        <w:t xml:space="preserve"> </w:t>
      </w:r>
      <w:r>
        <w:t xml:space="preserve">implicit assumption pervasive in practical credit-risk discussions</w:t>
      </w:r>
      <w:r>
        <w:t xml:space="preserve"> </w:t>
      </w:r>
      <w:r>
        <w:t xml:space="preserve">— that better PD models are needed to derive value from</w:t>
      </w:r>
      <w:r>
        <w:t xml:space="preserve"> </w:t>
      </w:r>
      <w:r>
        <w:t xml:space="preserve">profit-driven cut-off optimisation. To the author’s knowledge, this</w:t>
      </w:r>
      <w:r>
        <w:t xml:space="preserve"> </w:t>
      </w:r>
      <w:r>
        <w:t xml:space="preserve">inversion has not been explicitly reported in the published</w:t>
      </w:r>
      <w:r>
        <w:t xml:space="preserve"> </w:t>
      </w:r>
      <w:r>
        <w:t xml:space="preserve">profit-driven credit-scoring literature, and it is highlighted here</w:t>
      </w:r>
      <w:r>
        <w:t xml:space="preserve"> </w:t>
      </w:r>
      <w:r>
        <w:t xml:space="preserve">as the most novel of the four contributions.</w:t>
      </w:r>
    </w:p>
    <w:p>
      <w:pPr>
        <w:pStyle w:val="BodyText"/>
      </w:pPr>
      <w:r>
        <w:rPr>
          <w:b/>
          <w:bCs/>
        </w:rPr>
        <w:t xml:space="preserve">Contribution 4 — A bootstrap-versus-assumption uncertainty</w:t>
      </w:r>
      <w:r>
        <w:rPr>
          <w:b/>
          <w:bCs/>
        </w:rPr>
        <w:t xml:space="preserve"> </w:t>
      </w:r>
      <w:r>
        <w:rPr>
          <w:b/>
          <w:bCs/>
        </w:rPr>
        <w:t xml:space="preserve">discipline.</w:t>
      </w:r>
      <w:r>
        <w:t xml:space="preserve"> </w:t>
      </w:r>
      <w:r>
        <w:t xml:space="preserve">The thesis separates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from</w:t>
      </w:r>
      <w:r>
        <w:t xml:space="preserve"> </w:t>
      </w:r>
      <w:r>
        <w:rPr>
          <w:i/>
          <w:iCs/>
        </w:rPr>
        <w:t xml:space="preserve">assumption</w:t>
      </w:r>
      <w:r>
        <w:t xml:space="preserve"> </w:t>
      </w:r>
      <w:r>
        <w:t xml:space="preserve">uncertainty as a methodological practice. The Phase</w:t>
      </w:r>
      <w:r>
        <w:t xml:space="preserve"> </w:t>
      </w:r>
      <w:r>
        <w:t xml:space="preserve">4.1 1,000-resample stratified bootstrap on the OOT economics</w:t>
      </w:r>
      <w:r>
        <w:t xml:space="preserve"> </w:t>
      </w:r>
      <w:r>
        <w:t xml:space="preserve">population (Chapter 3 §3.6, Chapter 4 §4.4) quantifies sampling</w:t>
      </w:r>
      <w:r>
        <w:t xml:space="preserve"> </w:t>
      </w:r>
      <w:r>
        <w:t xml:space="preserve">uncertainty within a fixed locked pipeline. Assumption uncertainty</w:t>
      </w:r>
      <w:r>
        <w:t xml:space="preserve"> </w:t>
      </w:r>
      <w:r>
        <w:t xml:space="preserve">— variation across alternative APR / LGD / cost-of-funds</w:t>
      </w:r>
      <w:r>
        <w:t xml:space="preserve"> </w:t>
      </w:r>
      <w:r>
        <w:t xml:space="preserve">assumptions, alternative PD-signal regimes, alternative formula</w:t>
      </w:r>
      <w:r>
        <w:t xml:space="preserve"> </w:t>
      </w:r>
      <w:r>
        <w:t xml:space="preserve">choices — is addressed separately by the multi-dimensional stress</w:t>
      </w:r>
      <w:r>
        <w:t xml:space="preserve"> </w:t>
      </w:r>
      <w:r>
        <w:t xml:space="preserve">grids (Chapter 4 §4.3, §4.5, §4.6, §4.7). The discipline allows</w:t>
      </w:r>
      <w:r>
        <w:t xml:space="preserve"> </w:t>
      </w:r>
      <w:r>
        <w:t xml:space="preserve">each uncertainty source to be addressed by the appropriate</w:t>
      </w:r>
      <w:r>
        <w:t xml:space="preserve"> </w:t>
      </w:r>
      <w:r>
        <w:t xml:space="preserve">methodological tool and prevents the bootstrap CIs from being</w:t>
      </w:r>
      <w:r>
        <w:t xml:space="preserve"> </w:t>
      </w:r>
      <w:r>
        <w:t xml:space="preserve">misread as estimates of total uncertainty. Many published</w:t>
      </w:r>
      <w:r>
        <w:t xml:space="preserve"> </w:t>
      </w:r>
      <w:r>
        <w:t xml:space="preserve">profit-cut-off studies conflate these uncertainty sources,</w:t>
      </w:r>
      <w:r>
        <w:t xml:space="preserve"> </w:t>
      </w:r>
      <w:r>
        <w:t xml:space="preserve">typically by reporting a single point estimate with no</w:t>
      </w:r>
      <w:r>
        <w:t xml:space="preserve"> </w:t>
      </w:r>
      <w:r>
        <w:t xml:space="preserve">quantification of either; the separation is offered here as a</w:t>
      </w:r>
      <w:r>
        <w:t xml:space="preserve"> </w:t>
      </w:r>
      <w:r>
        <w:t xml:space="preserve">methodological practice that future work in the area can adopt.</w:t>
      </w:r>
    </w:p>
    <w:p>
      <w:pPr>
        <w:pStyle w:val="BodyText"/>
      </w:pPr>
      <w:r>
        <w:t xml:space="preserve">The four contributions are deliberately positioned as overlapping</w:t>
      </w:r>
      <w:r>
        <w:t xml:space="preserve"> </w:t>
      </w:r>
      <w:r>
        <w:t xml:space="preserve">but distinct. Contribution 1 is a formula-stack contribution;</w:t>
      </w:r>
      <w:r>
        <w:t xml:space="preserve"> </w:t>
      </w:r>
      <w:r>
        <w:t xml:space="preserve">Contribution 2 is an experimental-design contribution; Contribution</w:t>
      </w:r>
      <w:r>
        <w:t xml:space="preserve"> </w:t>
      </w:r>
      <w:r>
        <w:t xml:space="preserve">3 is a substantive empirical finding; Contribution 4 is a</w:t>
      </w:r>
      <w:r>
        <w:t xml:space="preserve"> </w:t>
      </w:r>
      <w:r>
        <w:t xml:space="preserve">methodological discipline. The PD-signal inversion (Contribution 3)</w:t>
      </w:r>
      <w:r>
        <w:t xml:space="preserve"> </w:t>
      </w:r>
      <w:r>
        <w:t xml:space="preserve">is highlighted as the most novel because the literature gap it</w:t>
      </w:r>
      <w:r>
        <w:t xml:space="preserve"> </w:t>
      </w:r>
      <w:r>
        <w:t xml:space="preserve">addresses is the largest.</w:t>
      </w:r>
    </w:p>
    <w:p>
      <w:r>
        <w:pict>
          <v:rect style="width:0;height:1.5pt" o:hralign="center" o:hrstd="t" o:hr="t"/>
        </w:pict>
      </w:r>
    </w:p>
    <w:bookmarkEnd w:id="13"/>
    <w:bookmarkStart w:id="14" w:name="methodology-overview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1.5 Methodology Overview</w:t>
      </w:r>
    </w:p>
    <w:p>
      <w:pPr>
        <w:pStyle w:val="FirstParagraph"/>
      </w:pPr>
      <w:r>
        <w:t xml:space="preserve">The empirical chain underlying the thesis claim is documented</w:t>
      </w:r>
      <w:r>
        <w:t xml:space="preserve"> </w:t>
      </w:r>
      <w:r>
        <w:t xml:space="preserve">formally in Chapter 3 and is summarised here for orientation.</w:t>
      </w:r>
    </w:p>
    <w:p>
      <w:pPr>
        <w:pStyle w:val="BodyText"/>
      </w:pPr>
      <w:r>
        <w:rPr>
          <w:b/>
          <w:bCs/>
        </w:rPr>
        <w:t xml:space="preserve">Data.</w:t>
      </w:r>
      <w:r>
        <w:t xml:space="preserve"> </w:t>
      </w:r>
      <w:r>
        <w:t xml:space="preserve">All empirical results derive from a single production run</w:t>
      </w:r>
      <w:r>
        <w:t xml:space="preserve"> </w:t>
      </w:r>
      <w:r>
        <w:t xml:space="preserve">of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(Chapter 3 §3.1),</w:t>
      </w:r>
      <w:r>
        <w:t xml:space="preserve"> </w:t>
      </w:r>
      <w:r>
        <w:t xml:space="preserve">configured with 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 800 clients per</w:t>
      </w:r>
      <w:r>
        <w:t xml:space="preserve"> </w:t>
      </w:r>
      <w:r>
        <w:t xml:space="preserve">simulation day, and a 60-month simulation window. The simulator</w:t>
      </w:r>
      <w:r>
        <w:t xml:space="preserve"> </w:t>
      </w:r>
      <w:r>
        <w:t xml:space="preserve">output is processed into a wide Application Behaviour Table (wide</w:t>
      </w:r>
      <w:r>
        <w:t xml:space="preserve"> </w:t>
      </w:r>
      <w:r>
        <w:t xml:space="preserve">ABT) by the locked build pipeline, producing 534,314 modelling rows</w:t>
      </w:r>
      <w:r>
        <w:t xml:space="preserve"> </w:t>
      </w:r>
      <w:r>
        <w:t xml:space="preserve">across all loan tenors (Chapter 3 §3.2). Loans with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 </w:t>
      </w:r>
      <w:r>
        <w:t xml:space="preserve">are excluded from the economic-analysis population because</w:t>
      </w:r>
      <w:r>
        <w:t xml:space="preserve"> </w:t>
      </w:r>
      <w:r>
        <w:t xml:space="preserve">the simulator’s writeoff trigger is structurally unreachable within</w:t>
      </w:r>
      <w:r>
        <w:t xml:space="preserve"> </w:t>
      </w:r>
      <w:r>
        <w:t xml:space="preserve">the 12-month forward target window, leaving 235,968</w:t>
      </w:r>
      <w:r>
        <w:t xml:space="preserve"> </w:t>
      </w:r>
      <w:r>
        <w:t xml:space="preserve">economic-analysis rows (Chapter 3 §3.4). The OOT economics subset</w:t>
      </w:r>
      <w:r>
        <w:t xml:space="preserve"> </w:t>
      </w:r>
      <w:r>
        <w:t xml:space="preserve">for the bootstrap and stress analyses contains 64,027 rows of</w:t>
      </w:r>
      <w:r>
        <w:t xml:space="preserve"> </w:t>
      </w:r>
      <w:r>
        <w:t xml:space="preserve">24-month and 36-month loans with realised 12-month default-flag</w:t>
      </w:r>
      <w:r>
        <w:t xml:space="preserve"> </w:t>
      </w:r>
      <w:r>
        <w:t xml:space="preserve">observations.</w:t>
      </w:r>
    </w:p>
    <w:p>
      <w:pPr>
        <w:pStyle w:val="BodyText"/>
      </w:pPr>
      <w:r>
        <w:rPr>
          <w:b/>
          <w:bCs/>
        </w:rPr>
        <w:t xml:space="preserve">PD modelling.</w:t>
      </w:r>
      <w:r>
        <w:t xml:space="preserve"> </w:t>
      </w:r>
      <w:r>
        <w:t xml:space="preserve">The thesis uses a dual-track PD modelling design</w:t>
      </w:r>
      <w:r>
        <w:t xml:space="preserve"> </w:t>
      </w:r>
      <w:r>
        <w:t xml:space="preserve">(Chapter 3 §3.3): a tree-based gradient-boosted model (LightGBM</w:t>
      </w:r>
      <w:r>
        <w:t xml:space="preserve"> </w:t>
      </w:r>
      <w:r>
        <w:t xml:space="preserve">tuned + Platt scaling) as the primary PD source, complemented by a</w:t>
      </w:r>
      <w:r>
        <w:t xml:space="preserve"> </w:t>
      </w:r>
      <w:r>
        <w:t xml:space="preserve">Logistic Regression track on Lasso-selected features and a WoE</w:t>
      </w:r>
      <w:r>
        <w:t xml:space="preserve"> </w:t>
      </w:r>
      <w:r>
        <w:t xml:space="preserve">Scorecard for interpretability comparison. Calibration is performed</w:t>
      </w:r>
      <w:r>
        <w:t xml:space="preserve"> </w:t>
      </w:r>
      <w:r>
        <w:t xml:space="preserve">on a leak-free temporal slice (cohorts 202611-202612) using Platt</w:t>
      </w:r>
      <w:r>
        <w:t xml:space="preserve"> </w:t>
      </w:r>
      <w:r>
        <w:t xml:space="preserve">scaling. The under-prediction of the LightGBM Platt-calibrated mean</w:t>
      </w:r>
      <w:r>
        <w:t xml:space="preserve"> </w:t>
      </w:r>
      <w:r>
        <w:t xml:space="preserve">PD on the eco-OOT subset (predicted-to-observed ratio approximately</w:t>
      </w:r>
      <w:r>
        <w:t xml:space="preserve"> </w:t>
      </w:r>
      <w:r>
        <w:t xml:space="preserve">0.49) is documented as a calibration caveat and is bracketed by the</w:t>
      </w:r>
      <w:r>
        <w:t xml:space="preserve"> </w:t>
      </w:r>
      <w:r>
        <w:t xml:space="preserve">PD-multiplier stress scenarios used in Phase 3 and Phase 4.</w:t>
      </w:r>
    </w:p>
    <w:p>
      <w:pPr>
        <w:pStyle w:val="BodyText"/>
      </w:pPr>
      <w:r>
        <w:rPr>
          <w:b/>
          <w:bCs/>
        </w:rPr>
        <w:t xml:space="preserve">Economic framework.</w:t>
      </w:r>
      <w:r>
        <w:t xml:space="preserve"> </w:t>
      </w:r>
      <w:r>
        <w:t xml:space="preserve">The locked Lifetime Net Margin formula</w:t>
      </w:r>
      <w:r>
        <w:t xml:space="preserve"> </w:t>
      </w:r>
      <w:r>
        <w:t xml:space="preserve">stack (Chapter 3 §3.4) computes per-loan expected profit as the</w:t>
      </w:r>
      <w:r>
        <w:t xml:space="preserve"> </w:t>
      </w:r>
      <w:r>
        <w:t xml:space="preserve">survival-weighted lifetime margin minus the survival-weighted</w:t>
      </w:r>
      <w:r>
        <w:t xml:space="preserve"> </w:t>
      </w:r>
      <w:r>
        <w:t xml:space="preserve">lifetime expected loss, minus acquisition cost and recurring</w:t>
      </w:r>
      <w:r>
        <w:t xml:space="preserve"> </w:t>
      </w:r>
      <w:r>
        <w:t xml:space="preserve">operating cost. The five-tier risk-priced APR schedule maps PD</w:t>
      </w:r>
      <w:r>
        <w:t xml:space="preserve"> </w:t>
      </w:r>
      <w:r>
        <w:t xml:space="preserve">bands to APR values informed by published consumer-credit pricing</w:t>
      </w:r>
      <w:r>
        <w:t xml:space="preserve"> </w:t>
      </w:r>
      <w:r>
        <w:t xml:space="preserve">ranges; the LGD assumption is exogenous (0.65 base case, sensitivity</w:t>
      </w:r>
      <w:r>
        <w:t xml:space="preserve"> </w:t>
      </w:r>
      <w:r>
        <w:t xml:space="preserve">grid {0.45, 0.55, 0.65, 0.75, 0.85}) and is bracketed by Future</w:t>
      </w:r>
      <w:r>
        <w:t xml:space="preserve"> </w:t>
      </w:r>
      <w:r>
        <w:t xml:space="preserve">Work F1.</w:t>
      </w:r>
    </w:p>
    <w:p>
      <w:pPr>
        <w:pStyle w:val="BodyText"/>
      </w:pPr>
      <w:r>
        <w:rPr>
          <w:b/>
          <w:bCs/>
        </w:rPr>
        <w:t xml:space="preserve">Stress-test design.</w:t>
      </w:r>
      <w:r>
        <w:t xml:space="preserve"> </w:t>
      </w:r>
      <w:r>
        <w:t xml:space="preserve">The Phase 3.2 stress test (Chapter 3 §3.5)</w:t>
      </w:r>
      <w:r>
        <w:t xml:space="preserve"> </w:t>
      </w:r>
      <w:r>
        <w:t xml:space="preserve">constructs a 576-cell economic grid by crossing five dimensions:</w:t>
      </w:r>
      <w:r>
        <w:t xml:space="preserve"> </w:t>
      </w:r>
      <w:r>
        <w:t xml:space="preserve">PD multiplier, APR strategy, acquisition cost, LGD, and cost of</w:t>
      </w:r>
      <w:r>
        <w:t xml:space="preserve"> </w:t>
      </w:r>
      <w:r>
        <w:t xml:space="preserve">funds. The Phase 4.2 extended stress space adds 64 cells across</w:t>
      </w:r>
      <w:r>
        <w:t xml:space="preserve"> </w:t>
      </w:r>
      <w:r>
        <w:t xml:space="preserve">PD discrimination stress (PART A), operating cost (PART B), and</w:t>
      </w:r>
      <w:r>
        <w:t xml:space="preserve"> </w:t>
      </w:r>
      <w:r>
        <w:t xml:space="preserve">combined PD-signal × operating-cost stress (PART C), evaluated on</w:t>
      </w:r>
      <w:r>
        <w:t xml:space="preserve"> </w:t>
      </w:r>
      <w:r>
        <w:t xml:space="preserve">the same locked formulas and the same OOT subset.</w:t>
      </w:r>
    </w:p>
    <w:p>
      <w:pPr>
        <w:pStyle w:val="BodyText"/>
      </w:pPr>
      <w:r>
        <w:rPr>
          <w:b/>
          <w:bCs/>
        </w:rPr>
        <w:t xml:space="preserve">Bootstrap validation.</w:t>
      </w:r>
      <w:r>
        <w:t xml:space="preserve"> </w:t>
      </w:r>
      <w:r>
        <w:t xml:space="preserve">The Phase 4.1 bootstrap (Chapter 3 §3.6)</w:t>
      </w:r>
      <w:r>
        <w:t xml:space="preserve"> </w:t>
      </w:r>
      <w:r>
        <w:t xml:space="preserve">draws 1,000 stratified resamples from the 64,027-row OOT economics</w:t>
      </w:r>
      <w:r>
        <w:t xml:space="preserve"> </w:t>
      </w:r>
      <w:r>
        <w:t xml:space="preserve">population at each of four anchor scenarios (optimistic_base,</w:t>
      </w:r>
      <w:r>
        <w:t xml:space="preserve"> </w:t>
      </w:r>
      <w:r>
        <w:t xml:space="preserve">realistic_central_boundary, moderate_interior, adverse_stress),</w:t>
      </w:r>
      <w:r>
        <w:t xml:space="preserve"> </w:t>
      </w:r>
      <w:r>
        <w:t xml:space="preserve">producing 4,000 anchor × resample combinations. The bootstrap</w:t>
      </w:r>
      <w:r>
        <w:t xml:space="preserve"> </w:t>
      </w:r>
      <w:r>
        <w:t xml:space="preserve">quantifies sampling uncertainty within the OOT population only;</w:t>
      </w:r>
      <w:r>
        <w:t xml:space="preserve"> </w:t>
      </w:r>
      <w:r>
        <w:t xml:space="preserve">assumption uncertainty is addressed by the stress grids.</w:t>
      </w:r>
    </w:p>
    <w:p>
      <w:pPr>
        <w:pStyle w:val="BodyText"/>
      </w:pPr>
      <w:r>
        <w:rPr>
          <w:b/>
          <w:bCs/>
        </w:rPr>
        <w:t xml:space="preserve">Software architecture.</w:t>
      </w:r>
      <w:r>
        <w:t xml:space="preserve"> </w:t>
      </w:r>
      <w:r>
        <w:t xml:space="preserve">The pipeline is implemented in modular</w:t>
      </w:r>
      <w:r>
        <w:t xml:space="preserve"> </w:t>
      </w:r>
      <w:r>
        <w:t xml:space="preserve">Python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(Chapter 3 §3.7), with locked formula functions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, calibration utilities in</w:t>
      </w:r>
      <w:r>
        <w:t xml:space="preserve"> </w:t>
      </w:r>
      <w:r>
        <w:rPr>
          <w:rStyle w:val="VerbatimChar"/>
        </w:rPr>
        <w:t xml:space="preserve">src/calibration.py</w:t>
      </w:r>
      <w:r>
        <w:t xml:space="preserve">,</w:t>
      </w:r>
      <w:r>
        <w:t xml:space="preserve"> </w:t>
      </w:r>
      <w:r>
        <w:t xml:space="preserve">and validation gates throughout. Ten Jupyter notebooks reproduce</w:t>
      </w:r>
      <w:r>
        <w:t xml:space="preserve"> </w:t>
      </w:r>
      <w:r>
        <w:t xml:space="preserve">the empirical chain end-to-end on the saved artefacts.</w:t>
      </w:r>
    </w:p>
    <w:p>
      <w:r>
        <w:pict>
          <v:rect style="width:0;height:1.5pt" o:hralign="center" o:hrstd="t" o:hr="t"/>
        </w:pict>
      </w:r>
    </w:p>
    <w:bookmarkEnd w:id="14"/>
    <w:bookmarkStart w:id="15" w:name="findings-preview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1.6 Findings Preview</w:t>
      </w:r>
    </w:p>
    <w:p>
      <w:pPr>
        <w:pStyle w:val="FirstParagraph"/>
      </w:pPr>
      <w:r>
        <w:t xml:space="preserve">The empirical chain produced four headline findings, summarised</w:t>
      </w:r>
      <w:r>
        <w:t xml:space="preserve"> </w:t>
      </w:r>
      <w:r>
        <w:t xml:space="preserve">here in compact form. Each is developed at length in Chapter 4</w:t>
      </w:r>
      <w:r>
        <w:t xml:space="preserve"> </w:t>
      </w:r>
      <w:r>
        <w:t xml:space="preserve">(empirical evidence) and Chapter 5 (synthesis and implications).</w:t>
      </w:r>
    </w:p>
    <w:p>
      <w:pPr>
        <w:pStyle w:val="BodyText"/>
      </w:pPr>
      <w:r>
        <w:rPr>
          <w:b/>
          <w:bCs/>
        </w:rPr>
        <w:t xml:space="preserve">Finding 1 — Profit-driven cut-offs strictly beat Youden’s J in</w:t>
      </w:r>
      <w:r>
        <w:rPr>
          <w:b/>
          <w:bCs/>
        </w:rPr>
        <w:t xml:space="preserve"> </w:t>
      </w:r>
      <w:r>
        <w:rPr>
          <w:b/>
          <w:bCs/>
        </w:rPr>
        <w:t xml:space="preserve">dollar terms.</w:t>
      </w:r>
      <w:r>
        <w:t xml:space="preserve"> </w:t>
      </w:r>
      <w:r>
        <w:t xml:space="preserve">Across the 64 cells of the Phase 4.2 stress space,</w:t>
      </w:r>
      <w:r>
        <w:t xml:space="preserve"> </w:t>
      </w:r>
      <w:r>
        <w:t xml:space="preserve">the point-estimate dollar uplift from the profit-driven cut-off</w:t>
      </w:r>
      <w:r>
        <w:t xml:space="preserve"> </w:t>
      </w:r>
      <w:r>
        <w:t xml:space="preserve">relative to the Youden’s J cut-off remained positive in every cell.</w:t>
      </w:r>
      <w:r>
        <w:t xml:space="preserve"> </w:t>
      </w:r>
      <w:r>
        <w:t xml:space="preserve">Across the 4,000 (anchor × bootstrap) combinations of the Phase 4.1</w:t>
      </w:r>
      <w:r>
        <w:t xml:space="preserve"> </w:t>
      </w:r>
      <w:r>
        <w:t xml:space="preserve">OOT bootstrap, the dollar uplift was likewise positive in every</w:t>
      </w:r>
      <w:r>
        <w:t xml:space="preserve"> </w:t>
      </w:r>
      <w:r>
        <w:t xml:space="preserve">combination, and the per-anchor 95% bootstrap CIs did not cross</w:t>
      </w:r>
      <w:r>
        <w:t xml:space="preserve"> </w:t>
      </w:r>
      <w:r>
        <w:t xml:space="preserve">zero in any of the four anchor scenarios (Chapter 4 §4.4 and §4.7).</w:t>
      </w:r>
      <w:r>
        <w:t xml:space="preserve"> </w:t>
      </w:r>
      <w:r>
        <w:t xml:space="preserve">The dollar magnitude of the advantage ranges from approximately</w:t>
      </w:r>
      <w:r>
        <w:t xml:space="preserve"> </w:t>
      </w:r>
      <w:r>
        <w:t xml:space="preserve">$0.46M at the adverse_stress anchor to approximately $30.75M at</w:t>
      </w:r>
      <w:r>
        <w:t xml:space="preserve"> </w:t>
      </w:r>
      <w:r>
        <w:t xml:space="preserve">the optimistic_base anchor on the OOT economics population.</w:t>
      </w:r>
    </w:p>
    <w:p>
      <w:pPr>
        <w:pStyle w:val="BodyText"/>
      </w:pPr>
      <w:r>
        <w:rPr>
          <w:b/>
          <w:bCs/>
        </w:rPr>
        <w:t xml:space="preserve">Finding 2 — The cut-off gap widens as the PD signal weakens.</w:t>
      </w:r>
      <w:r>
        <w:t xml:space="preserve"> </w:t>
      </w:r>
      <w:r>
        <w:t xml:space="preserve">The Phase 4.2 PART A study (Chapter 4 §4.5) perturbed the LightGBM</w:t>
      </w:r>
      <w:r>
        <w:t xml:space="preserve"> </w:t>
      </w:r>
      <w:r>
        <w:t xml:space="preserve">Platt PD to target Ginis of 0.30, 0.45, and 0.60 and observed that</w:t>
      </w:r>
      <w:r>
        <w:t xml:space="preserve"> </w:t>
      </w:r>
      <w:r>
        <w:t xml:space="preserve">the mean cut-off gap widens monotonically as Gini falls — from</w:t>
      </w:r>
      <w:r>
        <w:t xml:space="preserve"> </w:t>
      </w:r>
      <w:r>
        <w:t xml:space="preserve">approximately +15.5 percentage points at the LightGBM raw Gini ≈</w:t>
      </w:r>
      <w:r>
        <w:t xml:space="preserve"> </w:t>
      </w:r>
      <w:r>
        <w:t xml:space="preserve">0.80 to approximately +35.7 pp at Gini 0.30. The mechanism is the</w:t>
      </w:r>
      <w:r>
        <w:t xml:space="preserve"> </w:t>
      </w:r>
      <w:r>
        <w:t xml:space="preserve">inward migration of Youden’s J as the ROC flattens, while the</w:t>
      </w:r>
      <w:r>
        <w:t xml:space="preserve"> </w:t>
      </w:r>
      <w:r>
        <w:t xml:space="preserve">profit-optimal cut-off remains anchored to the underlying</w:t>
      </w:r>
      <w:r>
        <w:t xml:space="preserve"> </w:t>
      </w:r>
      <w:r>
        <w:t xml:space="preserve">economics. Within the tested scenario space, the approval-rate</w:t>
      </w:r>
      <w:r>
        <w:t xml:space="preserve"> </w:t>
      </w:r>
      <w:r>
        <w:t xml:space="preserve">gap between the profit-driven and Youden cut-offs is largest where</w:t>
      </w:r>
      <w:r>
        <w:t xml:space="preserve"> </w:t>
      </w:r>
      <w:r>
        <w:t xml:space="preserve">the underlying PD signal is weakest; this suggests a larger</w:t>
      </w:r>
      <w:r>
        <w:t xml:space="preserve"> </w:t>
      </w:r>
      <w:r>
        <w:t xml:space="preserve">strategic opportunity, although relative dollar uplift for the</w:t>
      </w:r>
      <w:r>
        <w:t xml:space="preserve"> </w:t>
      </w:r>
      <w:r>
        <w:t xml:space="preserve">PD-signal sub-grid is not directly tabulated.</w:t>
      </w:r>
    </w:p>
    <w:p>
      <w:pPr>
        <w:pStyle w:val="BodyText"/>
      </w:pPr>
      <w:r>
        <w:rPr>
          <w:b/>
          <w:bCs/>
        </w:rPr>
        <w:t xml:space="preserve">Finding 3 — The framework adapts to severe stress.</w:t>
      </w:r>
      <w:r>
        <w:t xml:space="preserve"> </w:t>
      </w:r>
      <w:r>
        <w:t xml:space="preserve">The Phase</w:t>
      </w:r>
      <w:r>
        <w:t xml:space="preserve"> </w:t>
      </w:r>
      <w:r>
        <w:t xml:space="preserve">4.2 PART B and PART C operating-cost robustness studies (Chapter 4</w:t>
      </w:r>
      <w:r>
        <w:t xml:space="preserve"> </w:t>
      </w:r>
      <w:r>
        <w:t xml:space="preserve">§4.6 and §4.7) identified one cell in the entire 64-cell stress</w:t>
      </w:r>
      <w:r>
        <w:t xml:space="preserve"> </w:t>
      </w:r>
      <w:r>
        <w:t xml:space="preserve">space — adverse_stress at op_cost = 0.04 — in which the</w:t>
      </w:r>
      <w:r>
        <w:t xml:space="preserve"> </w:t>
      </w:r>
      <w:r>
        <w:t xml:space="preserve">profit-optimal approval rate collapses to 0.31% with mean</w:t>
      </w:r>
      <w:r>
        <w:t xml:space="preserve"> </w:t>
      </w:r>
      <w:r>
        <w:t xml:space="preserve">per-account profit of −$387 and total portfolio profit of −$24.8M.</w:t>
      </w:r>
      <w:r>
        <w:t xml:space="preserve"> </w:t>
      </w:r>
      <w:r>
        <w:t xml:space="preserve">The existence of this single reject-most cell is interpretively</w:t>
      </w:r>
      <w:r>
        <w:t xml:space="preserve"> </w:t>
      </w:r>
      <w:r>
        <w:t xml:space="preserve">important: a framework that prescribed</w:t>
      </w:r>
      <w:r>
        <w:t xml:space="preserve"> </w:t>
      </w:r>
      <w:r>
        <w:t xml:space="preserve">“approve more than Youden”</w:t>
      </w:r>
      <w:r>
        <w:t xml:space="preserve"> </w:t>
      </w:r>
      <w:r>
        <w:t xml:space="preserve">under all conditions would be either trivial or suspect. The</w:t>
      </w:r>
      <w:r>
        <w:t xml:space="preserve"> </w:t>
      </w:r>
      <w:r>
        <w:t xml:space="preserve">reject-most cell shows that the framework can and does prescribe</w:t>
      </w:r>
      <w:r>
        <w:t xml:space="preserve"> </w:t>
      </w:r>
      <w:r>
        <w:t xml:space="preserve">near-rejection at the simultaneous extreme of all six stress</w:t>
      </w:r>
      <w:r>
        <w:t xml:space="preserve"> </w:t>
      </w:r>
      <w:r>
        <w:t xml:space="preserve">dimensions, and is therefore an adaptive optimisation rule rather</w:t>
      </w:r>
      <w:r>
        <w:t xml:space="preserve"> </w:t>
      </w:r>
      <w:r>
        <w:t xml:space="preserve">than a one-sided</w:t>
      </w:r>
      <w:r>
        <w:t xml:space="preserve"> </w:t>
      </w:r>
      <w:r>
        <w:t xml:space="preserve">“approve-all”</w:t>
      </w:r>
      <w:r>
        <w:t xml:space="preserve"> </w:t>
      </w:r>
      <w:r>
        <w:t xml:space="preserve">recommendation.</w:t>
      </w:r>
    </w:p>
    <w:p>
      <w:pPr>
        <w:pStyle w:val="BodyText"/>
      </w:pPr>
      <w:r>
        <w:rPr>
          <w:b/>
          <w:bCs/>
        </w:rPr>
        <w:t xml:space="preserve">Finding 4 — The tenor-aware Lifetime Net Margin formula</w:t>
      </w:r>
      <w:r>
        <w:rPr>
          <w:b/>
          <w:bCs/>
        </w:rPr>
        <w:t xml:space="preserve"> </w:t>
      </w:r>
      <w:r>
        <w:rPr>
          <w:b/>
          <w:bCs/>
        </w:rPr>
        <w:t xml:space="preserve">outperforms ASB by approximately 40% on 36-month loans.</w:t>
      </w:r>
      <w:r>
        <w:t xml:space="preserve"> </w:t>
      </w:r>
      <w:r>
        <w:t xml:space="preserve">The</w:t>
      </w:r>
      <w:r>
        <w:t xml:space="preserve"> </w:t>
      </w:r>
      <w:r>
        <w:t xml:space="preserve">Phase 3.1B base economic comparison (Chapter 4 §4.2) showed that</w:t>
      </w:r>
      <w:r>
        <w:t xml:space="preserve"> </w:t>
      </w:r>
      <w:r>
        <w:t xml:space="preserve">the locked Lifetime Net Margin total of approximately $352.3M on</w:t>
      </w:r>
      <w:r>
        <w:t xml:space="preserve"> </w:t>
      </w:r>
      <w:r>
        <w:t xml:space="preserve">the 235,968-row economics-eligible population exceeds the simpler</w:t>
      </w:r>
      <w:r>
        <w:t xml:space="preserve"> </w:t>
      </w:r>
      <w:r>
        <w:t xml:space="preserve">ASB total of approximately $250.9M; the ASB-to-Lifetime ratio is</w:t>
      </w:r>
      <w:r>
        <w:t xml:space="preserve"> </w:t>
      </w:r>
      <w:r>
        <w:t xml:space="preserve">0.91 on 24-month loans and 0.60 on 36-month loans. The structural</w:t>
      </w:r>
      <w:r>
        <w:t xml:space="preserve"> </w:t>
      </w:r>
      <w:r>
        <w:t xml:space="preserve">mechanism is that ASB ignores both amortization and survival</w:t>
      </w:r>
      <w:r>
        <w:t xml:space="preserve"> </w:t>
      </w:r>
      <w:r>
        <w:t xml:space="preserve">weighting, while the Lifetime formula applies declining-balance</w:t>
      </w:r>
      <w:r>
        <w:t xml:space="preserve"> </w:t>
      </w:r>
      <w:r>
        <w:t xml:space="preserve">interest over the full loan life and survival-weights every period.</w:t>
      </w:r>
      <w:r>
        <w:t xml:space="preserve"> </w:t>
      </w:r>
      <w:r>
        <w:t xml:space="preserve">The implication is that any cut-off optimisation conducted on a</w:t>
      </w:r>
      <w:r>
        <w:t xml:space="preserve"> </w:t>
      </w:r>
      <w:r>
        <w:t xml:space="preserve">single-period profit metric will systematically under-weight</w:t>
      </w:r>
      <w:r>
        <w:t xml:space="preserve"> </w:t>
      </w:r>
      <w:r>
        <w:t xml:space="preserve">long-tenor loans by an arithmetic property of the formula rather</w:t>
      </w:r>
      <w:r>
        <w:t xml:space="preserve"> </w:t>
      </w:r>
      <w:r>
        <w:t xml:space="preserve">than by an economic property of the portfolio.</w:t>
      </w:r>
    </w:p>
    <w:p>
      <w:pPr>
        <w:pStyle w:val="BodyText"/>
      </w:pPr>
      <w:r>
        <w:t xml:space="preserve">The empirical wording rules used throughout Chapters 4 and 5 are</w:t>
      </w:r>
      <w:r>
        <w:t xml:space="preserve"> </w:t>
      </w:r>
      <w:r>
        <w:t xml:space="preserve">observed in the previews above. Stress-cell uplifts are described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point-estimate</w:t>
      </w:r>
      <w:r>
        <w:t xml:space="preserve"> </w:t>
      </w:r>
      <w:r>
        <w:t xml:space="preserve">form because the per-cell bootstrap CIs were</w:t>
      </w:r>
      <w:r>
        <w:t xml:space="preserve"> </w:t>
      </w:r>
      <w:r>
        <w:t xml:space="preserve">not computed (only the four anchor-level bootstraps were run);</w:t>
      </w:r>
      <w:r>
        <w:t xml:space="preserve"> </w:t>
      </w:r>
      <w:r>
        <w:t xml:space="preserve">bootstrap-anchor uplifts are described as</w:t>
      </w:r>
      <w:r>
        <w:t xml:space="preserve"> </w:t>
      </w:r>
      <w:r>
        <w:rPr>
          <w:i/>
          <w:iCs/>
        </w:rPr>
        <w:t xml:space="preserve">per-anchor 95% CIs did</w:t>
      </w:r>
      <w:r>
        <w:rPr>
          <w:i/>
          <w:iCs/>
        </w:rPr>
        <w:t xml:space="preserve"> </w:t>
      </w:r>
      <w:r>
        <w:rPr>
          <w:i/>
          <w:iCs/>
        </w:rPr>
        <w:t xml:space="preserve">not cross zero</w:t>
      </w:r>
      <w:r>
        <w:t xml:space="preserve"> </w:t>
      </w:r>
      <w:r>
        <w:t xml:space="preserve">because that is the precise empirical statement</w:t>
      </w:r>
      <w:r>
        <w:t xml:space="preserve"> </w:t>
      </w:r>
      <w:r>
        <w:t xml:space="preserve">supported by Phase 4.1.</w:t>
      </w:r>
    </w:p>
    <w:p>
      <w:r>
        <w:pict>
          <v:rect style="width:0;height:1.5pt" o:hralign="center" o:hrstd="t" o:hr="t"/>
        </w:pict>
      </w:r>
    </w:p>
    <w:bookmarkEnd w:id="15"/>
    <w:bookmarkStart w:id="16" w:name="thesis-structure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1.7 Thesis Structure</w:t>
      </w:r>
    </w:p>
    <w:p>
      <w:pPr>
        <w:pStyle w:val="FirstParagraph"/>
      </w:pPr>
      <w:r>
        <w:t xml:space="preserve">The remainder of the thesis is organised as follows.</w:t>
      </w:r>
    </w:p>
    <w:p>
      <w:pPr>
        <w:pStyle w:val="BodyText"/>
      </w:pPr>
      <w:r>
        <w:rPr>
          <w:b/>
          <w:bCs/>
        </w:rPr>
        <w:t xml:space="preserve">Chapter 2 — Literature Review.</w:t>
      </w:r>
      <w:r>
        <w:t xml:space="preserve"> </w:t>
      </w:r>
      <w:r>
        <w:t xml:space="preserve">A focused review of the</w:t>
      </w:r>
      <w:r>
        <w:t xml:space="preserve"> </w:t>
      </w:r>
      <w:r>
        <w:t xml:space="preserve">credit-scoring literature, organised around the four bodies of</w:t>
      </w:r>
      <w:r>
        <w:t xml:space="preserve"> </w:t>
      </w:r>
      <w:r>
        <w:t xml:space="preserve">work that the thesis intersects: (i) discrimination-driven cut-off</w:t>
      </w:r>
      <w:r>
        <w:t xml:space="preserve"> </w:t>
      </w:r>
      <w:r>
        <w:t xml:space="preserve">selection and the Youden’s J family, (ii) profit-driven cut-off</w:t>
      </w:r>
      <w:r>
        <w:t xml:space="preserve"> </w:t>
      </w:r>
      <w:r>
        <w:t xml:space="preserve">selection and the textbook profit-curve tradition, (iii) lifetime</w:t>
      </w:r>
      <w:r>
        <w:t xml:space="preserve"> </w:t>
      </w:r>
      <w:r>
        <w:t xml:space="preserve">expected loss measurement and IFRS 9 staging, and (iv) stress</w:t>
      </w:r>
      <w:r>
        <w:t xml:space="preserve"> </w:t>
      </w:r>
      <w:r>
        <w:t xml:space="preserve">testing methodology in retail credit. The review locates the</w:t>
      </w:r>
      <w:r>
        <w:t xml:space="preserve"> </w:t>
      </w:r>
      <w:r>
        <w:t xml:space="preserve">thesis’s contributions against existing work and identifies the</w:t>
      </w:r>
      <w:r>
        <w:t xml:space="preserve"> </w:t>
      </w:r>
      <w:r>
        <w:t xml:space="preserve">literature gaps that the thesis addresses (notably the gap that</w:t>
      </w:r>
      <w:r>
        <w:t xml:space="preserve"> </w:t>
      </w:r>
      <w:r>
        <w:t xml:space="preserve">motivates Contribution 3).</w:t>
      </w:r>
    </w:p>
    <w:p>
      <w:pPr>
        <w:pStyle w:val="BodyText"/>
      </w:pPr>
      <w:r>
        <w:rPr>
          <w:b/>
          <w:bCs/>
        </w:rPr>
        <w:t xml:space="preserve">Chapter 3 — Methodology.</w:t>
      </w:r>
      <w:r>
        <w:t xml:space="preserve"> </w:t>
      </w:r>
      <w:r>
        <w:t xml:space="preserve">The complete methodological</w:t>
      </w:r>
      <w:r>
        <w:t xml:space="preserve"> </w:t>
      </w:r>
      <w:r>
        <w:t xml:space="preserve">documentation of the empirical chain: data generation (§3.1),</w:t>
      </w:r>
      <w:r>
        <w:t xml:space="preserve"> </w:t>
      </w:r>
      <w:r>
        <w:t xml:space="preserve">feature engineering and the wide ABT build (§3.2), dual-track PD</w:t>
      </w:r>
      <w:r>
        <w:t xml:space="preserve"> </w:t>
      </w:r>
      <w:r>
        <w:t xml:space="preserve">modelling and calibration (§3.3), the locked Lifetime Net Margin</w:t>
      </w:r>
      <w:r>
        <w:t xml:space="preserve"> </w:t>
      </w:r>
      <w:r>
        <w:t xml:space="preserve">economic framework including APR scheme, LGD assumption, and</w:t>
      </w:r>
      <w:r>
        <w:t xml:space="preserve"> </w:t>
      </w:r>
      <w:r>
        <w:t xml:space="preserve">locked formulas (§3.4), the multi-dimensional stress-test design</w:t>
      </w:r>
      <w:r>
        <w:t xml:space="preserve"> </w:t>
      </w:r>
      <w:r>
        <w:t xml:space="preserve">(§3.5), the bootstrap validation design and locked phrasing rules</w:t>
      </w:r>
      <w:r>
        <w:t xml:space="preserve"> </w:t>
      </w:r>
      <w:r>
        <w:t xml:space="preserve">(§3.6), and the software architecture (§3.7).</w:t>
      </w:r>
    </w:p>
    <w:p>
      <w:pPr>
        <w:pStyle w:val="BodyText"/>
      </w:pPr>
      <w:r>
        <w:rPr>
          <w:b/>
          <w:bCs/>
        </w:rPr>
        <w:t xml:space="preserve">Chapter 4 — Results.</w:t>
      </w:r>
      <w:r>
        <w:t xml:space="preserve"> </w:t>
      </w:r>
      <w:r>
        <w:t xml:space="preserve">The empirical evidence supporting the</w:t>
      </w:r>
      <w:r>
        <w:t xml:space="preserve"> </w:t>
      </w:r>
      <w:r>
        <w:t xml:space="preserve">four headline findings: multi-model PD comparison and validation</w:t>
      </w:r>
      <w:r>
        <w:t xml:space="preserve"> </w:t>
      </w:r>
      <w:r>
        <w:t xml:space="preserve">gates (§4.1), Phase 3.1B base economics on the 235,968-row</w:t>
      </w:r>
      <w:r>
        <w:t xml:space="preserve"> </w:t>
      </w:r>
      <w:r>
        <w:t xml:space="preserve">population (§4.2), Phase 3.2 576-cell economic stress grid (§4.3),</w:t>
      </w:r>
      <w:r>
        <w:t xml:space="preserve"> </w:t>
      </w:r>
      <w:r>
        <w:t xml:space="preserve">Phase 4.1 bootstrap CIs across the four anchor scenarios (§4.4),</w:t>
      </w:r>
      <w:r>
        <w:t xml:space="preserve"> </w:t>
      </w:r>
      <w:r>
        <w:t xml:space="preserve">Phase 4.2 PART A PD-signal stress study (§4.5), Phase 4.2 PART B</w:t>
      </w:r>
      <w:r>
        <w:t xml:space="preserve"> </w:t>
      </w:r>
      <w:r>
        <w:t xml:space="preserve">operating-cost robustness study (§4.6), and Phase 4.2 PART C</w:t>
      </w:r>
      <w:r>
        <w:t xml:space="preserve"> </w:t>
      </w:r>
      <w:r>
        <w:t xml:space="preserve">combined Gini × operating-cost grid plus the refined dollar-anchored</w:t>
      </w:r>
      <w:r>
        <w:t xml:space="preserve"> </w:t>
      </w:r>
      <w:r>
        <w:t xml:space="preserve">thesis claim (§4.7).</w:t>
      </w:r>
    </w:p>
    <w:p>
      <w:pPr>
        <w:pStyle w:val="BodyText"/>
      </w:pPr>
      <w:r>
        <w:rPr>
          <w:b/>
          <w:bCs/>
        </w:rPr>
        <w:t xml:space="preserve">Chapter 5 — Discussion.</w:t>
      </w:r>
      <w:r>
        <w:t xml:space="preserve"> </w:t>
      </w:r>
      <w:r>
        <w:t xml:space="preserve">The synthesis of the four headline</w:t>
      </w:r>
      <w:r>
        <w:t xml:space="preserve"> </w:t>
      </w:r>
      <w:r>
        <w:t xml:space="preserve">findings (§5.1) into substantive contributions: implications for</w:t>
      </w:r>
      <w:r>
        <w:t xml:space="preserve"> </w:t>
      </w:r>
      <w:r>
        <w:t xml:space="preserve">credit risk practice (§5.2), positioning against the existing</w:t>
      </w:r>
      <w:r>
        <w:t xml:space="preserve"> </w:t>
      </w:r>
      <w:r>
        <w:t xml:space="preserve">literature (§5.3), reflection on the methodological design choices</w:t>
      </w:r>
      <w:r>
        <w:t xml:space="preserve"> </w:t>
      </w:r>
      <w:r>
        <w:t xml:space="preserve">including synthetic data, multi-dimensional stress, bootstrap</w:t>
      </w:r>
      <w:r>
        <w:t xml:space="preserve"> </w:t>
      </w:r>
      <w:r>
        <w:t xml:space="preserve">discipline, and validation gates (§5.4), boundary conditions</w:t>
      </w:r>
      <w:r>
        <w:t xml:space="preserve"> </w:t>
      </w:r>
      <w:r>
        <w:t xml:space="preserve">limiting the scope of the findings (§5.5), and future research</w:t>
      </w:r>
      <w:r>
        <w:t xml:space="preserve"> </w:t>
      </w:r>
      <w:r>
        <w:t xml:space="preserve">directions (§5.6).</w:t>
      </w:r>
    </w:p>
    <w:p>
      <w:pPr>
        <w:pStyle w:val="BodyText"/>
      </w:pPr>
      <w:r>
        <w:rPr>
          <w:b/>
          <w:bCs/>
        </w:rPr>
        <w:t xml:space="preserve">Chapter 6 — Limitations and Future Work.</w:t>
      </w:r>
      <w:r>
        <w:t xml:space="preserve"> </w:t>
      </w:r>
      <w:r>
        <w:t xml:space="preserve">The formal</w:t>
      </w:r>
      <w:r>
        <w:t xml:space="preserve"> </w:t>
      </w:r>
      <w:r>
        <w:t xml:space="preserve">limitations catalogue (10 limitations, each with statement,</w:t>
      </w:r>
      <w:r>
        <w:t xml:space="preserve"> </w:t>
      </w:r>
      <w:r>
        <w:t xml:space="preserve">reference, scope of impact, and sensitivity coverage; §6.1) and</w:t>
      </w:r>
      <w:r>
        <w:t xml:space="preserve"> </w:t>
      </w:r>
      <w:r>
        <w:t xml:space="preserve">the Future Work catalogue (7 directions F1 through F7, each with</w:t>
      </w:r>
      <w:r>
        <w:t xml:space="preserve"> </w:t>
      </w:r>
      <w:r>
        <w:t xml:space="preserve">research question, addressed limitation, approach, effort estimate,</w:t>
      </w:r>
      <w:r>
        <w:t xml:space="preserve"> </w:t>
      </w:r>
      <w:r>
        <w:t xml:space="preserve">and priority; §6.2).</w:t>
      </w:r>
    </w:p>
    <w:p>
      <w:pPr>
        <w:pStyle w:val="BodyText"/>
      </w:pPr>
      <w:r>
        <w:t xml:space="preserve">The empirical core of the argument is concentrated in Chapters 3</w:t>
      </w:r>
      <w:r>
        <w:t xml:space="preserve"> </w:t>
      </w:r>
      <w:r>
        <w:t xml:space="preserve">and 4; the substantive contribution is articulated in Chapter 5;</w:t>
      </w:r>
      <w:r>
        <w:t xml:space="preserve"> </w:t>
      </w:r>
      <w:r>
        <w:t xml:space="preserve">the boundary conditions and the research extensions are catalogued</w:t>
      </w:r>
      <w:r>
        <w:t xml:space="preserve"> </w:t>
      </w:r>
      <w:r>
        <w:t xml:space="preserve">in Chapter 6. A reader interested in the central claim and its</w:t>
      </w:r>
      <w:r>
        <w:t xml:space="preserve"> </w:t>
      </w:r>
      <w:r>
        <w:t xml:space="preserve">empirical support can read Chapter 4 §4.7 directly with reference</w:t>
      </w:r>
      <w:r>
        <w:t xml:space="preserve"> </w:t>
      </w:r>
      <w:r>
        <w:t xml:space="preserve">to the locked methodology of Chapter 3 §§3.4-§3.6. A reader</w:t>
      </w:r>
      <w:r>
        <w:t xml:space="preserve"> </w:t>
      </w:r>
      <w:r>
        <w:t xml:space="preserve">interested in the methodological discipline and the boundary</w:t>
      </w:r>
      <w:r>
        <w:t xml:space="preserve"> </w:t>
      </w:r>
      <w:r>
        <w:t xml:space="preserve">conditions should additionally read Chapter 5 §5.4-§5.5 and</w:t>
      </w:r>
      <w:r>
        <w:t xml:space="preserve"> </w:t>
      </w:r>
      <w:r>
        <w:t xml:space="preserve">Chapter 6 §6.1 in full.</w:t>
      </w:r>
    </w:p>
    <w:bookmarkEnd w:id="16"/>
    <w:bookmarkEnd w:id="17"/>
    <w:bookmarkStart w:id="25" w:name="chapter-2-literature-review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Chapter 2 — Literature Review</w:t>
      </w:r>
    </w:p>
    <w:p>
      <w:pPr>
        <w:pStyle w:val="FirstParagraph"/>
      </w:pPr>
      <w:r>
        <w:t xml:space="preserve">This chapter situates the thesis against the existing credit-scoring</w:t>
      </w:r>
      <w:r>
        <w:t xml:space="preserve"> </w:t>
      </w:r>
      <w:r>
        <w:t xml:space="preserve">literature. It covers six bodies of work — discrimination-driven</w:t>
      </w:r>
      <w:r>
        <w:t xml:space="preserve"> </w:t>
      </w:r>
      <w:r>
        <w:t xml:space="preserve">cut-off selection, profit-driven cut-off selection, lifetime</w:t>
      </w:r>
      <w:r>
        <w:t xml:space="preserve"> </w:t>
      </w:r>
      <w:r>
        <w:t xml:space="preserve">expected loss measurement and IFRS 9 staging, stress testing</w:t>
      </w:r>
      <w:r>
        <w:t xml:space="preserve"> </w:t>
      </w:r>
      <w:r>
        <w:t xml:space="preserve">methodology in retail credit, PD modelling and calibration, and</w:t>
      </w:r>
      <w:r>
        <w:t xml:space="preserve"> </w:t>
      </w:r>
      <w:r>
        <w:t xml:space="preserve">synthetic-data methodology — and concludes with an explicit summary</w:t>
      </w:r>
      <w:r>
        <w:t xml:space="preserve"> </w:t>
      </w:r>
      <w:r>
        <w:t xml:space="preserve">of the literature gaps that the thesis addresses.</w:t>
      </w:r>
    </w:p>
    <w:p>
      <w:pPr>
        <w:pStyle w:val="BodyText"/>
      </w:pPr>
      <w:r>
        <w:t xml:space="preserve">The chapter is deliberately a positioning chapter, not a</w:t>
      </w:r>
      <w:r>
        <w:t xml:space="preserve"> </w:t>
      </w:r>
      <w:r>
        <w:t xml:space="preserve">data-presentation chapter: empirical evidence is documented in</w:t>
      </w:r>
      <w:r>
        <w:t xml:space="preserve"> </w:t>
      </w:r>
      <w:r>
        <w:t xml:space="preserve">Chapter 4 and synthesised in Chapter 5, while this chapter</w:t>
      </w:r>
      <w:r>
        <w:t xml:space="preserve"> </w:t>
      </w:r>
      <w:r>
        <w:t xml:space="preserve">restricts itself to the prior literature and to how the present</w:t>
      </w:r>
      <w:r>
        <w:t xml:space="preserve"> </w:t>
      </w:r>
      <w:r>
        <w:t xml:space="preserve">thesis responds to identified gaps. Citations are flagged as</w:t>
      </w:r>
      <w:r>
        <w:t xml:space="preserve"> </w:t>
      </w:r>
      <w:r>
        <w:rPr>
          <w:rStyle w:val="VerbatimChar"/>
        </w:rPr>
        <w:t xml:space="preserve">[TODO: cite]</w:t>
      </w:r>
      <w:r>
        <w:t xml:space="preserve"> </w:t>
      </w:r>
      <w:r>
        <w:t xml:space="preserve">placeholders throughout; the citation map will be</w:t>
      </w:r>
      <w:r>
        <w:t xml:space="preserve"> </w:t>
      </w:r>
      <w:r>
        <w:t xml:space="preserve">finalised before submission. Each section ends with an explicit</w:t>
      </w:r>
      <w:r>
        <w:t xml:space="preserve"> </w:t>
      </w:r>
      <w:r>
        <w:t xml:space="preserve">statement of the thesis’s response to the gap identified in that</w:t>
      </w:r>
      <w:r>
        <w:t xml:space="preserve"> </w:t>
      </w:r>
      <w:r>
        <w:t xml:space="preserve">strand of the literature.</w:t>
      </w:r>
    </w:p>
    <w:p>
      <w:r>
        <w:pict>
          <v:rect style="width:0;height:1.5pt" o:hralign="center" o:hrstd="t" o:hr="t"/>
        </w:pict>
      </w:r>
    </w:p>
    <w:bookmarkStart w:id="18" w:name="discrimination-driven-cut-off-selec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Discrimination-driven cut-off selection</w:t>
      </w:r>
    </w:p>
    <w:p>
      <w:pPr>
        <w:pStyle w:val="FirstParagraph"/>
      </w:pPr>
      <w:r>
        <w:t xml:space="preserve">Credit scoring as a quantitative discipline has been dominated for</w:t>
      </w:r>
      <w:r>
        <w:t xml:space="preserve"> </w:t>
      </w:r>
      <w:r>
        <w:t xml:space="preserve">several decades by</w:t>
      </w:r>
      <w:r>
        <w:t xml:space="preserve"> </w:t>
      </w:r>
      <w:r>
        <w:rPr>
          <w:i/>
          <w:iCs/>
        </w:rPr>
        <w:t xml:space="preserve">discrimination metrics</w:t>
      </w:r>
      <w:r>
        <w:t xml:space="preserve"> </w:t>
      </w:r>
      <w:r>
        <w:t xml:space="preserve">— measures of how well</w:t>
      </w:r>
      <w:r>
        <w:t xml:space="preserve"> </w:t>
      </w:r>
      <w:r>
        <w:t xml:space="preserve">a borrower-risk model separates defaulters from non-defaulters in a</w:t>
      </w:r>
      <w:r>
        <w:t xml:space="preserve"> </w:t>
      </w:r>
      <w:r>
        <w:t xml:space="preserve">probabilistic sense, without regard to the economic consequences of</w:t>
      </w:r>
      <w:r>
        <w:t xml:space="preserve"> </w:t>
      </w:r>
      <w:r>
        <w:t xml:space="preserve">acting on the model’s outputs.</w:t>
      </w:r>
    </w:p>
    <w:p>
      <w:pPr>
        <w:pStyle w:val="BodyText"/>
      </w:pPr>
      <w:r>
        <w:t xml:space="preserve">The canonical discrimination metric in modern practice is the area</w:t>
      </w:r>
      <w:r>
        <w:t xml:space="preserve"> </w:t>
      </w:r>
      <w:r>
        <w:t xml:space="preserve">under the Receiver Operating Characteristic curve (AUC), which</w:t>
      </w:r>
      <w:r>
        <w:t xml:space="preserve"> </w:t>
      </w:r>
      <w:r>
        <w:t xml:space="preserve">equals the probability that a randomly chosen positive case</w:t>
      </w:r>
      <w:r>
        <w:t xml:space="preserve"> </w:t>
      </w:r>
      <w:r>
        <w:t xml:space="preserve">(default) is assigned a higher score than a randomly chosen</w:t>
      </w:r>
      <w:r>
        <w:t xml:space="preserve"> </w:t>
      </w:r>
      <w:r>
        <w:t xml:space="preserve">negative case (non-default) [TODO: cite Fawcett 2006</w:t>
      </w:r>
      <w:r>
        <w:t xml:space="preserve"> </w:t>
      </w:r>
      <w:r>
        <w:t xml:space="preserve">“An</w:t>
      </w:r>
      <w:r>
        <w:t xml:space="preserve"> </w:t>
      </w:r>
      <w:r>
        <w:t xml:space="preserve">introduction to ROC analysis”</w:t>
      </w:r>
      <w:r>
        <w:t xml:space="preserve">]. The AUC is monotonically related to</w:t>
      </w:r>
      <w:r>
        <w:t xml:space="preserve"> </w:t>
      </w:r>
      <w:r>
        <w:t xml:space="preserve">the Gini coefficient via Gini = 2·AUC − 1, so the two metrics</w:t>
      </w:r>
      <w:r>
        <w:t xml:space="preserve"> </w:t>
      </w:r>
      <w:r>
        <w:t xml:space="preserve">measure the same underlying quality and are interchangeable up to a</w:t>
      </w:r>
      <w:r>
        <w:t xml:space="preserve"> </w:t>
      </w:r>
      <w:r>
        <w:t xml:space="preserve">linear transform [TODO: cite Hand &amp; Till 2001]. The</w:t>
      </w:r>
      <w:r>
        <w:t xml:space="preserve"> </w:t>
      </w:r>
      <w:r>
        <w:t xml:space="preserve">Kolmogorov-Smirnov statistic, defined as the maximum absolute</w:t>
      </w:r>
      <w:r>
        <w:t xml:space="preserve"> </w:t>
      </w:r>
      <w:r>
        <w:t xml:space="preserve">difference between the cumulative distribution functions of scores</w:t>
      </w:r>
      <w:r>
        <w:t xml:space="preserve"> </w:t>
      </w:r>
      <w:r>
        <w:t xml:space="preserve">for defaulters and non-defaulters, is a third widely used</w:t>
      </w:r>
      <w:r>
        <w:t xml:space="preserve"> </w:t>
      </w:r>
      <w:r>
        <w:t xml:space="preserve">discrimination metric in the credit-scoring tradition [TODO: cite</w:t>
      </w:r>
      <w:r>
        <w:t xml:space="preserve"> </w:t>
      </w:r>
      <w:r>
        <w:t xml:space="preserve">KS treatment in Siddiqi 2017 or Anderson 2007].</w:t>
      </w:r>
    </w:p>
    <w:p>
      <w:pPr>
        <w:pStyle w:val="BodyText"/>
      </w:pPr>
      <w:r>
        <w:t xml:space="preserve">Discrimination metrics support cut-off selection through derived</w:t>
      </w:r>
      <w:r>
        <w:t xml:space="preserve"> </w:t>
      </w:r>
      <w:r>
        <w:t xml:space="preserve">rules. The Youden’s J statistic [TODO: cite Youden 1950</w:t>
      </w:r>
      <w:r>
        <w:t xml:space="preserve"> </w:t>
      </w:r>
      <w:r>
        <w:t xml:space="preserve">“Index for</w:t>
      </w:r>
      <w:r>
        <w:t xml:space="preserve"> </w:t>
      </w:r>
      <w:r>
        <w:t xml:space="preserve">rating diagnostic tests”</w:t>
      </w:r>
      <w:r>
        <w:t xml:space="preserve">] is the canonical example: J = TPR − FPR,</w:t>
      </w:r>
      <w:r>
        <w:t xml:space="preserve"> </w:t>
      </w:r>
      <w:r>
        <w:t xml:space="preserve">and the cut-off that maximises J is the threshold on the score that</w:t>
      </w:r>
      <w:r>
        <w:t xml:space="preserve"> </w:t>
      </w:r>
      <w:r>
        <w:t xml:space="preserve">delivers the largest absolute separation between true-positive and</w:t>
      </w:r>
      <w:r>
        <w:t xml:space="preserve"> </w:t>
      </w:r>
      <w:r>
        <w:t xml:space="preserve">false-positive rates. Youden’s J was introduced in a</w:t>
      </w:r>
      <w:r>
        <w:t xml:space="preserve"> </w:t>
      </w:r>
      <w:r>
        <w:t xml:space="preserve">clinical-diagnostics context and has since been widely adopted in</w:t>
      </w:r>
      <w:r>
        <w:t xml:space="preserve"> </w:t>
      </w:r>
      <w:r>
        <w:t xml:space="preserve">credit scoring for its simplicity and its appearance of an</w:t>
      </w:r>
      <w:r>
        <w:t xml:space="preserve"> </w:t>
      </w:r>
      <w:r>
        <w:t xml:space="preserve">“optimal”</w:t>
      </w:r>
      <w:r>
        <w:t xml:space="preserve"> </w:t>
      </w:r>
      <w:r>
        <w:t xml:space="preserve">trade-off between the two error types.</w:t>
      </w:r>
    </w:p>
    <w:p>
      <w:pPr>
        <w:pStyle w:val="BodyText"/>
      </w:pPr>
      <w:r>
        <w:t xml:space="preserve">Discrimination metrics dominated the credit-scoring evaluation</w:t>
      </w:r>
      <w:r>
        <w:t xml:space="preserve"> </w:t>
      </w:r>
      <w:r>
        <w:t xml:space="preserve">literature for several reasons. First, discrimination metrics are</w:t>
      </w:r>
      <w:r>
        <w:t xml:space="preserve"> </w:t>
      </w:r>
      <w:r>
        <w:t xml:space="preserve">model-property measures: they depend only on the score and the</w:t>
      </w:r>
      <w:r>
        <w:t xml:space="preserve"> </w:t>
      </w:r>
      <w:r>
        <w:t xml:space="preserve">realised label, not on any economic assumption about cost or</w:t>
      </w:r>
      <w:r>
        <w:t xml:space="preserve"> </w:t>
      </w:r>
      <w:r>
        <w:t xml:space="preserve">revenue. They are therefore robust to changes in the cost regime</w:t>
      </w:r>
      <w:r>
        <w:t xml:space="preserve"> </w:t>
      </w:r>
      <w:r>
        <w:t xml:space="preserve">that the lender faces and can be reported in textbook examples</w:t>
      </w:r>
      <w:r>
        <w:t xml:space="preserve"> </w:t>
      </w:r>
      <w:r>
        <w:t xml:space="preserve">without requiring any cost-side assumptions. Second, discrimination</w:t>
      </w:r>
      <w:r>
        <w:t xml:space="preserve"> </w:t>
      </w:r>
      <w:r>
        <w:t xml:space="preserve">metrics generalise across portfolios with different default rates</w:t>
      </w:r>
      <w:r>
        <w:t xml:space="preserve"> </w:t>
      </w:r>
      <w:r>
        <w:t xml:space="preserve">and different sample sizes — useful properties for benchmarking</w:t>
      </w:r>
      <w:r>
        <w:t xml:space="preserve"> </w:t>
      </w:r>
      <w:r>
        <w:t xml:space="preserve">model families across institutional contexts. Third, the</w:t>
      </w:r>
      <w:r>
        <w:t xml:space="preserve"> </w:t>
      </w:r>
      <w:r>
        <w:t xml:space="preserve">discrimination tradition predates the cost-sensitive learning</w:t>
      </w:r>
      <w:r>
        <w:t xml:space="preserve"> </w:t>
      </w:r>
      <w:r>
        <w:t xml:space="preserve">literature [TODO: cite Elkan 2001</w:t>
      </w:r>
      <w:r>
        <w:t xml:space="preserve"> </w:t>
      </w:r>
      <w:r>
        <w:t xml:space="preserve">“The foundations of cost-sensitive</w:t>
      </w:r>
      <w:r>
        <w:t xml:space="preserve"> </w:t>
      </w:r>
      <w:r>
        <w:t xml:space="preserve">learning”</w:t>
      </w:r>
      <w:r>
        <w:t xml:space="preserve">] by several decades and is more deeply embedded in</w:t>
      </w:r>
      <w:r>
        <w:t xml:space="preserve"> </w:t>
      </w:r>
      <w:r>
        <w:t xml:space="preserve">practitioner training and regulatory model-validation conventions.</w:t>
      </w:r>
    </w:p>
    <w:p>
      <w:pPr>
        <w:pStyle w:val="BodyText"/>
      </w:pPr>
      <w:r>
        <w:t xml:space="preserve">The limitations of discrimination-only evaluation have, however,</w:t>
      </w:r>
      <w:r>
        <w:t xml:space="preserve"> </w:t>
      </w:r>
      <w:r>
        <w:t xml:space="preserve">been recognised in the literature for at least two decades [TODO:</w:t>
      </w:r>
      <w:r>
        <w:t xml:space="preserve"> </w:t>
      </w:r>
      <w:r>
        <w:t xml:space="preserve">cite Hand 2009</w:t>
      </w:r>
      <w:r>
        <w:t xml:space="preserve"> </w:t>
      </w:r>
      <w:r>
        <w:t xml:space="preserve">“Measuring classifier performance: a coherent</w:t>
      </w:r>
      <w:r>
        <w:t xml:space="preserve"> </w:t>
      </w:r>
      <w:r>
        <w:t xml:space="preserve">alternative to the area under the ROC curve”</w:t>
      </w:r>
      <w:r>
        <w:t xml:space="preserve">]. Hand (2009) in</w:t>
      </w:r>
      <w:r>
        <w:t xml:space="preserve"> </w:t>
      </w:r>
      <w:r>
        <w:t xml:space="preserve">particular argued that the AUC implicitly weights different</w:t>
      </w:r>
      <w:r>
        <w:t xml:space="preserve"> </w:t>
      </w:r>
      <w:r>
        <w:t xml:space="preserve">misclassification costs in a way that depends on the score</w:t>
      </w:r>
      <w:r>
        <w:t xml:space="preserve"> </w:t>
      </w:r>
      <w:r>
        <w:t xml:space="preserve">distribution, so the same AUC value can correspond to materially</w:t>
      </w:r>
      <w:r>
        <w:t xml:space="preserve"> </w:t>
      </w:r>
      <w:r>
        <w:t xml:space="preserve">different expected costs depending on the underlying loss function.</w:t>
      </w:r>
      <w:r>
        <w:t xml:space="preserve"> </w:t>
      </w:r>
      <w:r>
        <w:t xml:space="preserve">Cut-off rules derived from discrimination metrics inherit the same</w:t>
      </w:r>
      <w:r>
        <w:t xml:space="preserve"> </w:t>
      </w:r>
      <w:r>
        <w:t xml:space="preserve">limitation: Youden’s J implicitly assumes that the cost of a false</w:t>
      </w:r>
      <w:r>
        <w:t xml:space="preserve"> </w:t>
      </w:r>
      <w:r>
        <w:t xml:space="preserve">positive equals the cost of a false negative, which is rarely true</w:t>
      </w:r>
      <w:r>
        <w:t xml:space="preserve"> </w:t>
      </w:r>
      <w:r>
        <w:t xml:space="preserve">in lending, where the cost of a defaulted loan typically dominates</w:t>
      </w:r>
      <w:r>
        <w:t xml:space="preserve"> </w:t>
      </w:r>
      <w:r>
        <w:t xml:space="preserve">the foregone-margin cost of a wrongly rejected good loan.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takes the limitations of</w:t>
      </w:r>
      <w:r>
        <w:t xml:space="preserve"> </w:t>
      </w:r>
      <w:r>
        <w:t xml:space="preserve">discrimination-only evaluation as its starting point. Discrimination</w:t>
      </w:r>
      <w:r>
        <w:t xml:space="preserve"> </w:t>
      </w:r>
      <w:r>
        <w:t xml:space="preserve">metrics remain useful as model-quality summaries (and are reported</w:t>
      </w:r>
      <w:r>
        <w:t xml:space="preserve"> </w:t>
      </w:r>
      <w:r>
        <w:t xml:space="preserve">in Chapter 4 §4.1 alongside calibration metrics), but they are not</w:t>
      </w:r>
      <w:r>
        <w:t xml:space="preserve"> </w:t>
      </w:r>
      <w:r>
        <w:t xml:space="preserve">adopted as the cut-off optimisation objective. Cut-off selection is</w:t>
      </w:r>
      <w:r>
        <w:t xml:space="preserve"> </w:t>
      </w:r>
      <w:r>
        <w:t xml:space="preserve">performed against a tenor-aware Lifetime Net Margin objective</w:t>
      </w:r>
      <w:r>
        <w:t xml:space="preserve"> </w:t>
      </w:r>
      <w:r>
        <w:t xml:space="preserve">documented in Chapter 3 §3.4, with Youden’s J retained throughout</w:t>
      </w:r>
      <w:r>
        <w:t xml:space="preserve"> </w:t>
      </w:r>
      <w:r>
        <w:t xml:space="preserve">as a discrimination-driven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against which the</w:t>
      </w:r>
      <w:r>
        <w:t xml:space="preserve"> </w:t>
      </w:r>
      <w:r>
        <w:t xml:space="preserve">profit-driven cut-off is compared. The empirical comparison of the</w:t>
      </w:r>
      <w:r>
        <w:t xml:space="preserve"> </w:t>
      </w:r>
      <w:r>
        <w:t xml:space="preserve">two cut-off rules is the central evidence base of Chapter 4.</w:t>
      </w:r>
    </w:p>
    <w:p>
      <w:r>
        <w:pict>
          <v:rect style="width:0;height:1.5pt" o:hralign="center" o:hrstd="t" o:hr="t"/>
        </w:pict>
      </w:r>
    </w:p>
    <w:bookmarkEnd w:id="18"/>
    <w:bookmarkStart w:id="19" w:name="profit-driven-cut-off-selecti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Profit-driven cut-off selection</w:t>
      </w:r>
    </w:p>
    <w:p>
      <w:pPr>
        <w:pStyle w:val="FirstParagraph"/>
      </w:pPr>
      <w:r>
        <w:t xml:space="preserve">The profit-driven alternative to discrimination-driven cut-off</w:t>
      </w:r>
      <w:r>
        <w:t xml:space="preserve"> </w:t>
      </w:r>
      <w:r>
        <w:t xml:space="preserve">selection has a continuous tradition in the credit-scoring textbook</w:t>
      </w:r>
      <w:r>
        <w:t xml:space="preserve"> </w:t>
      </w:r>
      <w:r>
        <w:t xml:space="preserve">literature. Mays (2004) [TODO: cite Mays</w:t>
      </w:r>
      <w:r>
        <w:t xml:space="preserve"> </w:t>
      </w:r>
      <w:r>
        <w:t xml:space="preserve">“Credit Scoring for Risk</w:t>
      </w:r>
      <w:r>
        <w:t xml:space="preserve"> </w:t>
      </w:r>
      <w:r>
        <w:t xml:space="preserve">Managers”</w:t>
      </w:r>
      <w:r>
        <w:t xml:space="preserve">] devotes a chapter to profit-curve analysis as a primary</w:t>
      </w:r>
      <w:r>
        <w:t xml:space="preserve"> </w:t>
      </w:r>
      <w:r>
        <w:t xml:space="preserve">scorecard-validation tool, recommending that profit-optimised</w:t>
      </w:r>
      <w:r>
        <w:t xml:space="preserve"> </w:t>
      </w:r>
      <w:r>
        <w:t xml:space="preserve">cut-offs replace discrimination-optimised cut-offs in production</w:t>
      </w:r>
      <w:r>
        <w:t xml:space="preserve"> </w:t>
      </w:r>
      <w:r>
        <w:t xml:space="preserve">scoring systems. Anderson (2007) [TODO: cite Anderson</w:t>
      </w:r>
      <w:r>
        <w:t xml:space="preserve"> </w:t>
      </w:r>
      <w:r>
        <w:t xml:space="preserve">“The Credit</w:t>
      </w:r>
      <w:r>
        <w:t xml:space="preserve"> </w:t>
      </w:r>
      <w:r>
        <w:t xml:space="preserve">Scoring Toolkit”</w:t>
      </w:r>
      <w:r>
        <w:t xml:space="preserve">] develops the methodology in more depth, with</w:t>
      </w:r>
      <w:r>
        <w:t xml:space="preserve"> </w:t>
      </w:r>
      <w:r>
        <w:t xml:space="preserve">detailed treatment of revenue, cost, and recovery components in the</w:t>
      </w:r>
      <w:r>
        <w:t xml:space="preserve"> </w:t>
      </w:r>
      <w:r>
        <w:t xml:space="preserve">profit calculation. Siddiqi (2017) [TODO: cite Siddiqi</w:t>
      </w:r>
      <w:r>
        <w:t xml:space="preserve"> </w:t>
      </w:r>
      <w:r>
        <w:t xml:space="preserve">“Intelligent</w:t>
      </w:r>
      <w:r>
        <w:t xml:space="preserve"> </w:t>
      </w:r>
      <w:r>
        <w:t xml:space="preserve">Credit Scoring”</w:t>
      </w:r>
      <w:r>
        <w:t xml:space="preserve">] extends the framework to risk-based pricing</w:t>
      </w:r>
      <w:r>
        <w:t xml:space="preserve"> </w:t>
      </w:r>
      <w:r>
        <w:t xml:space="preserve">portfolios and explicitly recommends profit-based cut-off selection</w:t>
      </w:r>
      <w:r>
        <w:t xml:space="preserve"> </w:t>
      </w:r>
      <w:r>
        <w:t xml:space="preserve">over discrimination-based selection for institutions whose APR</w:t>
      </w:r>
      <w:r>
        <w:t xml:space="preserve"> </w:t>
      </w:r>
      <w:r>
        <w:t xml:space="preserve">varies systematically with PD band.</w:t>
      </w:r>
    </w:p>
    <w:p>
      <w:pPr>
        <w:pStyle w:val="BodyText"/>
      </w:pPr>
      <w:r>
        <w:t xml:space="preserve">In industry practice, profit-curve analysis is widely used at the</w:t>
      </w:r>
      <w:r>
        <w:t xml:space="preserve"> </w:t>
      </w:r>
      <w:r>
        <w:t xml:space="preserve">model-validation stage of scorecard deployment, both as a sanity</w:t>
      </w:r>
      <w:r>
        <w:t xml:space="preserve"> </w:t>
      </w:r>
      <w:r>
        <w:t xml:space="preserve">check on the discrimination-derived cut-off and as an internal</w:t>
      </w:r>
      <w:r>
        <w:t xml:space="preserve"> </w:t>
      </w:r>
      <w:r>
        <w:t xml:space="preserve">governance instrument when the discrimination-driven and the</w:t>
      </w:r>
      <w:r>
        <w:t xml:space="preserve"> </w:t>
      </w:r>
      <w:r>
        <w:t xml:space="preserve">profit-driven cut-offs disagree by a material margin. The textbook</w:t>
      </w:r>
      <w:r>
        <w:t xml:space="preserve"> </w:t>
      </w:r>
      <w:r>
        <w:t xml:space="preserve">literature treats the profit-cut-off as a principled improvement on</w:t>
      </w:r>
      <w:r>
        <w:t xml:space="preserve"> </w:t>
      </w:r>
      <w:r>
        <w:t xml:space="preserve">the Youden’s J cut-off; the case for it usually rests on a single</w:t>
      </w:r>
      <w:r>
        <w:t xml:space="preserve"> </w:t>
      </w:r>
      <w:r>
        <w:t xml:space="preserve">illustrative profit curve demonstrating that the profit-optimal</w:t>
      </w:r>
      <w:r>
        <w:t xml:space="preserve"> </w:t>
      </w:r>
      <w:r>
        <w:t xml:space="preserve">threshold differs from the J-optimal threshold and that the</w:t>
      </w:r>
      <w:r>
        <w:t xml:space="preserve"> </w:t>
      </w:r>
      <w:r>
        <w:t xml:space="preserve">area-under-profit-curve under the profit-optimal threshold is</w:t>
      </w:r>
      <w:r>
        <w:t xml:space="preserve"> </w:t>
      </w:r>
      <w:r>
        <w:t xml:space="preserve">larger.</w:t>
      </w:r>
    </w:p>
    <w:p>
      <w:pPr>
        <w:pStyle w:val="BodyText"/>
      </w:pPr>
      <w:r>
        <w:t xml:space="preserve">The published evidence base for profit-driven cut-off selection</w:t>
      </w:r>
      <w:r>
        <w:t xml:space="preserve"> </w:t>
      </w:r>
      <w:r>
        <w:t xml:space="preserve">has, however, three notable gaps. First, the published evidence</w:t>
      </w:r>
      <w:r>
        <w:t xml:space="preserve"> </w:t>
      </w:r>
      <w:r>
        <w:t xml:space="preserve">typically rests on a single illustrative profit curve drawn for a</w:t>
      </w:r>
      <w:r>
        <w:t xml:space="preserve"> </w:t>
      </w:r>
      <w:r>
        <w:t xml:space="preserve">single representative cost regime, with limited sensitivity</w:t>
      </w:r>
      <w:r>
        <w:t xml:space="preserve"> </w:t>
      </w:r>
      <w:r>
        <w:t xml:space="preserve">analysis across the surrounding economic-assumption space. Second,</w:t>
      </w:r>
      <w:r>
        <w:t xml:space="preserve"> </w:t>
      </w:r>
      <w:r>
        <w:t xml:space="preserve">the published evidence rarely interrogates how the</w:t>
      </w:r>
      <w:r>
        <w:t xml:space="preserve"> </w:t>
      </w:r>
      <w:r>
        <w:t xml:space="preserve">profit-versus-discrimination gap behaves under stress on the</w:t>
      </w:r>
      <w:r>
        <w:t xml:space="preserve"> </w:t>
      </w:r>
      <w:r>
        <w:t xml:space="preserve">PD-signal side: most published profit curves are drawn at a fixed</w:t>
      </w:r>
      <w:r>
        <w:t xml:space="preserve"> </w:t>
      </w:r>
      <w:r>
        <w:t xml:space="preserve">PD-signal discrimination level, and the question of how the profit</w:t>
      </w:r>
      <w:r>
        <w:t xml:space="preserve"> </w:t>
      </w:r>
      <w:r>
        <w:t xml:space="preserve">advantage changes if the PD signal is weaker or stronger is rarely</w:t>
      </w:r>
      <w:r>
        <w:t xml:space="preserve"> </w:t>
      </w:r>
      <w:r>
        <w:t xml:space="preserve">addressed empirically. Third, the published evidence rarely</w:t>
      </w:r>
      <w:r>
        <w:t xml:space="preserve"> </w:t>
      </w:r>
      <w:r>
        <w:t xml:space="preserve">separates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(how much the empirical</w:t>
      </w:r>
      <w:r>
        <w:t xml:space="preserve"> </w:t>
      </w:r>
      <w:r>
        <w:t xml:space="preserve">profit-uplift estimate would vary across alternative samples drawn</w:t>
      </w:r>
      <w:r>
        <w:t xml:space="preserve"> </w:t>
      </w:r>
      <w:r>
        <w:t xml:space="preserve">from the same population) from</w:t>
      </w:r>
      <w:r>
        <w:t xml:space="preserve"> </w:t>
      </w:r>
      <w:r>
        <w:rPr>
          <w:i/>
          <w:iCs/>
        </w:rPr>
        <w:t xml:space="preserve">assumption</w:t>
      </w:r>
      <w:r>
        <w:t xml:space="preserve"> </w:t>
      </w:r>
      <w:r>
        <w:t xml:space="preserve">uncertainty (how much</w:t>
      </w:r>
      <w:r>
        <w:t xml:space="preserve"> </w:t>
      </w:r>
      <w:r>
        <w:t xml:space="preserve">the estimate would vary across alternative cost / pricing /</w:t>
      </w:r>
      <w:r>
        <w:t xml:space="preserve"> </w:t>
      </w:r>
      <w:r>
        <w:t xml:space="preserve">recovery assumptions), so the reader is left without a precise</w:t>
      </w:r>
      <w:r>
        <w:t xml:space="preserve"> </w:t>
      </w:r>
      <w:r>
        <w:t xml:space="preserve">reading of what the reported point estimate means.</w:t>
      </w:r>
    </w:p>
    <w:p>
      <w:pPr>
        <w:pStyle w:val="BodyText"/>
      </w:pPr>
      <w:r>
        <w:t xml:space="preserve">A second strand of profit-driven cut-off literature focuses on</w:t>
      </w:r>
      <w:r>
        <w:t xml:space="preserve"> </w:t>
      </w:r>
      <w:r>
        <w:t xml:space="preserve">single-period versus lifetime profit formulations. The textbook</w:t>
      </w:r>
      <w:r>
        <w:t xml:space="preserve"> </w:t>
      </w:r>
      <w:r>
        <w:t xml:space="preserve">treatments above implicitly use a single-period profit formula in</w:t>
      </w:r>
      <w:r>
        <w:t xml:space="preserve"> </w:t>
      </w:r>
      <w:r>
        <w:t xml:space="preserve">which one period of interest is collected from a non-defaulting</w:t>
      </w:r>
      <w:r>
        <w:t xml:space="preserve"> </w:t>
      </w:r>
      <w:r>
        <w:t xml:space="preserve">borrower and one period of expected loss is incurred on a</w:t>
      </w:r>
      <w:r>
        <w:t xml:space="preserve"> </w:t>
      </w:r>
      <w:r>
        <w:t xml:space="preserve">defaulting borrower. More recent work in tenor-aware credit-risk</w:t>
      </w:r>
      <w:r>
        <w:t xml:space="preserve"> </w:t>
      </w:r>
      <w:r>
        <w:t xml:space="preserve">modelling has emphasised that this single-period approximation</w:t>
      </w:r>
      <w:r>
        <w:t xml:space="preserve"> </w:t>
      </w:r>
      <w:r>
        <w:t xml:space="preserve">systematically under-weights longer-tenor loans because amortization</w:t>
      </w:r>
      <w:r>
        <w:t xml:space="preserve"> </w:t>
      </w:r>
      <w:r>
        <w:t xml:space="preserve">and survival weighting are ignored [TODO: cite tenor-aware credit</w:t>
      </w:r>
      <w:r>
        <w:t xml:space="preserve"> </w:t>
      </w:r>
      <w:r>
        <w:t xml:space="preserve">risk literature, e.g., Krüger &amp; Rösch 2017 or Bellini 2019]. The</w:t>
      </w:r>
      <w:r>
        <w:t xml:space="preserve"> </w:t>
      </w:r>
      <w:r>
        <w:t xml:space="preserve">transition from single-period to lifetime profit formulations is</w:t>
      </w:r>
      <w:r>
        <w:t xml:space="preserve"> </w:t>
      </w:r>
      <w:r>
        <w:t xml:space="preserve">the formal counterpart to the IFRS 9 lifetime-ECL transition</w:t>
      </w:r>
      <w:r>
        <w:t xml:space="preserve"> </w:t>
      </w:r>
      <w:r>
        <w:t xml:space="preserve">discussed in §2.3 below.</w:t>
      </w:r>
    </w:p>
    <w:p>
      <w:pPr>
        <w:pStyle w:val="BodyText"/>
      </w:pPr>
      <w:r>
        <w:t xml:space="preserve">A third strand approaches the profit-versus-discrimination question</w:t>
      </w:r>
      <w:r>
        <w:t xml:space="preserve"> </w:t>
      </w:r>
      <w:r>
        <w:t xml:space="preserve">through cost-sensitive evaluation metrics. The Expected Maximum</w:t>
      </w:r>
      <w:r>
        <w:t xml:space="preserve"> </w:t>
      </w:r>
      <w:r>
        <w:t xml:space="preserve">Profit (EMP) framework of Verbraken et al. (2014) [TODO: cite</w:t>
      </w:r>
      <w:r>
        <w:t xml:space="preserve"> </w:t>
      </w:r>
      <w:r>
        <w:t xml:space="preserve">Verbraken, Verbeke &amp; Baesens 2014</w:t>
      </w:r>
      <w:r>
        <w:t xml:space="preserve"> </w:t>
      </w:r>
      <w:r>
        <w:t xml:space="preserve">“Expected Maximum Profit</w:t>
      </w:r>
      <w:r>
        <w:t xml:space="preserve"> </w:t>
      </w:r>
      <w:r>
        <w:t xml:space="preserve">framework”</w:t>
      </w:r>
      <w:r>
        <w:t xml:space="preserve">] integrates over a probability distribution of cost</w:t>
      </w:r>
      <w:r>
        <w:t xml:space="preserve"> </w:t>
      </w:r>
      <w:r>
        <w:t xml:space="preserve">parameters to produce a single scalar metric that ranks classifiers</w:t>
      </w:r>
      <w:r>
        <w:t xml:space="preserve"> </w:t>
      </w:r>
      <w:r>
        <w:t xml:space="preserve">by their expected profitability under cost uncertainty. The EMP</w:t>
      </w:r>
      <w:r>
        <w:t xml:space="preserve"> </w:t>
      </w:r>
      <w:r>
        <w:t xml:space="preserve">framework is conceptually adjacent to the profit-driven cut-off</w:t>
      </w:r>
      <w:r>
        <w:t xml:space="preserve"> </w:t>
      </w:r>
      <w:r>
        <w:t xml:space="preserve">framework in this thesis but uses a different operationalisation:</w:t>
      </w:r>
      <w:r>
        <w:t xml:space="preserve"> </w:t>
      </w:r>
      <w:r>
        <w:t xml:space="preserve">EMP marginalises out the cost parameters, while the thesis here</w:t>
      </w:r>
      <w:r>
        <w:t xml:space="preserve"> </w:t>
      </w:r>
      <w:r>
        <w:t xml:space="preserve">holds the cost parameters explicit and evaluates the framework on a</w:t>
      </w:r>
      <w:r>
        <w:t xml:space="preserve"> </w:t>
      </w:r>
      <w:r>
        <w:t xml:space="preserve">discrete grid that spans the assumption space. The two</w:t>
      </w:r>
      <w:r>
        <w:t xml:space="preserve"> </w:t>
      </w:r>
      <w:r>
        <w:t xml:space="preserve">operationalisations answer different questions and are</w:t>
      </w:r>
      <w:r>
        <w:t xml:space="preserve"> </w:t>
      </w:r>
      <w:r>
        <w:t xml:space="preserve">complementary rather than substitutes.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responds to all three published-</w:t>
      </w:r>
      <w:r>
        <w:t xml:space="preserve"> </w:t>
      </w:r>
      <w:r>
        <w:t xml:space="preserve">evidence gaps. The single-illustrative-cell limitation is addressed</w:t>
      </w:r>
      <w:r>
        <w:t xml:space="preserve"> </w:t>
      </w:r>
      <w:r>
        <w:t xml:space="preserve">by the 576-cell economic stress grid (Chapter 4 §4.3) and the</w:t>
      </w:r>
      <w:r>
        <w:t xml:space="preserve"> </w:t>
      </w:r>
      <w:r>
        <w:t xml:space="preserve">64-cell extended Phase 4.2 stress space (Chapter 4 §4.5, §4.6,</w:t>
      </w:r>
      <w:r>
        <w:t xml:space="preserve"> </w:t>
      </w:r>
      <w:r>
        <w:t xml:space="preserve">§4.7). The PD-signal sensitivity gap is addressed by the Phase 4.2</w:t>
      </w:r>
      <w:r>
        <w:t xml:space="preserve"> </w:t>
      </w:r>
      <w:r>
        <w:t xml:space="preserve">PART A study (Chapter 4 §4.5), which produces the PD-signal</w:t>
      </w:r>
      <w:r>
        <w:t xml:space="preserve"> </w:t>
      </w:r>
      <w:r>
        <w:t xml:space="preserve">inversion finding documented as Contribution 3 in Chapter 1 §1.4.</w:t>
      </w:r>
      <w:r>
        <w:t xml:space="preserve"> </w:t>
      </w:r>
      <w:r>
        <w:t xml:space="preserve">The sampling-versus-assumption uncertainty gap is addressed by the</w:t>
      </w:r>
      <w:r>
        <w:t xml:space="preserve"> </w:t>
      </w:r>
      <w:r>
        <w:t xml:space="preserve">bootstrap-versus-assumption discipline of Contribution 4: the</w:t>
      </w:r>
      <w:r>
        <w:t xml:space="preserve"> </w:t>
      </w:r>
      <w:r>
        <w:t xml:space="preserve">Phase 4.1 1,000-resample bootstrap (Chapter 4 §4.4) quantifies</w:t>
      </w:r>
      <w:r>
        <w:t xml:space="preserve"> </w:t>
      </w:r>
      <w:r>
        <w:t xml:space="preserve">sampling uncertainty within the OOT economics population, and the</w:t>
      </w:r>
      <w:r>
        <w:t xml:space="preserve"> </w:t>
      </w:r>
      <w:r>
        <w:t xml:space="preserve">multi-dimensional stress grids quantify assumption uncertainty</w:t>
      </w:r>
      <w:r>
        <w:t xml:space="preserve"> </w:t>
      </w:r>
      <w:r>
        <w:t xml:space="preserve">separately. The single-period versus lifetime distinction is</w:t>
      </w:r>
      <w:r>
        <w:t xml:space="preserve"> </w:t>
      </w:r>
      <w:r>
        <w:t xml:space="preserve">addressed by Contribution 1 — the tenor-aware Lifetime Net Margin</w:t>
      </w:r>
      <w:r>
        <w:t xml:space="preserve"> </w:t>
      </w:r>
      <w:r>
        <w:t xml:space="preserve">formula stack (Chapter 3 §3.4) — with empirical evidence of the</w:t>
      </w:r>
      <w:r>
        <w:t xml:space="preserve"> </w:t>
      </w:r>
      <w:r>
        <w:t xml:space="preserve">magnitude of the single-period bias documented in Chapter 4 §4.2.</w:t>
      </w:r>
    </w:p>
    <w:p>
      <w:r>
        <w:pict>
          <v:rect style="width:0;height:1.5pt" o:hralign="center" o:hrstd="t" o:hr="t"/>
        </w:pict>
      </w:r>
    </w:p>
    <w:bookmarkEnd w:id="19"/>
    <w:bookmarkStart w:id="20" w:name="lifetime-expected-loss-and-ifrs-9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2.3 Lifetime Expected Loss and IFRS 9</w:t>
      </w:r>
    </w:p>
    <w:p>
      <w:pPr>
        <w:pStyle w:val="FirstParagraph"/>
      </w:pPr>
      <w:r>
        <w:t xml:space="preserve">Lifetime Expected Loss (ECL) measurement entered the regulatory</w:t>
      </w:r>
      <w:r>
        <w:t xml:space="preserve"> </w:t>
      </w:r>
      <w:r>
        <w:t xml:space="preserve">mainstream through the IFRS 9 financial reporting standard, which</w:t>
      </w:r>
      <w:r>
        <w:t xml:space="preserve"> </w:t>
      </w:r>
      <w:r>
        <w:t xml:space="preserve">replaced the incurred-loss model of IAS 39 with an expected-loss</w:t>
      </w:r>
      <w:r>
        <w:t xml:space="preserve"> </w:t>
      </w:r>
      <w:r>
        <w:t xml:space="preserve">model effective from 2018 [TODO: cite IFRS 9 standard; Beerbaum</w:t>
      </w:r>
      <w:r>
        <w:t xml:space="preserve"> </w:t>
      </w:r>
      <w:r>
        <w:t xml:space="preserve">2015</w:t>
      </w:r>
      <w:r>
        <w:t xml:space="preserve"> </w:t>
      </w:r>
      <w:r>
        <w:t xml:space="preserve">“Significant Increase in Credit Risk under IFRS 9”</w:t>
      </w:r>
      <w:r>
        <w:t xml:space="preserve">]. Under</w:t>
      </w:r>
      <w:r>
        <w:t xml:space="preserve"> </w:t>
      </w:r>
      <w:r>
        <w:t xml:space="preserve">IFRS 9, lifetime ECL must be recognised on Stage 2 and Stage 3</w:t>
      </w:r>
      <w:r>
        <w:t xml:space="preserve"> </w:t>
      </w:r>
      <w:r>
        <w:t xml:space="preserve">financial assets, defined respectively as assets with significantly</w:t>
      </w:r>
      <w:r>
        <w:t xml:space="preserve"> </w:t>
      </w:r>
      <w:r>
        <w:t xml:space="preserve">increased credit risk since origination and assets that are</w:t>
      </w:r>
      <w:r>
        <w:t xml:space="preserve"> </w:t>
      </w:r>
      <w:r>
        <w:t xml:space="preserve">credit-impaired. The standard form of the lifetime-ECL formula is:</w:t>
      </w:r>
    </w:p>
    <w:p>
      <w:pPr>
        <w:pStyle w:val="BlockText"/>
      </w:pPr>
      <w:r>
        <w:t xml:space="preserve">LT_EL = Σ_t marginal_PD_t · LGD · EAD_t · discount_t</w:t>
      </w:r>
    </w:p>
    <w:p>
      <w:pPr>
        <w:pStyle w:val="FirstParagraph"/>
      </w:pPr>
      <w:r>
        <w:t xml:space="preserve">where the sum runs over the remaining life of the asset,</w:t>
      </w:r>
      <w:r>
        <w:t xml:space="preserve"> </w:t>
      </w:r>
      <w:r>
        <w:rPr>
          <w:rStyle w:val="VerbatimChar"/>
        </w:rPr>
        <w:t xml:space="preserve">marginal_PD_t</w:t>
      </w:r>
      <w:r>
        <w:t xml:space="preserve"> </w:t>
      </w:r>
      <w:r>
        <w:t xml:space="preserve">is the conditional probability of default in period</w:t>
      </w:r>
      <w:r>
        <w:t xml:space="preserve"> </w:t>
      </w:r>
      <w:r>
        <w:t xml:space="preserve">t given survival up to period t,</w:t>
      </w:r>
      <w:r>
        <w:t xml:space="preserve"> </w:t>
      </w:r>
      <w:r>
        <w:rPr>
          <w:rStyle w:val="VerbatimChar"/>
        </w:rPr>
        <w:t xml:space="preserve">EAD_t</w:t>
      </w:r>
      <w:r>
        <w:t xml:space="preserve"> </w:t>
      </w:r>
      <w:r>
        <w:t xml:space="preserve">is the exposure at default</w:t>
      </w:r>
      <w:r>
        <w:t xml:space="preserve"> </w:t>
      </w:r>
      <w:r>
        <w:t xml:space="preserve">in period t,</w:t>
      </w:r>
      <w:r>
        <w:t xml:space="preserve"> </w:t>
      </w:r>
      <w:r>
        <w:rPr>
          <w:rStyle w:val="VerbatimChar"/>
        </w:rPr>
        <w:t xml:space="preserve">LGD</w:t>
      </w:r>
      <w:r>
        <w:t xml:space="preserve"> </w:t>
      </w:r>
      <w:r>
        <w:t xml:space="preserve">is the loss given default, and</w:t>
      </w:r>
      <w:r>
        <w:t xml:space="preserve"> </w:t>
      </w:r>
      <w:r>
        <w:rPr>
          <w:rStyle w:val="VerbatimChar"/>
        </w:rPr>
        <w:t xml:space="preserve">discount_t</w:t>
      </w:r>
      <w:r>
        <w:t xml:space="preserve"> </w:t>
      </w:r>
      <w:r>
        <w:t xml:space="preserve">is</w:t>
      </w:r>
      <w:r>
        <w:t xml:space="preserve"> </w:t>
      </w:r>
      <w:r>
        <w:t xml:space="preserve">the period-t discount factor.</w:t>
      </w:r>
    </w:p>
    <w:p>
      <w:pPr>
        <w:pStyle w:val="BodyText"/>
      </w:pPr>
      <w:r>
        <w:t xml:space="preserve">The IFRS 9 standard has produced a substantial implementation</w:t>
      </w:r>
      <w:r>
        <w:t xml:space="preserve"> </w:t>
      </w:r>
      <w:r>
        <w:t xml:space="preserve">literature in retail credit modelling [TODO: cite Krüger, Rösch &amp;</w:t>
      </w:r>
      <w:r>
        <w:t xml:space="preserve"> </w:t>
      </w:r>
      <w:r>
        <w:t xml:space="preserve">Scheule 2018 IFRS 9 implementation; PwC 2017 IFRS 9 implementation</w:t>
      </w:r>
      <w:r>
        <w:t xml:space="preserve"> </w:t>
      </w:r>
      <w:r>
        <w:t xml:space="preserve">guidance; Skoglund 2017</w:t>
      </w:r>
      <w:r>
        <w:t xml:space="preserve"> </w:t>
      </w:r>
      <w:r>
        <w:t xml:space="preserve">“Implementing Credit Risk Models for IFRS</w:t>
      </w:r>
      <w:r>
        <w:t xml:space="preserve"> </w:t>
      </w:r>
      <w:r>
        <w:t xml:space="preserve">9”</w:t>
      </w:r>
      <w:r>
        <w:t xml:space="preserve">]. The literature emphasises three implementation challenges.</w:t>
      </w:r>
      <w:r>
        <w:t xml:space="preserve"> </w:t>
      </w:r>
      <w:r>
        <w:t xml:space="preserve">First, the marginal PD term requires a tenor-aware PD model that</w:t>
      </w:r>
      <w:r>
        <w:t xml:space="preserve"> </w:t>
      </w:r>
      <w:r>
        <w:t xml:space="preserve">produces conditional default probabilities for every period of the</w:t>
      </w:r>
      <w:r>
        <w:t xml:space="preserve"> </w:t>
      </w:r>
      <w:r>
        <w:t xml:space="preserve">loan’s remaining life, not just a single 12-month forward PD.</w:t>
      </w:r>
      <w:r>
        <w:t xml:space="preserve"> </w:t>
      </w:r>
      <w:r>
        <w:t xml:space="preserve">Second, the LGD term must reflect post-default recovery behaviour</w:t>
      </w:r>
      <w:r>
        <w:t xml:space="preserve"> </w:t>
      </w:r>
      <w:r>
        <w:t xml:space="preserve">over the loss-period, which in unsecured consumer credit typically</w:t>
      </w:r>
      <w:r>
        <w:t xml:space="preserve"> </w:t>
      </w:r>
      <w:r>
        <w:t xml:space="preserve">requires a recovery curve fit to historical workout data. Third,</w:t>
      </w:r>
      <w:r>
        <w:t xml:space="preserve"> </w:t>
      </w:r>
      <w:r>
        <w:t xml:space="preserve">the discount factor must be consistent across the lifetime PD, the</w:t>
      </w:r>
      <w:r>
        <w:t xml:space="preserve"> </w:t>
      </w:r>
      <w:r>
        <w:t xml:space="preserve">LGD, and the EAD components, with the effective interest rate at</w:t>
      </w:r>
      <w:r>
        <w:t xml:space="preserve"> </w:t>
      </w:r>
      <w:r>
        <w:t xml:space="preserve">origination being the IFRS 9-conventional choice.</w:t>
      </w:r>
    </w:p>
    <w:p>
      <w:pPr>
        <w:pStyle w:val="BodyText"/>
      </w:pPr>
      <w:r>
        <w:t xml:space="preserve">A parallel literature on LGD modelling in unsecured consumer credit</w:t>
      </w:r>
      <w:r>
        <w:t xml:space="preserve"> </w:t>
      </w:r>
      <w:r>
        <w:t xml:space="preserve">[TODO: cite Schuermann 2004</w:t>
      </w:r>
      <w:r>
        <w:t xml:space="preserve"> </w:t>
      </w:r>
      <w:r>
        <w:t xml:space="preserve">“What do we know about loss given</w:t>
      </w:r>
      <w:r>
        <w:t xml:space="preserve"> </w:t>
      </w:r>
      <w:r>
        <w:t xml:space="preserve">default?”</w:t>
      </w:r>
      <w:r>
        <w:t xml:space="preserve">; Bellotti &amp; Crook 2012 LGD models for unsecured consumer</w:t>
      </w:r>
      <w:r>
        <w:t xml:space="preserve"> </w:t>
      </w:r>
      <w:r>
        <w:t xml:space="preserve">credit] documents the empirical difficulties of estimating LGD from</w:t>
      </w:r>
      <w:r>
        <w:t xml:space="preserve"> </w:t>
      </w:r>
      <w:r>
        <w:t xml:space="preserve">post-default recovery data: censoring of the workout period,</w:t>
      </w:r>
      <w:r>
        <w:t xml:space="preserve"> </w:t>
      </w:r>
      <w:r>
        <w:t xml:space="preserve">heterogeneity across borrower segments, and the strong influence of</w:t>
      </w:r>
      <w:r>
        <w:t xml:space="preserve"> </w:t>
      </w:r>
      <w:r>
        <w:t xml:space="preserve">collection-policy design on realised recoveries. Most published</w:t>
      </w:r>
      <w:r>
        <w:t xml:space="preserve"> </w:t>
      </w:r>
      <w:r>
        <w:t xml:space="preserve">profit-curve analyses sidestep these difficulties by adopting a</w:t>
      </w:r>
      <w:r>
        <w:t xml:space="preserve"> </w:t>
      </w:r>
      <w:r>
        <w:t xml:space="preserve">fixed exogenous LGD assumption, a practice this thesis follows.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adopts a tenor-aware Lifetime Net</w:t>
      </w:r>
      <w:r>
        <w:t xml:space="preserve"> </w:t>
      </w:r>
      <w:r>
        <w:t xml:space="preserve">Margin formula stack (Chapter 3 §3.4) that is structurally</w:t>
      </w:r>
      <w:r>
        <w:t xml:space="preserve"> </w:t>
      </w:r>
      <w:r>
        <w:t xml:space="preserve">compatible with IFRS 9 lifetime-ECL conventions: the lifetime</w:t>
      </w:r>
      <w:r>
        <w:t xml:space="preserve"> </w:t>
      </w:r>
      <w:r>
        <w:t xml:space="preserve">expected loss component uses the same</w:t>
      </w:r>
      <w:r>
        <w:t xml:space="preserve"> </w:t>
      </w:r>
      <w:r>
        <w:rPr>
          <w:rStyle w:val="VerbatimChar"/>
        </w:rPr>
        <w:t xml:space="preserve">Σ_t marginal_PD_t · LGD · EAD_t · discount_t</w:t>
      </w:r>
      <w:r>
        <w:t xml:space="preserve"> </w:t>
      </w:r>
      <w:r>
        <w:t xml:space="preserve">form. The marginal PDs are derived from the</w:t>
      </w:r>
      <w:r>
        <w:t xml:space="preserve"> </w:t>
      </w:r>
      <w:r>
        <w:t xml:space="preserve">LightGBM Platt-calibrated 12-month forward PD via the constant-</w:t>
      </w:r>
      <w:r>
        <w:t xml:space="preserve"> </w:t>
      </w:r>
      <w:r>
        <w:t xml:space="preserve">hazard extrapolation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, an explicit</w:t>
      </w:r>
      <w:r>
        <w:t xml:space="preserve"> </w:t>
      </w:r>
      <w:r>
        <w:t xml:space="preserve">simplification documented as Limitation 5 in Chapter 6 §6.1 with</w:t>
      </w:r>
      <w:r>
        <w:t xml:space="preserve"> </w:t>
      </w:r>
      <w:r>
        <w:t xml:space="preserve">the declining-hazard alternative catalogued as Future Work F4. The</w:t>
      </w:r>
      <w:r>
        <w:t xml:space="preserve"> </w:t>
      </w:r>
      <w:r>
        <w:t xml:space="preserve">EAD curve is derived from the locked amortization schedule for each</w:t>
      </w:r>
      <w:r>
        <w:t xml:space="preserve"> </w:t>
      </w:r>
      <w:r>
        <w:t xml:space="preserve">loan tenor, and the discount factor uses the locked discount-rate</w:t>
      </w:r>
      <w:r>
        <w:t xml:space="preserve"> </w:t>
      </w:r>
      <w:r>
        <w:t xml:space="preserve">convention. The LGD assumption is exogenous (0.65 base case,</w:t>
      </w:r>
      <w:r>
        <w:t xml:space="preserve"> </w:t>
      </w:r>
      <w:r>
        <w:t xml:space="preserve">sensitivity grid {0.45, 0.55, 0.65, 0.75, 0.85}) rather than</w:t>
      </w:r>
      <w:r>
        <w:t xml:space="preserve"> </w:t>
      </w:r>
      <w:r>
        <w:t xml:space="preserve">empirically calibrated against the simulator’s transaction trace;</w:t>
      </w:r>
      <w:r>
        <w:t xml:space="preserve"> </w:t>
      </w:r>
      <w:r>
        <w:t xml:space="preserve">empirical LGD recovery is catalogued as Future Work F1 in</w:t>
      </w:r>
      <w:r>
        <w:t xml:space="preserve"> </w:t>
      </w:r>
      <w:r>
        <w:t xml:space="preserve">Chapter 6 §6.2. The thesis applies the lifetime-ECL formula stack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cut-off optimisation</w:t>
      </w:r>
      <w:r>
        <w:t xml:space="preserve"> </w:t>
      </w:r>
      <w:r>
        <w:t xml:space="preserve">rather than to</w:t>
      </w:r>
      <w:r>
        <w:t xml:space="preserve"> </w:t>
      </w:r>
      <w:r>
        <w:rPr>
          <w:i/>
          <w:iCs/>
        </w:rPr>
        <w:t xml:space="preserve">provisioning</w:t>
      </w:r>
      <w:r>
        <w:t xml:space="preserve">, but the</w:t>
      </w:r>
      <w:r>
        <w:t xml:space="preserve"> </w:t>
      </w:r>
      <w:r>
        <w:t xml:space="preserve">unification of the two uses on the same locked formula stack is a</w:t>
      </w:r>
      <w:r>
        <w:t xml:space="preserve"> </w:t>
      </w:r>
      <w:r>
        <w:t xml:space="preserve">small methodological contribution: the same 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could in principle support both the cut-off</w:t>
      </w:r>
      <w:r>
        <w:t xml:space="preserve"> </w:t>
      </w:r>
      <w:r>
        <w:t xml:space="preserve">optimisation reported in Chapter 4 and a Stage 2/3 provisioning</w:t>
      </w:r>
      <w:r>
        <w:t xml:space="preserve"> </w:t>
      </w:r>
      <w:r>
        <w:t xml:space="preserve">calculation under IFRS 9, although the thesis does not exercise the</w:t>
      </w:r>
      <w:r>
        <w:t xml:space="preserve"> </w:t>
      </w:r>
      <w:r>
        <w:t xml:space="preserve">second use.</w:t>
      </w:r>
    </w:p>
    <w:p>
      <w:r>
        <w:pict>
          <v:rect style="width:0;height:1.5pt" o:hralign="center" o:hrstd="t" o:hr="t"/>
        </w:pict>
      </w:r>
    </w:p>
    <w:bookmarkEnd w:id="20"/>
    <w:bookmarkStart w:id="21" w:name="X246a77309c8a696ca3407c8f747090beac4383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2.4 Stress testing methodology in retail credit</w:t>
      </w:r>
    </w:p>
    <w:p>
      <w:pPr>
        <w:pStyle w:val="FirstParagraph"/>
      </w:pPr>
      <w:r>
        <w:t xml:space="preserve">Stress testing in retail credit risk is a long-established</w:t>
      </w:r>
      <w:r>
        <w:t xml:space="preserve"> </w:t>
      </w:r>
      <w:r>
        <w:t xml:space="preserve">practice, both for regulatory capital purposes (Basel II/III stress</w:t>
      </w:r>
      <w:r>
        <w:t xml:space="preserve"> </w:t>
      </w:r>
      <w:r>
        <w:t xml:space="preserve">tests, CCAR/DFAST in the United States, EBA stress tests in Europe)</w:t>
      </w:r>
      <w:r>
        <w:t xml:space="preserve"> </w:t>
      </w:r>
      <w:r>
        <w:t xml:space="preserve">[TODO: cite Basel stress-testing principles BCBS 2018; CCAR/DFAST</w:t>
      </w:r>
      <w:r>
        <w:t xml:space="preserve"> </w:t>
      </w:r>
      <w:r>
        <w:t xml:space="preserve">methodology; EBA stress test methodology] and for internal</w:t>
      </w:r>
      <w:r>
        <w:t xml:space="preserve"> </w:t>
      </w:r>
      <w:r>
        <w:t xml:space="preserve">portfolio management. The published academic and practitioner</w:t>
      </w:r>
      <w:r>
        <w:t xml:space="preserve"> </w:t>
      </w:r>
      <w:r>
        <w:t xml:space="preserve">literature on retail-credit stress testing has, however, two</w:t>
      </w:r>
      <w:r>
        <w:t xml:space="preserve"> </w:t>
      </w:r>
      <w:r>
        <w:t xml:space="preserve">dominant tendencies that limit its applicability to profit-driven</w:t>
      </w:r>
      <w:r>
        <w:t xml:space="preserve"> </w:t>
      </w:r>
      <w:r>
        <w:t xml:space="preserve">cut-off selection.</w:t>
      </w:r>
    </w:p>
    <w:p>
      <w:pPr>
        <w:pStyle w:val="BodyText"/>
      </w:pPr>
      <w:r>
        <w:t xml:space="preserve">First, most published stress-testing analyses vary one or two</w:t>
      </w:r>
      <w:r>
        <w:t xml:space="preserve"> </w:t>
      </w:r>
      <w:r>
        <w:t xml:space="preserve">parameters at a time [TODO: cite Bellotti &amp; Crook 2009</w:t>
      </w:r>
      <w:r>
        <w:t xml:space="preserve"> </w:t>
      </w:r>
      <w:r>
        <w:t xml:space="preserve">“Credit</w:t>
      </w:r>
      <w:r>
        <w:t xml:space="preserve"> </w:t>
      </w:r>
      <w:r>
        <w:t xml:space="preserve">scoring with macroeconomic variables using survival analysis”</w:t>
      </w:r>
      <w:r>
        <w:t xml:space="preserve">;</w:t>
      </w:r>
      <w:r>
        <w:t xml:space="preserve"> </w:t>
      </w:r>
      <w:r>
        <w:t xml:space="preserve">Verbraken, Verbeke &amp; Baesens 2014]. Single-axis sensitivity is the</w:t>
      </w:r>
      <w:r>
        <w:t xml:space="preserve"> </w:t>
      </w:r>
      <w:r>
        <w:t xml:space="preserve">dominant pattern: the analyst varies the macroeconomic stress</w:t>
      </w:r>
      <w:r>
        <w:t xml:space="preserve"> </w:t>
      </w:r>
      <w:r>
        <w:t xml:space="preserve">driver (GDP growth, unemployment rate, house price index) while</w:t>
      </w:r>
      <w:r>
        <w:t xml:space="preserve"> </w:t>
      </w:r>
      <w:r>
        <w:t xml:space="preserve">holding the model and the cost stack fixed, or varies the LGD</w:t>
      </w:r>
      <w:r>
        <w:t xml:space="preserve"> </w:t>
      </w:r>
      <w:r>
        <w:t xml:space="preserve">assumption while holding the PD and the macroeconomic inputs fixed.</w:t>
      </w:r>
      <w:r>
        <w:t xml:space="preserve"> </w:t>
      </w:r>
      <w:r>
        <w:t xml:space="preserve">Joint stress on multiple axes simultaneously is rare in published</w:t>
      </w:r>
      <w:r>
        <w:t xml:space="preserve"> </w:t>
      </w:r>
      <w:r>
        <w:t xml:space="preserve">profit-curve analyses, and the consequence is that joint-extreme</w:t>
      </w:r>
      <w:r>
        <w:t xml:space="preserve"> </w:t>
      </w:r>
      <w:r>
        <w:t xml:space="preserve">behaviours — which can be qualitatively different from the</w:t>
      </w:r>
      <w:r>
        <w:t xml:space="preserve"> </w:t>
      </w:r>
      <w:r>
        <w:t xml:space="preserve">marginal-extreme behaviours — are systematically under-detected.</w:t>
      </w:r>
    </w:p>
    <w:p>
      <w:pPr>
        <w:pStyle w:val="BodyText"/>
      </w:pPr>
      <w:r>
        <w:t xml:space="preserve">Second, cost-sensitive learning [TODO: cite Elkan 2001] and</w:t>
      </w:r>
      <w:r>
        <w:t xml:space="preserve"> </w:t>
      </w:r>
      <w:r>
        <w:t xml:space="preserve">cost-sensitive evaluation [TODO: cite Verbraken et al. 2014 EMP</w:t>
      </w:r>
      <w:r>
        <w:t xml:space="preserve"> </w:t>
      </w:r>
      <w:r>
        <w:t xml:space="preserve">framework] have produced a parallel literature on incorporating</w:t>
      </w:r>
      <w:r>
        <w:t xml:space="preserve"> </w:t>
      </w:r>
      <w:r>
        <w:t xml:space="preserve">asymmetric misclassification costs into model training and</w:t>
      </w:r>
      <w:r>
        <w:t xml:space="preserve"> </w:t>
      </w:r>
      <w:r>
        <w:t xml:space="preserve">evaluation. The Expected Maximum Profit (EMP) framework, discussed</w:t>
      </w:r>
      <w:r>
        <w:t xml:space="preserve"> </w:t>
      </w:r>
      <w:r>
        <w:t xml:space="preserve">in §2.2 above, is the canonical cost-sensitive evaluation metric in</w:t>
      </w:r>
      <w:r>
        <w:t xml:space="preserve"> </w:t>
      </w:r>
      <w:r>
        <w:t xml:space="preserve">the credit-scoring literature; it is conceptually adjacent to the</w:t>
      </w:r>
      <w:r>
        <w:t xml:space="preserve"> </w:t>
      </w:r>
      <w:r>
        <w:t xml:space="preserve">multi-dimensional stress design adopted in this thesis but uses a</w:t>
      </w:r>
      <w:r>
        <w:t xml:space="preserve"> </w:t>
      </w:r>
      <w:r>
        <w:t xml:space="preserve">different operationalisation as noted earlier.</w:t>
      </w:r>
    </w:p>
    <w:p>
      <w:pPr>
        <w:pStyle w:val="BodyText"/>
      </w:pPr>
      <w:r>
        <w:t xml:space="preserve">Simulation-based credit-risk methodology [TODO: cite Bohn &amp; Stein</w:t>
      </w:r>
      <w:r>
        <w:t xml:space="preserve"> </w:t>
      </w:r>
      <w:r>
        <w:t xml:space="preserve">2009</w:t>
      </w:r>
      <w:r>
        <w:t xml:space="preserve"> </w:t>
      </w:r>
      <w:r>
        <w:t xml:space="preserve">“Active Credit Portfolio Management in Practice”</w:t>
      </w:r>
      <w:r>
        <w:t xml:space="preserve">; Allen &amp;</w:t>
      </w:r>
      <w:r>
        <w:t xml:space="preserve"> </w:t>
      </w:r>
      <w:r>
        <w:t xml:space="preserve">Saunders 2003 retail-credit simulation review] forms a third strand</w:t>
      </w:r>
      <w:r>
        <w:t xml:space="preserve"> </w:t>
      </w:r>
      <w:r>
        <w:t xml:space="preserve">of relevant literature. Simulation has been used to quantify the</w:t>
      </w:r>
      <w:r>
        <w:t xml:space="preserve"> </w:t>
      </w:r>
      <w:r>
        <w:t xml:space="preserve">impact of correlated defaults on portfolio loss distributions, to</w:t>
      </w:r>
      <w:r>
        <w:t xml:space="preserve"> </w:t>
      </w:r>
      <w:r>
        <w:t xml:space="preserve">evaluate stress-testing assumptions under controlled conditions,</w:t>
      </w:r>
      <w:r>
        <w:t xml:space="preserve"> </w:t>
      </w:r>
      <w:r>
        <w:t xml:space="preserve">and to back-test risk models on hypothetical adverse scenarios.</w:t>
      </w:r>
      <w:r>
        <w:t xml:space="preserve"> </w:t>
      </w:r>
      <w:r>
        <w:t xml:space="preserve">The use of simulation in this thesis is methodological in the same</w:t>
      </w:r>
      <w:r>
        <w:t xml:space="preserve"> </w:t>
      </w:r>
      <w:r>
        <w:t xml:space="preserve">spirit: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allows the</w:t>
      </w:r>
      <w:r>
        <w:t xml:space="preserve"> </w:t>
      </w:r>
      <w:r>
        <w:t xml:space="preserve">methodology to be tested under controlled APR and LGD assumptions</w:t>
      </w:r>
      <w:r>
        <w:t xml:space="preserve"> </w:t>
      </w:r>
      <w:r>
        <w:t xml:space="preserve">and a known data-generating process, so that observed effects can</w:t>
      </w:r>
      <w:r>
        <w:t xml:space="preserve"> </w:t>
      </w:r>
      <w:r>
        <w:t xml:space="preserve">be attributed to the cut-off framework itself rather than to</w:t>
      </w:r>
      <w:r>
        <w:t xml:space="preserve"> </w:t>
      </w:r>
      <w:r>
        <w:t xml:space="preserve">omitted real-data confounders.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thesis’s contribution in this strand is</w:t>
      </w:r>
      <w:r>
        <w:t xml:space="preserve"> </w:t>
      </w:r>
      <w:r>
        <w:t xml:space="preserve">the multi-dimensional stress design, which crosses six dimensions</w:t>
      </w:r>
      <w:r>
        <w:t xml:space="preserve"> </w:t>
      </w:r>
      <w:r>
        <w:t xml:space="preserve">(PD multiplier, APR strategy, acquisition cost, LGD, cost of funds,</w:t>
      </w:r>
      <w:r>
        <w:t xml:space="preserve"> </w:t>
      </w:r>
      <w:r>
        <w:t xml:space="preserve">and operating cost) in the Phase 4.2 extended stress space</w:t>
      </w:r>
      <w:r>
        <w:t xml:space="preserve"> </w:t>
      </w:r>
      <w:r>
        <w:t xml:space="preserve">(Chapter 4 §4.5, §4.6, §4.7). The empirical motivation for the</w:t>
      </w:r>
      <w:r>
        <w:t xml:space="preserve"> </w:t>
      </w:r>
      <w:r>
        <w:t xml:space="preserve">multi-dimensional design is the finding that the only reject-most</w:t>
      </w:r>
      <w:r>
        <w:t xml:space="preserve"> </w:t>
      </w:r>
      <w:r>
        <w:t xml:space="preserve">regime in the entire 64-cell stress space 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 all six dimensions — a regime that no</w:t>
      </w:r>
      <w:r>
        <w:t xml:space="preserve"> </w:t>
      </w:r>
      <w:r>
        <w:t xml:space="preserve">single-axis study would have detected. Single-axis sensitivity is</w:t>
      </w:r>
      <w:r>
        <w:t xml:space="preserve"> </w:t>
      </w:r>
      <w:r>
        <w:t xml:space="preserve">therefore positioned in this thesis as insufficient for</w:t>
      </w:r>
      <w:r>
        <w:t xml:space="preserve"> </w:t>
      </w:r>
      <w:r>
        <w:t xml:space="preserve">characterising the robustness of a cut-off framework, and the</w:t>
      </w:r>
      <w:r>
        <w:t xml:space="preserve"> </w:t>
      </w:r>
      <w:r>
        <w:t xml:space="preserve">multi-dimensional approach is offered as the methodological</w:t>
      </w:r>
      <w:r>
        <w:t xml:space="preserve"> </w:t>
      </w:r>
      <w:r>
        <w:t xml:space="preserve">alternative (Contribution 2 in Chapter 1 §1.4).</w:t>
      </w:r>
    </w:p>
    <w:p>
      <w:r>
        <w:pict>
          <v:rect style="width:0;height:1.5pt" o:hralign="center" o:hrstd="t" o:hr="t"/>
        </w:pict>
      </w:r>
    </w:p>
    <w:bookmarkEnd w:id="21"/>
    <w:bookmarkStart w:id="22" w:name="pd-modelling-and-calibratio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2.5 PD modelling and calibration</w:t>
      </w:r>
    </w:p>
    <w:p>
      <w:pPr>
        <w:pStyle w:val="FirstParagraph"/>
      </w:pPr>
      <w:r>
        <w:t xml:space="preserve">PD modelling for retail credit has historically been dominated by</w:t>
      </w:r>
      <w:r>
        <w:t xml:space="preserve"> </w:t>
      </w:r>
      <w:r>
        <w:t xml:space="preserve">logistic-regression scorecards [TODO: cite Thomas, Edelman &amp; Crook</w:t>
      </w:r>
      <w:r>
        <w:t xml:space="preserve"> </w:t>
      </w:r>
      <w:r>
        <w:t xml:space="preserve">2002</w:t>
      </w:r>
      <w:r>
        <w:t xml:space="preserve"> </w:t>
      </w:r>
      <w:r>
        <w:t xml:space="preserve">“Credit Scoring and its Applications”</w:t>
      </w:r>
      <w:r>
        <w:t xml:space="preserve">; Siddiqi 2006/2017</w:t>
      </w:r>
      <w:r>
        <w:t xml:space="preserve"> </w:t>
      </w:r>
      <w:r>
        <w:t xml:space="preserve">scorecard development]. The classical workflow combines</w:t>
      </w:r>
      <w:r>
        <w:t xml:space="preserve"> </w:t>
      </w:r>
      <w:r>
        <w:t xml:space="preserve">weight-of-evidence (WoE) feature transformation, information-value</w:t>
      </w:r>
      <w:r>
        <w:t xml:space="preserve"> </w:t>
      </w:r>
      <w:r>
        <w:t xml:space="preserve">variable screening, lasso or stepwise variable selection, and</w:t>
      </w:r>
      <w:r>
        <w:t xml:space="preserve"> </w:t>
      </w:r>
      <w:r>
        <w:t xml:space="preserve">logistic-regression coefficient estimation, with the final score</w:t>
      </w:r>
      <w:r>
        <w:t xml:space="preserve"> </w:t>
      </w:r>
      <w:r>
        <w:t xml:space="preserve">scaled to a points-and-points-to-double-the-odds (PDO) format for</w:t>
      </w:r>
      <w:r>
        <w:t xml:space="preserve"> </w:t>
      </w:r>
      <w:r>
        <w:t xml:space="preserve">human interpretability. The WoE-and-scorecard tradition remains the</w:t>
      </w:r>
      <w:r>
        <w:t xml:space="preserve"> </w:t>
      </w:r>
      <w:r>
        <w:t xml:space="preserve">dominant choice in regulated banking environments because of its</w:t>
      </w:r>
      <w:r>
        <w:t xml:space="preserve"> </w:t>
      </w:r>
      <w:r>
        <w:t xml:space="preserve">transparency and ease of model documentation under Basel II/III</w:t>
      </w:r>
      <w:r>
        <w:t xml:space="preserve"> </w:t>
      </w:r>
      <w:r>
        <w:t xml:space="preserve">model-risk-management standards.</w:t>
      </w:r>
    </w:p>
    <w:p>
      <w:pPr>
        <w:pStyle w:val="BodyText"/>
      </w:pPr>
      <w:r>
        <w:t xml:space="preserve">A parallel strand of the literature has documented the empirical</w:t>
      </w:r>
      <w:r>
        <w:t xml:space="preserve"> </w:t>
      </w:r>
      <w:r>
        <w:t xml:space="preserve">advantages of gradient-boosted machine-learning models over</w:t>
      </w:r>
      <w:r>
        <w:t xml:space="preserve"> </w:t>
      </w:r>
      <w:r>
        <w:t xml:space="preserve">logistic regression for credit-risk prediction. LightGBM [TODO:</w:t>
      </w:r>
      <w:r>
        <w:t xml:space="preserve"> </w:t>
      </w:r>
      <w:r>
        <w:t xml:space="preserve">cite Ke et al. 2017</w:t>
      </w:r>
      <w:r>
        <w:t xml:space="preserve"> </w:t>
      </w:r>
      <w:r>
        <w:t xml:space="preserve">“LightGBM: A Highly Efficient Gradient Boosting</w:t>
      </w:r>
      <w:r>
        <w:t xml:space="preserve"> </w:t>
      </w:r>
      <w:r>
        <w:t xml:space="preserve">Decision Tree”</w:t>
      </w:r>
      <w:r>
        <w:t xml:space="preserve">] and XGBoost [TODO: cite Chen &amp; Guestrin 2016</w:t>
      </w:r>
      <w:r>
        <w:t xml:space="preserve"> </w:t>
      </w:r>
      <w:r>
        <w:t xml:space="preserve">“XGBoost: A Scalable Tree Boosting System”</w:t>
      </w:r>
      <w:r>
        <w:t xml:space="preserve">] are the two most widely</w:t>
      </w:r>
      <w:r>
        <w:t xml:space="preserve"> </w:t>
      </w:r>
      <w:r>
        <w:t xml:space="preserve">deployed gradient-boosted frameworks in production credit scoring;</w:t>
      </w:r>
      <w:r>
        <w:t xml:space="preserve"> </w:t>
      </w:r>
      <w:r>
        <w:t xml:space="preserve">both consistently outperform logistic-regression scorecards on</w:t>
      </w:r>
      <w:r>
        <w:t xml:space="preserve"> </w:t>
      </w:r>
      <w:r>
        <w:t xml:space="preserve">discrimination metrics by a measurable margin in published</w:t>
      </w:r>
      <w:r>
        <w:t xml:space="preserve"> </w:t>
      </w:r>
      <w:r>
        <w:t xml:space="preserve">benchmarks [TODO: cite credit-risk LightGBM-versus-LR empirical</w:t>
      </w:r>
      <w:r>
        <w:t xml:space="preserve"> </w:t>
      </w:r>
      <w:r>
        <w:t xml:space="preserve">comparisons]. Hyperparameter optimisation for the gradient-boosted</w:t>
      </w:r>
      <w:r>
        <w:t xml:space="preserve"> </w:t>
      </w:r>
      <w:r>
        <w:t xml:space="preserve">track is typically performed with a Bayesian-optimisation framework</w:t>
      </w:r>
      <w:r>
        <w:t xml:space="preserve"> </w:t>
      </w:r>
      <w:r>
        <w:t xml:space="preserve">such as Optuna [TODO: cite Akiba et al. 2019</w:t>
      </w:r>
      <w:r>
        <w:t xml:space="preserve"> </w:t>
      </w:r>
      <w:r>
        <w:t xml:space="preserve">“Optuna: A</w:t>
      </w:r>
      <w:r>
        <w:t xml:space="preserve"> </w:t>
      </w:r>
      <w:r>
        <w:t xml:space="preserve">Next-generation Hyperparameter Optimization Framework”</w:t>
      </w:r>
      <w:r>
        <w:t xml:space="preserve">].</w:t>
      </w:r>
    </w:p>
    <w:p>
      <w:pPr>
        <w:pStyle w:val="BodyText"/>
      </w:pPr>
      <w:r>
        <w:t xml:space="preserve">A third literature distinguishes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calibration</w:t>
      </w:r>
      <w:r>
        <w:t xml:space="preserve">. Discrimination, as discussed in §2.1, measures how</w:t>
      </w:r>
      <w:r>
        <w:t xml:space="preserve"> </w:t>
      </w:r>
      <w:r>
        <w:t xml:space="preserve">well the model ranks borrowers; calibration measures how closely</w:t>
      </w:r>
      <w:r>
        <w:t xml:space="preserve"> </w:t>
      </w:r>
      <w:r>
        <w:t xml:space="preserve">the model’s predicted PDs match the empirical default frequencies</w:t>
      </w:r>
      <w:r>
        <w:t xml:space="preserve"> </w:t>
      </w:r>
      <w:r>
        <w:t xml:space="preserve">in equally-binned score ranges [TODO: cite Niculescu-Mizil &amp; Caruana</w:t>
      </w:r>
      <w:r>
        <w:t xml:space="preserve"> </w:t>
      </w:r>
      <w:r>
        <w:t xml:space="preserve">2005</w:t>
      </w:r>
      <w:r>
        <w:t xml:space="preserve"> </w:t>
      </w:r>
      <w:r>
        <w:t xml:space="preserve">“Predicting Good Probabilities with Supervised Learning”</w:t>
      </w:r>
      <w:r>
        <w:t xml:space="preserve">]. A</w:t>
      </w:r>
      <w:r>
        <w:t xml:space="preserve"> </w:t>
      </w:r>
      <w:r>
        <w:t xml:space="preserve">model can have high discrimination but poor calibration, or vice</w:t>
      </w:r>
      <w:r>
        <w:t xml:space="preserve"> </w:t>
      </w:r>
      <w:r>
        <w:t xml:space="preserve">versa, and the two qualities are required for different downstream</w:t>
      </w:r>
      <w:r>
        <w:t xml:space="preserve"> </w:t>
      </w:r>
      <w:r>
        <w:t xml:space="preserve">uses. Discrimination matters most for ranking-based decisions</w:t>
      </w:r>
      <w:r>
        <w:t xml:space="preserve"> </w:t>
      </w:r>
      <w:r>
        <w:t xml:space="preserve">(which borrowers to approve first); calibration matters most for</w:t>
      </w:r>
      <w:r>
        <w:t xml:space="preserve"> </w:t>
      </w:r>
      <w:r>
        <w:t xml:space="preserve">absolute-probability-based decisions (what dollar provision to set</w:t>
      </w:r>
      <w:r>
        <w:t xml:space="preserve"> </w:t>
      </w:r>
      <w:r>
        <w:t xml:space="preserve">against an account, what dollar profit to expect from approving an</w:t>
      </w:r>
      <w:r>
        <w:t xml:space="preserve"> </w:t>
      </w:r>
      <w:r>
        <w:t xml:space="preserve">account). The thesis’s profit-driven cut-off optimisation depends</w:t>
      </w:r>
      <w:r>
        <w:t xml:space="preserve"> </w:t>
      </w:r>
      <w:r>
        <w:t xml:space="preserve">on calibrated PDs because the lifetime EL component of the profit</w:t>
      </w:r>
      <w:r>
        <w:t xml:space="preserve"> </w:t>
      </w:r>
      <w:r>
        <w:t xml:space="preserve">formula multiplies absolute PD against LGD and EAD; un-calibrated</w:t>
      </w:r>
      <w:r>
        <w:t xml:space="preserve"> </w:t>
      </w:r>
      <w:r>
        <w:t xml:space="preserve">PDs would distort the per-account expected-profit estimates and</w:t>
      </w:r>
      <w:r>
        <w:t xml:space="preserve"> </w:t>
      </w:r>
      <w:r>
        <w:t xml:space="preserve">bias the cut-off optimum.</w:t>
      </w:r>
    </w:p>
    <w:p>
      <w:pPr>
        <w:pStyle w:val="BodyText"/>
      </w:pPr>
      <w:r>
        <w:t xml:space="preserve">Two calibration techniques are well-established in the credit-risk</w:t>
      </w:r>
      <w:r>
        <w:t xml:space="preserve"> </w:t>
      </w:r>
      <w:r>
        <w:t xml:space="preserve">literature. Platt scaling [TODO: cite Platt 1999</w:t>
      </w:r>
      <w:r>
        <w:t xml:space="preserve"> </w:t>
      </w:r>
      <w:r>
        <w:t xml:space="preserve">“Probabilistic</w:t>
      </w:r>
      <w:r>
        <w:t xml:space="preserve"> </w:t>
      </w:r>
      <w:r>
        <w:t xml:space="preserve">Outputs for Support Vector Machines”</w:t>
      </w:r>
      <w:r>
        <w:t xml:space="preserve">] fits a logistic regression of</w:t>
      </w:r>
      <w:r>
        <w:t xml:space="preserve"> </w:t>
      </w:r>
      <w:r>
        <w:t xml:space="preserve">the binary outcome on the model’s raw score, producing a parametric</w:t>
      </w:r>
      <w:r>
        <w:t xml:space="preserve"> </w:t>
      </w:r>
      <w:r>
        <w:t xml:space="preserve">monotonic transformation from raw scores to calibrated</w:t>
      </w:r>
      <w:r>
        <w:t xml:space="preserve"> </w:t>
      </w:r>
      <w:r>
        <w:t xml:space="preserve">probabilities. Isotonic regression [TODO: cite Zadrozny &amp; Elkan</w:t>
      </w:r>
      <w:r>
        <w:t xml:space="preserve"> </w:t>
      </w:r>
      <w:r>
        <w:t xml:space="preserve">2002</w:t>
      </w:r>
      <w:r>
        <w:t xml:space="preserve"> </w:t>
      </w:r>
      <w:r>
        <w:t xml:space="preserve">“Transforming classifier scores into accurate multi-class</w:t>
      </w:r>
      <w:r>
        <w:t xml:space="preserve"> </w:t>
      </w:r>
      <w:r>
        <w:t xml:space="preserve">probability estimates”</w:t>
      </w:r>
      <w:r>
        <w:t xml:space="preserve">] fits a non-parametric monotonic</w:t>
      </w:r>
      <w:r>
        <w:t xml:space="preserve"> </w:t>
      </w:r>
      <w:r>
        <w:t xml:space="preserve">transformation. Platt is the more widely used choice in production</w:t>
      </w:r>
      <w:r>
        <w:t xml:space="preserve"> </w:t>
      </w:r>
      <w:r>
        <w:t xml:space="preserve">credit-risk pipelines because it requires fewer parameters and is</w:t>
      </w:r>
      <w:r>
        <w:t xml:space="preserve"> </w:t>
      </w:r>
      <w:r>
        <w:t xml:space="preserve">less prone to overfitting on small calibration samples.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thesis’s PD modelling and calibration</w:t>
      </w:r>
      <w:r>
        <w:t xml:space="preserve"> </w:t>
      </w:r>
      <w:r>
        <w:t xml:space="preserve">design (Chapter 3 §3.3) is dual-track: a tree-based gradient-</w:t>
      </w:r>
      <w:r>
        <w:t xml:space="preserve"> </w:t>
      </w:r>
      <w:r>
        <w:t xml:space="preserve">boosted model (LightGBM tuned with Optuna and Platt-calibrated on a</w:t>
      </w:r>
      <w:r>
        <w:t xml:space="preserve"> </w:t>
      </w:r>
      <w:r>
        <w:t xml:space="preserve">leak-free temporal slice) serves as the primary PD source,</w:t>
      </w:r>
      <w:r>
        <w:t xml:space="preserve"> </w:t>
      </w:r>
      <w:r>
        <w:t xml:space="preserve">complemented by a Logistic Regression track on Lasso-selected</w:t>
      </w:r>
      <w:r>
        <w:t xml:space="preserve"> </w:t>
      </w:r>
      <w:r>
        <w:t xml:space="preserve">features and a WoE Scorecard for interpretability comparison. The</w:t>
      </w:r>
      <w:r>
        <w:t xml:space="preserve"> </w:t>
      </w:r>
      <w:r>
        <w:t xml:space="preserve">dual-track design is a deliberate response to the literature’s</w:t>
      </w:r>
      <w:r>
        <w:t xml:space="preserve"> </w:t>
      </w:r>
      <w:r>
        <w:t xml:space="preserve">split between modern-ML and classical-scorecard practice: by</w:t>
      </w:r>
      <w:r>
        <w:t xml:space="preserve"> </w:t>
      </w:r>
      <w:r>
        <w:t xml:space="preserve">maintaining both tracks throughout the empirical chain, the thesis</w:t>
      </w:r>
      <w:r>
        <w:t xml:space="preserve"> </w:t>
      </w:r>
      <w:r>
        <w:t xml:space="preserve">can compare the cut-off behaviour produced by the two paradigms on</w:t>
      </w:r>
      <w:r>
        <w:t xml:space="preserve"> </w:t>
      </w:r>
      <w:r>
        <w:t xml:space="preserve">the same locked economic framework. The discrimination-versus-</w:t>
      </w:r>
      <w:r>
        <w:t xml:space="preserve"> </w:t>
      </w:r>
      <w:r>
        <w:t xml:space="preserve">calibration distinction is also operationalised in the empirical</w:t>
      </w:r>
      <w:r>
        <w:t xml:space="preserve"> </w:t>
      </w:r>
      <w:r>
        <w:t xml:space="preserve">chain: Chapter 4 §4.1 reports both discrimination metrics (Gini,</w:t>
      </w:r>
      <w:r>
        <w:t xml:space="preserve"> </w:t>
      </w:r>
      <w:r>
        <w:t xml:space="preserve">AUC, KS) and calibration summaries (notably the predicted-to-</w:t>
      </w:r>
      <w:r>
        <w:t xml:space="preserve"> </w:t>
      </w:r>
      <w:r>
        <w:t xml:space="preserve">observed ratio on the eco-OOT subset) for every PD model, and the</w:t>
      </w:r>
      <w:r>
        <w:t xml:space="preserve"> </w:t>
      </w:r>
      <w:r>
        <w:t xml:space="preserve">LightGBM under-prediction on the eco-OOT subset (predicted-to-</w:t>
      </w:r>
      <w:r>
        <w:t xml:space="preserve"> </w:t>
      </w:r>
      <w:r>
        <w:t xml:space="preserve">observed ratio approximately 0.49,</w:t>
      </w:r>
      <w:r>
        <w:t xml:space="preserve"> </w:t>
      </w:r>
      <w:r>
        <w:t xml:space="preserve">documented as Limitation 6 in Chapter 6 §6.1) is identified</w:t>
      </w:r>
      <w:r>
        <w:t xml:space="preserve"> </w:t>
      </w:r>
      <w:r>
        <w:t xml:space="preserve">precisely because the calibration discipline distinguishes a</w:t>
      </w:r>
      <w:r>
        <w:t xml:space="preserve"> </w:t>
      </w:r>
      <w:r>
        <w:t xml:space="preserve">discrimination outcome from a calibration outcome.</w:t>
      </w:r>
    </w:p>
    <w:p>
      <w:r>
        <w:pict>
          <v:rect style="width:0;height:1.5pt" o:hralign="center" o:hrstd="t" o:hr="t"/>
        </w:pict>
      </w:r>
    </w:p>
    <w:bookmarkEnd w:id="22"/>
    <w:bookmarkStart w:id="23" w:name="X03fb2c767941209e652eadb6ffe5f8eaacdc27f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2.6 Synthetic data for methodological research</w:t>
      </w:r>
    </w:p>
    <w:p>
      <w:pPr>
        <w:pStyle w:val="FirstParagraph"/>
      </w:pPr>
      <w:r>
        <w:t xml:space="preserve">The use of synthetic data for methodological research in credit</w:t>
      </w:r>
      <w:r>
        <w:t xml:space="preserve"> </w:t>
      </w:r>
      <w:r>
        <w:t xml:space="preserve">risk is uncommon in the academic credit-scoring literature but has</w:t>
      </w:r>
      <w:r>
        <w:t xml:space="preserve"> </w:t>
      </w:r>
      <w:r>
        <w:t xml:space="preserve">antecedents in adjacent quantitative-finance and machine-learning</w:t>
      </w:r>
      <w:r>
        <w:t xml:space="preserve"> </w:t>
      </w:r>
      <w:r>
        <w:t xml:space="preserve">fields. Synthetic data generation is the dominant evaluation</w:t>
      </w:r>
      <w:r>
        <w:t xml:space="preserve"> </w:t>
      </w:r>
      <w:r>
        <w:t xml:space="preserve">strategy in domains where real data is restricted by privacy</w:t>
      </w:r>
      <w:r>
        <w:t xml:space="preserve"> </w:t>
      </w:r>
      <w:r>
        <w:t xml:space="preserve">regulation, by competitive sensitivity, or by physical</w:t>
      </w:r>
      <w:r>
        <w:t xml:space="preserve"> </w:t>
      </w:r>
      <w:r>
        <w:t xml:space="preserve">impossibility — the canonical examples are healthcare (HIPAA-</w:t>
      </w:r>
      <w:r>
        <w:t xml:space="preserve"> </w:t>
      </w:r>
      <w:r>
        <w:t xml:space="preserve">restricted patient data) [TODO: cite Patki et al. 2016</w:t>
      </w:r>
      <w:r>
        <w:t xml:space="preserve"> </w:t>
      </w:r>
      <w:r>
        <w:t xml:space="preserve">“The</w:t>
      </w:r>
      <w:r>
        <w:t xml:space="preserve"> </w:t>
      </w:r>
      <w:r>
        <w:t xml:space="preserve">Synthetic Data Vault”</w:t>
      </w:r>
      <w:r>
        <w:t xml:space="preserve">; Choi et al. 2017 medGAN] and high-frequency</w:t>
      </w:r>
      <w:r>
        <w:t xml:space="preserve"> </w:t>
      </w:r>
      <w:r>
        <w:t xml:space="preserve">finance (proprietary order-book data) [TODO: cite Buehler et al.</w:t>
      </w:r>
      <w:r>
        <w:t xml:space="preserve"> </w:t>
      </w:r>
      <w:r>
        <w:t xml:space="preserve">2020 synthetic order-book generators].</w:t>
      </w:r>
    </w:p>
    <w:p>
      <w:pPr>
        <w:pStyle w:val="BodyText"/>
      </w:pPr>
      <w:r>
        <w:t xml:space="preserve">In credit-scoring, synthetic-data methodology has been used most</w:t>
      </w:r>
      <w:r>
        <w:t xml:space="preserve"> </w:t>
      </w:r>
      <w:r>
        <w:t xml:space="preserve">often to evaluate fair-lending interventions or to stress-test</w:t>
      </w:r>
      <w:r>
        <w:t xml:space="preserve"> </w:t>
      </w:r>
      <w:r>
        <w:t xml:space="preserve">scoring algorithms against rare adverse scenarios that real data</w:t>
      </w:r>
      <w:r>
        <w:t xml:space="preserve"> </w:t>
      </w:r>
      <w:r>
        <w:t xml:space="preserve">does not contain [TODO: cite synthetic-data fair-lending literature,</w:t>
      </w:r>
      <w:r>
        <w:t xml:space="preserve"> </w:t>
      </w:r>
      <w:r>
        <w:t xml:space="preserve">e.g., Hardt, Price &amp; Srebro 2016 or Bellamy et al. 2018 IBM AIF360].</w:t>
      </w:r>
      <w:r>
        <w:t xml:space="preserve"> </w:t>
      </w:r>
      <w:r>
        <w:t xml:space="preserve">Public real-data alternatives — Lending Club, Freddie Mac</w:t>
      </w:r>
      <w:r>
        <w:t xml:space="preserve"> </w:t>
      </w:r>
      <w:r>
        <w:t xml:space="preserve">single-family, Bondora, the Home Credit Default Risk dataset on</w:t>
      </w:r>
      <w:r>
        <w:t xml:space="preserve"> </w:t>
      </w:r>
      <w:r>
        <w:t xml:space="preserve">Kaggle — are widely used for academic profit-curve and stress-</w:t>
      </w:r>
      <w:r>
        <w:t xml:space="preserve"> </w:t>
      </w:r>
      <w:r>
        <w:t xml:space="preserve">testing research and have the advantage of being directly</w:t>
      </w:r>
      <w:r>
        <w:t xml:space="preserve"> </w:t>
      </w:r>
      <w:r>
        <w:t xml:space="preserve">comparable to real production lending. They have, however, four</w:t>
      </w:r>
      <w:r>
        <w:t xml:space="preserve"> </w:t>
      </w:r>
      <w:r>
        <w:t xml:space="preserve">well-documented limitations that motivate the synthetic-data choice</w:t>
      </w:r>
      <w:r>
        <w:t xml:space="preserve"> </w:t>
      </w:r>
      <w:r>
        <w:t xml:space="preserve">in this thesis.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i/>
          <w:iCs/>
        </w:rPr>
        <w:t xml:space="preserve">sample selection</w:t>
      </w:r>
      <w:r>
        <w:t xml:space="preserve">: every public credit dataset is</w:t>
      </w:r>
      <w:r>
        <w:t xml:space="preserve"> </w:t>
      </w:r>
      <w:r>
        <w:t xml:space="preserve">conditioned on the originator’s approval policy at the time of</w:t>
      </w:r>
      <w:r>
        <w:t xml:space="preserve"> </w:t>
      </w:r>
      <w:r>
        <w:t xml:space="preserve">origination. The dataset therefore reflects only borrowers the</w:t>
      </w:r>
      <w:r>
        <w:t xml:space="preserve"> </w:t>
      </w:r>
      <w:r>
        <w:t xml:space="preserve">originator was willing to approve, not the full applicant</w:t>
      </w:r>
      <w:r>
        <w:t xml:space="preserve"> </w:t>
      </w:r>
      <w:r>
        <w:t xml:space="preserve">population. The cut-off optimisation question — what should the</w:t>
      </w:r>
      <w:r>
        <w:t xml:space="preserve"> </w:t>
      </w:r>
      <w:r>
        <w:t xml:space="preserve">optimal threshold be on the</w:t>
      </w:r>
      <w:r>
        <w:t xml:space="preserve"> </w:t>
      </w:r>
      <w:r>
        <w:rPr>
          <w:i/>
          <w:iCs/>
        </w:rPr>
        <w:t xml:space="preserve">applicant</w:t>
      </w:r>
      <w:r>
        <w:t xml:space="preserve"> </w:t>
      </w:r>
      <w:r>
        <w:t xml:space="preserve">population, including</w:t>
      </w:r>
      <w:r>
        <w:t xml:space="preserve"> </w:t>
      </w:r>
      <w:r>
        <w:t xml:space="preserve">borrowers the originator rejected — is structurally hard to answer</w:t>
      </w:r>
      <w:r>
        <w:t xml:space="preserve"> </w:t>
      </w:r>
      <w:r>
        <w:t xml:space="preserve">on a sample-selected dataset without reject-inference techniques</w:t>
      </w:r>
      <w:r>
        <w:t xml:space="preserve"> </w:t>
      </w:r>
      <w:r>
        <w:t xml:space="preserve">whose own assumptions are difficult to validate [TODO: cite</w:t>
      </w:r>
      <w:r>
        <w:t xml:space="preserve"> </w:t>
      </w:r>
      <w:r>
        <w:t xml:space="preserve">reject-inference literature, e.g., Crook &amp; Banasik 2004].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i/>
          <w:iCs/>
        </w:rPr>
        <w:t xml:space="preserve">embedded pricing</w:t>
      </w:r>
      <w:r>
        <w:t xml:space="preserve">: in risk-based pricing portfolios such</w:t>
      </w:r>
      <w:r>
        <w:t xml:space="preserve"> </w:t>
      </w:r>
      <w:r>
        <w:t xml:space="preserve">as Lending Club, the APR charged on each loan is itself a function</w:t>
      </w:r>
      <w:r>
        <w:t xml:space="preserve"> </w:t>
      </w:r>
      <w:r>
        <w:t xml:space="preserve">of the borrower’s risk score at origination. The APR distribution</w:t>
      </w:r>
      <w:r>
        <w:t xml:space="preserve"> </w:t>
      </w:r>
      <w:r>
        <w:t xml:space="preserve">in the data is therefore endogenous to the originator’s pricing</w:t>
      </w:r>
      <w:r>
        <w:t xml:space="preserve"> </w:t>
      </w:r>
      <w:r>
        <w:t xml:space="preserve">policy, and any cut-off optimisation that uses the realised APRs</w:t>
      </w:r>
      <w:r>
        <w:t xml:space="preserve"> </w:t>
      </w:r>
      <w:r>
        <w:t xml:space="preserve">reproduces the originator’s pricing rather than testing alternative</w:t>
      </w:r>
      <w:r>
        <w:t xml:space="preserve"> </w:t>
      </w:r>
      <w:r>
        <w:t xml:space="preserve">pricing schemes. Disentangling the cut-off question from the</w:t>
      </w:r>
      <w:r>
        <w:t xml:space="preserve"> </w:t>
      </w:r>
      <w:r>
        <w:t xml:space="preserve">pricing question on real risk-priced data is methodologically</w:t>
      </w:r>
      <w:r>
        <w:t xml:space="preserve"> </w:t>
      </w:r>
      <w:r>
        <w:t xml:space="preserve">delicate.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i/>
          <w:iCs/>
        </w:rPr>
        <w:t xml:space="preserve">missingness and censoring</w:t>
      </w:r>
      <w:r>
        <w:t xml:space="preserve">: real public credit datasets</w:t>
      </w:r>
      <w:r>
        <w:t xml:space="preserve"> </w:t>
      </w:r>
      <w:r>
        <w:t xml:space="preserve">typically suffer from systematic missingness (borrowers whose loans</w:t>
      </w:r>
      <w:r>
        <w:t xml:space="preserve"> </w:t>
      </w:r>
      <w:r>
        <w:t xml:space="preserve">were paid early appear differently in the data than borrowers</w:t>
      </w:r>
      <w:r>
        <w:t xml:space="preserve"> </w:t>
      </w:r>
      <w:r>
        <w:t xml:space="preserve">whose loans defaulted late) and censoring (loans whose terms have</w:t>
      </w:r>
      <w:r>
        <w:t xml:space="preserve"> </w:t>
      </w:r>
      <w:r>
        <w:t xml:space="preserve">not yet completed are right-censored on the default indicator).</w:t>
      </w:r>
      <w:r>
        <w:t xml:space="preserve"> </w:t>
      </w:r>
      <w:r>
        <w:t xml:space="preserve">Both phenomena complicate the construction of a clean default flag</w:t>
      </w:r>
      <w:r>
        <w:t xml:space="preserve"> </w:t>
      </w:r>
      <w:r>
        <w:t xml:space="preserve">and the comparison of profit estimates across loans with different</w:t>
      </w:r>
      <w:r>
        <w:t xml:space="preserve"> </w:t>
      </w:r>
      <w:r>
        <w:t xml:space="preserve">observed loan-life durations.</w:t>
      </w:r>
    </w:p>
    <w:p>
      <w:pPr>
        <w:pStyle w:val="BodyText"/>
      </w:pPr>
      <w:r>
        <w:t xml:space="preserve">Fourth,</w:t>
      </w:r>
      <w:r>
        <w:t xml:space="preserve"> </w:t>
      </w:r>
      <w:r>
        <w:rPr>
          <w:i/>
          <w:iCs/>
        </w:rPr>
        <w:t xml:space="preserve">product heterogeneity</w:t>
      </w:r>
      <w:r>
        <w:t xml:space="preserve">: real-data portfolios mix loan</w:t>
      </w:r>
      <w:r>
        <w:t xml:space="preserve"> </w:t>
      </w:r>
      <w:r>
        <w:t xml:space="preserve">products with different terms, amortization structures, and pricing</w:t>
      </w:r>
      <w:r>
        <w:t xml:space="preserve"> </w:t>
      </w:r>
      <w:r>
        <w:t xml:space="preserve">tiers. A profit-curve analysis on a heterogeneous portfolio is</w:t>
      </w:r>
      <w:r>
        <w:t xml:space="preserve"> </w:t>
      </w:r>
      <w:r>
        <w:t xml:space="preserve">inherently a weighted average over the product mix, and the analyst</w:t>
      </w:r>
      <w:r>
        <w:t xml:space="preserve"> </w:t>
      </w:r>
      <w:r>
        <w:t xml:space="preserve">rarely has the per-product transparency required to disaggregate</w:t>
      </w:r>
      <w:r>
        <w:t xml:space="preserve"> </w:t>
      </w:r>
      <w:r>
        <w:t xml:space="preserve">the result.</w:t>
      </w:r>
    </w:p>
    <w:p>
      <w:pPr>
        <w:pStyle w:val="BodyText"/>
      </w:pPr>
      <w:r>
        <w:t xml:space="preserve">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used in this thesis</w:t>
      </w:r>
      <w:r>
        <w:t xml:space="preserve"> </w:t>
      </w:r>
      <w:r>
        <w:t xml:space="preserve">bypasses all four limitations by construction: the simulator</w:t>
      </w:r>
      <w:r>
        <w:t xml:space="preserve"> </w:t>
      </w:r>
      <w:r>
        <w:t xml:space="preserve">generates the full applicant population (including rejected</w:t>
      </w:r>
      <w:r>
        <w:t xml:space="preserve"> </w:t>
      </w:r>
      <w:r>
        <w:t xml:space="preserve">applicants in the underlying data-generating process), the APR is</w:t>
      </w:r>
      <w:r>
        <w:t xml:space="preserve"> </w:t>
      </w:r>
      <w:r>
        <w:t xml:space="preserve">supplied as an exogenous methodological assumption rather than</w:t>
      </w:r>
      <w:r>
        <w:t xml:space="preserve"> </w:t>
      </w:r>
      <w:r>
        <w:t xml:space="preserve">embedded in the data, the default flag is fully observed within the</w:t>
      </w:r>
      <w:r>
        <w:t xml:space="preserve"> </w:t>
      </w:r>
      <w:r>
        <w:t xml:space="preserve">simulation horizon, and the loan products are configurable by the</w:t>
      </w:r>
      <w:r>
        <w:t xml:space="preserve"> </w:t>
      </w:r>
      <w:r>
        <w:t xml:space="preserve">analyst. The synthetic-data choice does not, however, claim</w:t>
      </w:r>
      <w:r>
        <w:t xml:space="preserve"> </w:t>
      </w:r>
      <w:r>
        <w:t xml:space="preserve">realism: the simulator approximates but does not replicate any</w:t>
      </w:r>
      <w:r>
        <w:t xml:space="preserve"> </w:t>
      </w:r>
      <w:r>
        <w:t xml:space="preserve">specific institution’s data-generating process, and the methodology</w:t>
      </w:r>
      <w:r>
        <w:t xml:space="preserve"> </w:t>
      </w:r>
      <w:r>
        <w:t xml:space="preserve">validated under controlled conditions on synthetic data may not</w:t>
      </w:r>
      <w:r>
        <w:t xml:space="preserve"> </w:t>
      </w:r>
      <w:r>
        <w:t xml:space="preserve">transfer numerically to any specific real portfolio.</w:t>
      </w:r>
    </w:p>
    <w:p>
      <w:pPr>
        <w:pStyle w:val="BodyText"/>
      </w:pPr>
      <w:r>
        <w:rPr>
          <w:b/>
          <w:bCs/>
        </w:rPr>
        <w:t xml:space="preserve">Thesis response.</w:t>
      </w:r>
      <w:r>
        <w:t xml:space="preserve"> </w:t>
      </w:r>
      <w:r>
        <w:t xml:space="preserve">The thesis is explicit that the synthetic-data</w:t>
      </w:r>
      <w:r>
        <w:t xml:space="preserve"> </w:t>
      </w:r>
      <w:r>
        <w:t xml:space="preserve">choice does not eliminate the need for real-data replication — it</w:t>
      </w:r>
      <w:r>
        <w:t xml:space="preserve"> </w:t>
      </w:r>
      <w:r>
        <w:t xml:space="preserve">enables it. The Future Work catalogue (Chapter 6 §6.2) prioritises</w:t>
      </w:r>
      <w:r>
        <w:t xml:space="preserve"> </w:t>
      </w:r>
      <w:r>
        <w:t xml:space="preserve">real-data replication (F2) and external validation via transfer</w:t>
      </w:r>
      <w:r>
        <w:t xml:space="preserve"> </w:t>
      </w:r>
      <w:r>
        <w:t xml:space="preserve">scoring (F7) as the most substantive scope-extension directions,</w:t>
      </w:r>
      <w:r>
        <w:t xml:space="preserve"> </w:t>
      </w:r>
      <w:r>
        <w:t xml:space="preserve">precisely because the synthetic-data methodology developed here</w:t>
      </w:r>
      <w:r>
        <w:t xml:space="preserve"> </w:t>
      </w:r>
      <w:r>
        <w:t xml:space="preserve">will only achieve full external validity when its findings are</w:t>
      </w:r>
      <w:r>
        <w:t xml:space="preserve"> </w:t>
      </w:r>
      <w:r>
        <w:t xml:space="preserve">demonstrated to survive the transition to real data. The boundary</w:t>
      </w:r>
      <w:r>
        <w:t xml:space="preserve"> </w:t>
      </w:r>
      <w:r>
        <w:t xml:space="preserve">condition that the empirical claim holds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</w:t>
      </w:r>
      <w:r>
        <w:t xml:space="preserve"> </w:t>
      </w:r>
      <w:r>
        <w:t xml:space="preserve">(Chapter 4 §4.7) is enforced consistently in</w:t>
      </w:r>
      <w:r>
        <w:t xml:space="preserve"> </w:t>
      </w:r>
      <w:r>
        <w:t xml:space="preserve">Chapters 4 through 6 to prevent any over-generalisation of the</w:t>
      </w:r>
      <w:r>
        <w:t xml:space="preserve"> </w:t>
      </w:r>
      <w:r>
        <w:t xml:space="preserve">synthetic-data finding to real-market behaviour.</w:t>
      </w:r>
    </w:p>
    <w:p>
      <w:r>
        <w:pict>
          <v:rect style="width:0;height:1.5pt" o:hralign="center" o:hrstd="t" o:hr="t"/>
        </w:pict>
      </w:r>
    </w:p>
    <w:bookmarkEnd w:id="23"/>
    <w:bookmarkStart w:id="24" w:name="X2efc5f01a213cf3562864434aed823fab0441d2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2.7 Summary of literature gap and thesis positioning</w:t>
      </w:r>
    </w:p>
    <w:p>
      <w:pPr>
        <w:pStyle w:val="FirstParagraph"/>
      </w:pPr>
      <w:r>
        <w:t xml:space="preserve">The six literature strands above identify five overlapping gaps in</w:t>
      </w:r>
      <w:r>
        <w:t xml:space="preserve"> </w:t>
      </w:r>
      <w:r>
        <w:t xml:space="preserve">the published credit-scoring research. Each gap is addressed by one</w:t>
      </w:r>
      <w:r>
        <w:t xml:space="preserve"> </w:t>
      </w:r>
      <w:r>
        <w:t xml:space="preserve">or more of the four thesis contributions enumerated in</w:t>
      </w:r>
      <w:r>
        <w:t xml:space="preserve"> </w:t>
      </w:r>
      <w:r>
        <w:t xml:space="preserve">Chapter 1 §1.4.</w:t>
      </w:r>
    </w:p>
    <w:p>
      <w:pPr>
        <w:pStyle w:val="BodyText"/>
      </w:pPr>
      <w:r>
        <w:rPr>
          <w:b/>
          <w:bCs/>
        </w:rPr>
        <w:t xml:space="preserve">Gap 1 — Limited multi-dimensional stress evidence.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(§2.2) typically reports</w:t>
      </w:r>
      <w:r>
        <w:t xml:space="preserve"> </w:t>
      </w:r>
      <w:r>
        <w:t xml:space="preserve">single-cell or single-axis profit-curve analyses, and the published</w:t>
      </w:r>
      <w:r>
        <w:t xml:space="preserve"> </w:t>
      </w:r>
      <w:r>
        <w:t xml:space="preserve">stress-testing literature (§2.4) varies one or two parameters at a</w:t>
      </w:r>
      <w:r>
        <w:t xml:space="preserve"> </w:t>
      </w:r>
      <w:r>
        <w:t xml:space="preserve">time. The thesis responds with the 576-cell economic stress grid</w:t>
      </w:r>
      <w:r>
        <w:t xml:space="preserve"> </w:t>
      </w:r>
      <w:r>
        <w:t xml:space="preserve">(Chapter 4 §4.3) and the 64-cell extended Phase 4.2 stress space</w:t>
      </w:r>
      <w:r>
        <w:t xml:space="preserve"> </w:t>
      </w:r>
      <w:r>
        <w:t xml:space="preserve">(Chapter 4 §4.5, §4.6, §4.7), addressed by</w:t>
      </w:r>
      <w:r>
        <w:t xml:space="preserve"> </w:t>
      </w:r>
      <w:r>
        <w:rPr>
          <w:b/>
          <w:bCs/>
        </w:rPr>
        <w:t xml:space="preserve">Contribution 2</w:t>
      </w:r>
      <w:r>
        <w:t xml:space="preserve"> </w:t>
      </w:r>
      <w:r>
        <w:t xml:space="preserve">(the</w:t>
      </w:r>
      <w:r>
        <w:t xml:space="preserve"> </w:t>
      </w:r>
      <w:r>
        <w:t xml:space="preserve">multi-dimensional stress-test design).</w:t>
      </w:r>
    </w:p>
    <w:p>
      <w:pPr>
        <w:pStyle w:val="BodyText"/>
      </w:pPr>
      <w:r>
        <w:rPr>
          <w:b/>
          <w:bCs/>
        </w:rPr>
        <w:t xml:space="preserve">Gap 2 — Limited PD-signal sensitivity evidence.</w:t>
      </w:r>
      <w:r>
        <w:t xml:space="preserve"> </w:t>
      </w:r>
      <w:r>
        <w:t xml:space="preserve">The published</w:t>
      </w:r>
      <w:r>
        <w:t xml:space="preserve"> </w:t>
      </w:r>
      <w:r>
        <w:t xml:space="preserve">profit-cut-off literature rarely interrogates how the</w:t>
      </w:r>
      <w:r>
        <w:t xml:space="preserve"> </w:t>
      </w:r>
      <w:r>
        <w:t xml:space="preserve">profit-versus-discrimination gap behaves when the PD signal is</w:t>
      </w:r>
      <w:r>
        <w:t xml:space="preserve"> </w:t>
      </w:r>
      <w:r>
        <w:t xml:space="preserve">weaker (§2.2). The thesis responds with the Phase 4.2 PART A</w:t>
      </w:r>
      <w:r>
        <w:t xml:space="preserve"> </w:t>
      </w:r>
      <w:r>
        <w:t xml:space="preserve">PD-signal stress study (Chapter 4 §4.5), which produces the</w:t>
      </w:r>
      <w:r>
        <w:t xml:space="preserve"> </w:t>
      </w:r>
      <w:r>
        <w:t xml:space="preserve">PD-signal inversion finding documented as Finding 2 in</w:t>
      </w:r>
      <w:r>
        <w:t xml:space="preserve"> </w:t>
      </w:r>
      <w:r>
        <w:t xml:space="preserve">Chapter 5 §5.1, addressed by</w:t>
      </w:r>
      <w:r>
        <w:t xml:space="preserve"> </w:t>
      </w:r>
      <w:r>
        <w:rPr>
          <w:b/>
          <w:bCs/>
        </w:rPr>
        <w:t xml:space="preserve">Contribution 3</w:t>
      </w:r>
      <w:r>
        <w:t xml:space="preserve"> </w:t>
      </w:r>
      <w:r>
        <w:t xml:space="preserve">(the PD-signal</w:t>
      </w:r>
      <w:r>
        <w:t xml:space="preserve"> </w:t>
      </w:r>
      <w:r>
        <w:t xml:space="preserve">inversion finding, highlighted in Chapter 1 §1.4 as the most novel</w:t>
      </w:r>
      <w:r>
        <w:t xml:space="preserve"> </w:t>
      </w:r>
      <w:r>
        <w:t xml:space="preserve">of the four contributions).</w:t>
      </w:r>
    </w:p>
    <w:p>
      <w:pPr>
        <w:pStyle w:val="BodyText"/>
      </w:pPr>
      <w:r>
        <w:rPr>
          <w:b/>
          <w:bCs/>
        </w:rPr>
        <w:t xml:space="preserve">Gap 3 — Limited statistical-uncertainty quantification.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rarely separates sampling</w:t>
      </w:r>
      <w:r>
        <w:t xml:space="preserve"> </w:t>
      </w:r>
      <w:r>
        <w:t xml:space="preserve">uncertainty from assumption uncertainty (§2.2), and most published</w:t>
      </w:r>
      <w:r>
        <w:t xml:space="preserve"> </w:t>
      </w:r>
      <w:r>
        <w:t xml:space="preserve">profit-curve analyses report point estimates with no uncertainty</w:t>
      </w:r>
      <w:r>
        <w:t xml:space="preserve"> </w:t>
      </w:r>
      <w:r>
        <w:t xml:space="preserve">quantification. The thesis responds with the bootstrap-versus-</w:t>
      </w:r>
      <w:r>
        <w:t xml:space="preserve"> </w:t>
      </w:r>
      <w:r>
        <w:t xml:space="preserve">assumption discipline (Chapter 1 §1.4 Contribution 4): the</w:t>
      </w:r>
      <w:r>
        <w:t xml:space="preserve"> </w:t>
      </w:r>
      <w:r>
        <w:t xml:space="preserve">Phase 4.1 1,000-resample bootstrap (Chapter 4 §4.4) for sampling</w:t>
      </w:r>
      <w:r>
        <w:t xml:space="preserve"> </w:t>
      </w:r>
      <w:r>
        <w:t xml:space="preserve">uncertainty within the OOT economics population, and the</w:t>
      </w:r>
      <w:r>
        <w:t xml:space="preserve"> </w:t>
      </w:r>
      <w:r>
        <w:t xml:space="preserve">multi-dimensional stress grids for assumption uncertainty.</w:t>
      </w:r>
    </w:p>
    <w:p>
      <w:pPr>
        <w:pStyle w:val="BodyText"/>
      </w:pPr>
      <w:r>
        <w:rPr>
          <w:b/>
          <w:bCs/>
        </w:rPr>
        <w:t xml:space="preserve">Gap 4 — Limited tenor-aware lifetime-framework adoption.</w:t>
      </w:r>
      <w:r>
        <w:t xml:space="preserve"> </w:t>
      </w:r>
      <w:r>
        <w:t xml:space="preserve">The</w:t>
      </w:r>
      <w:r>
        <w:t xml:space="preserve"> </w:t>
      </w:r>
      <w:r>
        <w:t xml:space="preserve">published profit-cut-off literature typically uses single-period</w:t>
      </w:r>
      <w:r>
        <w:t xml:space="preserve"> </w:t>
      </w:r>
      <w:r>
        <w:t xml:space="preserve">profit formulas that systematically under-weight long-tenor loans</w:t>
      </w:r>
      <w:r>
        <w:t xml:space="preserve"> </w:t>
      </w:r>
      <w:r>
        <w:t xml:space="preserve">by ignoring amortization and survival weighting (§2.2 and §2.3).</w:t>
      </w:r>
      <w:r>
        <w:t xml:space="preserve"> </w:t>
      </w:r>
      <w:r>
        <w:t xml:space="preserve">The thesis responds with a tenor-aware Lifetime Net Margin formula</w:t>
      </w:r>
      <w:r>
        <w:t xml:space="preserve"> </w:t>
      </w:r>
      <w:r>
        <w:t xml:space="preserve">stack (Chapter 3 §3.4) that survival-weights revenue and expected</w:t>
      </w:r>
      <w:r>
        <w:t xml:space="preserve"> </w:t>
      </w:r>
      <w:r>
        <w:t xml:space="preserve">loss over the full amortization schedule, addressed by</w:t>
      </w:r>
      <w:r>
        <w:t xml:space="preserve"> </w:t>
      </w:r>
      <w:r>
        <w:rPr>
          <w:b/>
          <w:bCs/>
        </w:rPr>
        <w:t xml:space="preserve">Contribution 1</w:t>
      </w:r>
      <w:r>
        <w:t xml:space="preserve">, with empirical evidence of the magnitude of the</w:t>
      </w:r>
      <w:r>
        <w:t xml:space="preserve"> </w:t>
      </w:r>
      <w:r>
        <w:t xml:space="preserve">single-period bias documented in Chapter 4 §4.2 (Finding 4).</w:t>
      </w:r>
    </w:p>
    <w:p>
      <w:pPr>
        <w:pStyle w:val="BodyText"/>
      </w:pPr>
      <w:r>
        <w:rPr>
          <w:b/>
          <w:bCs/>
        </w:rPr>
        <w:t xml:space="preserve">Gap 5 — Confound between methodology and real-data artefacts.</w:t>
      </w:r>
      <w:r>
        <w:t xml:space="preserve"> </w:t>
      </w:r>
      <w:r>
        <w:t xml:space="preserve">The published profit-cut-off literature is split between studies on</w:t>
      </w:r>
      <w:r>
        <w:t xml:space="preserve"> </w:t>
      </w:r>
      <w:r>
        <w:t xml:space="preserve">real public datasets (which suffer from sample selection, embedded</w:t>
      </w:r>
      <w:r>
        <w:t xml:space="preserve"> </w:t>
      </w:r>
      <w:r>
        <w:t xml:space="preserve">pricing, missingness, and product heterogeneity confounds; §2.6)</w:t>
      </w:r>
      <w:r>
        <w:t xml:space="preserve"> </w:t>
      </w:r>
      <w:r>
        <w:t xml:space="preserve">and studies on illustrative simulated examples (which lack the</w:t>
      </w:r>
      <w:r>
        <w:t xml:space="preserve"> </w:t>
      </w:r>
      <w:r>
        <w:t xml:space="preserve">empirical scale needed to characterise robustness; §2.4). The</w:t>
      </w:r>
      <w:r>
        <w:t xml:space="preserve"> </w:t>
      </w:r>
      <w:r>
        <w:t xml:space="preserve">thesis responds with a controlled empirical experiment on the</w:t>
      </w:r>
      <w:r>
        <w:t xml:space="preserve"> </w:t>
      </w:r>
      <w:r>
        <w:t xml:space="preserve">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at full scale (Chapter 3</w:t>
      </w:r>
      <w:r>
        <w:t xml:space="preserve"> </w:t>
      </w:r>
      <w:r>
        <w:t xml:space="preserve">§3.1: 534,314 modelling rows; Chapter 3 §3.4: 235,968</w:t>
      </w:r>
      <w:r>
        <w:t xml:space="preserve"> </w:t>
      </w:r>
      <w:r>
        <w:t xml:space="preserve">economic-analysis rows; Chapter 3 §3.6 and Chapter 4 §4.4: 64,027</w:t>
      </w:r>
      <w:r>
        <w:t xml:space="preserve"> </w:t>
      </w:r>
      <w:r>
        <w:t xml:space="preserve">OOT economics rows), with real-data replication and transfer</w:t>
      </w:r>
      <w:r>
        <w:t xml:space="preserve"> </w:t>
      </w:r>
      <w:r>
        <w:t xml:space="preserve">scoring catalogued as Future Work F2 and F7 in Chapter 6 §6.2.</w:t>
      </w:r>
    </w:p>
    <w:p>
      <w:pPr>
        <w:pStyle w:val="BodyText"/>
      </w:pPr>
      <w:r>
        <w:t xml:space="preserve">The thesis’s position, in summary, is that profit-driven cut-off</w:t>
      </w:r>
      <w:r>
        <w:t xml:space="preserve"> </w:t>
      </w:r>
      <w:r>
        <w:t xml:space="preserve">selection has principled support in the textbook literature but</w:t>
      </w:r>
      <w:r>
        <w:t xml:space="preserve"> </w:t>
      </w:r>
      <w:r>
        <w:t xml:space="preserve">limited controlled empirical evidence at scale. Within the tested</w:t>
      </w:r>
      <w:r>
        <w:t xml:space="preserve"> </w:t>
      </w:r>
      <w:r>
        <w:t xml:space="preserve">scenario space documented in Chapter 4 §4.7, the thesis provides</w:t>
      </w:r>
      <w:r>
        <w:t xml:space="preserve"> </w:t>
      </w:r>
      <w:r>
        <w:t xml:space="preserve">such evidence. The boundary conditions of the empirical claim —</w:t>
      </w:r>
      <w:r>
        <w:t xml:space="preserve"> </w:t>
      </w:r>
      <w:r>
        <w:t xml:space="preserve">what is shown, on what data, under what assumptions — are</w:t>
      </w:r>
      <w:r>
        <w:t xml:space="preserve"> </w:t>
      </w:r>
      <w:r>
        <w:t xml:space="preserve">documented in Chapter 5 §5.5 and Chapter 6 §6.1, and the directions</w:t>
      </w:r>
      <w:r>
        <w:t xml:space="preserve"> </w:t>
      </w:r>
      <w:r>
        <w:t xml:space="preserve">in which subsequent work could extend the claim are catalogued as</w:t>
      </w:r>
      <w:r>
        <w:t xml:space="preserve"> </w:t>
      </w:r>
      <w:r>
        <w:t xml:space="preserve">Future Work F1 through F7 in Chapter 6 §6.2. The intent of this</w:t>
      </w:r>
      <w:r>
        <w:t xml:space="preserve"> </w:t>
      </w:r>
      <w:r>
        <w:t xml:space="preserve">chapter has been to show what the existing literature does and</w:t>
      </w:r>
      <w:r>
        <w:t xml:space="preserve"> </w:t>
      </w:r>
      <w:r>
        <w:t xml:space="preserve">does not contain on the profit-versus-discrimination question, and</w:t>
      </w:r>
      <w:r>
        <w:t xml:space="preserve"> </w:t>
      </w:r>
      <w:r>
        <w:t xml:space="preserve">to make explicit the specific gaps that the thesis fills.</w:t>
      </w:r>
    </w:p>
    <w:bookmarkEnd w:id="24"/>
    <w:bookmarkEnd w:id="25"/>
    <w:bookmarkStart w:id="61" w:name="chapter-3-methodology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Chapter 3 — Methodology</w:t>
      </w:r>
    </w:p>
    <w:p>
      <w:pPr>
        <w:pStyle w:val="FirstParagraph"/>
      </w:pPr>
      <w:r>
        <w:t xml:space="preserve">This chapter documents the empirical design that underpins the thesis. It</w:t>
      </w:r>
      <w:r>
        <w:t xml:space="preserve"> </w:t>
      </w:r>
      <w:r>
        <w:t xml:space="preserve">describes (i) the data-generation process based on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simulator, (ii) the feature-engineering pipeline and</w:t>
      </w:r>
      <w:r>
        <w:t xml:space="preserve"> </w:t>
      </w:r>
      <w:r>
        <w:t xml:space="preserve">its governance regime, (iii) the dual-track Probability of Default (PD)</w:t>
      </w:r>
      <w:r>
        <w:t xml:space="preserve"> </w:t>
      </w:r>
      <w:r>
        <w:t xml:space="preserve">modelling architecture and the leak-free calibration design, (iv) the</w:t>
      </w:r>
      <w:r>
        <w:t xml:space="preserve"> </w:t>
      </w:r>
      <w:r>
        <w:t xml:space="preserve">locked tenor-aware Lifetime Net Margin economic framework, (v) the stress</w:t>
      </w:r>
      <w:r>
        <w:t xml:space="preserve"> </w:t>
      </w:r>
      <w:r>
        <w:t xml:space="preserve">testing design that probes the sensitivity of profit-driven cut-off</w:t>
      </w:r>
      <w:r>
        <w:t xml:space="preserve"> </w:t>
      </w:r>
      <w:r>
        <w:t xml:space="preserve">selection, (vi) the bootstrap validation procedure used to quantify</w:t>
      </w:r>
      <w:r>
        <w:t xml:space="preserve"> </w:t>
      </w:r>
      <w:r>
        <w:t xml:space="preserve">sampling uncertainty, and (vii) the software architecture that supports</w:t>
      </w:r>
      <w:r>
        <w:t xml:space="preserve"> </w:t>
      </w:r>
      <w:r>
        <w:t xml:space="preserve">reproducibility. The chapter is deliberately precise about scope: where</w:t>
      </w:r>
      <w:r>
        <w:t xml:space="preserve"> </w:t>
      </w:r>
      <w:r>
        <w:t xml:space="preserve">findings are conditioned on the simulator, on a particular cohort window,</w:t>
      </w:r>
      <w:r>
        <w:t xml:space="preserve"> </w:t>
      </w:r>
      <w:r>
        <w:t xml:space="preserve">or on a particular stress grid, that conditionality is stated explicitly</w:t>
      </w:r>
      <w:r>
        <w:t xml:space="preserve"> </w:t>
      </w:r>
      <w:r>
        <w:t xml:space="preserve">rather than implied.</w:t>
      </w:r>
    </w:p>
    <w:p>
      <w:pPr>
        <w:pStyle w:val="BodyText"/>
      </w:pPr>
      <w:r>
        <w:t xml:space="preserve">The phrasing rules used throughout follow</w:t>
      </w:r>
      <w:r>
        <w:t xml:space="preserve"> </w:t>
      </w:r>
      <w:r>
        <w:rPr>
          <w:rStyle w:val="VerbatimChar"/>
        </w:rPr>
        <w:t xml:space="preserve">thesis_methodology_lock.md</w:t>
      </w:r>
      <w:r>
        <w:t xml:space="preserve">: the</w:t>
      </w:r>
      <w:r>
        <w:t xml:space="preserve"> </w:t>
      </w:r>
      <w:r>
        <w:t xml:space="preserve">text uses</w:t>
      </w:r>
      <w:r>
        <w:t xml:space="preserve"> </w:t>
      </w:r>
      <w:r>
        <w:rPr>
          <w:i/>
          <w:iCs/>
        </w:rPr>
        <w:t xml:space="preserve">across N resamples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in K of K stress cells</w:t>
      </w:r>
      <w:r>
        <w:t xml:space="preserve"> </w:t>
      </w:r>
      <w:r>
        <w:t xml:space="preserve">rather than</w:t>
      </w:r>
      <w:r>
        <w:t xml:space="preserve"> </w:t>
      </w:r>
      <w:r>
        <w:t xml:space="preserve">true probability statements, 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rather</w:t>
      </w:r>
      <w:r>
        <w:t xml:space="preserve"> </w:t>
      </w:r>
      <w:r>
        <w:t xml:space="preserve">than universal claims. Where a result is shown to hold without exception</w:t>
      </w:r>
      <w:r>
        <w:t xml:space="preserve"> </w:t>
      </w:r>
      <w:r>
        <w:t xml:space="preserve">across the tested grid the language is correspondingly stronger; where the</w:t>
      </w:r>
      <w:r>
        <w:t xml:space="preserve"> </w:t>
      </w:r>
      <w:r>
        <w:t xml:space="preserve">finding admits known counter-examples (for instance, the rare adverse-stress</w:t>
      </w:r>
      <w:r>
        <w:t xml:space="preserve"> </w:t>
      </w:r>
      <w:r>
        <w:t xml:space="preserve">+ high-op-cost cells in which the profit cut-off is less permissive than</w:t>
      </w:r>
      <w:r>
        <w:t xml:space="preserve"> </w:t>
      </w:r>
      <w:r>
        <w:t xml:space="preserve">Youden’s J), this chapter and the Results chapter say so explicitly.</w:t>
      </w:r>
    </w:p>
    <w:p>
      <w:r>
        <w:pict>
          <v:rect style="width:0;height:1.5pt" o:hralign="center" o:hrstd="t" o:hr="t"/>
        </w:pict>
      </w:r>
    </w:p>
    <w:bookmarkStart w:id="30" w:name="data-genera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 Data Generation</w:t>
      </w:r>
    </w:p>
    <w:bookmarkStart w:id="26" w:name="simulator-overview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Simulator overview</w:t>
      </w:r>
    </w:p>
    <w:p>
      <w:pPr>
        <w:pStyle w:val="FirstParagraph"/>
      </w:pPr>
      <w:r>
        <w:t xml:space="preserve">The empirical foundation of this thesis is a single production run of the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[TODO: cite simulator repository / authoring</w:t>
      </w:r>
      <w:r>
        <w:t xml:space="preserve"> </w:t>
      </w:r>
      <w:r>
        <w:t xml:space="preserve">team]. The simulator is a quota-based Markov-style model: at every monthly</w:t>
      </w:r>
      <w:r>
        <w:t xml:space="preserve"> </w:t>
      </w:r>
      <w:r>
        <w:t xml:space="preserve">period it generates a configurable number of new accounts, then for every</w:t>
      </w:r>
      <w:r>
        <w:t xml:space="preserve"> </w:t>
      </w:r>
      <w:r>
        <w:t xml:space="preserve">active account it advances the payment stage by a</w:t>
      </w:r>
      <w:r>
        <w:t xml:space="preserve"> </w:t>
      </w:r>
      <w:r>
        <w:rPr>
          <w:i/>
          <w:iCs/>
        </w:rPr>
        <w:t xml:space="preserve">deterministic</w:t>
      </w:r>
      <w:r>
        <w:rPr>
          <w:i/>
          <w:iCs/>
        </w:rPr>
        <w:t xml:space="preserve"> </w:t>
      </w:r>
      <w:r>
        <w:rPr>
          <w:i/>
          <w:iCs/>
        </w:rPr>
        <w:t xml:space="preserve">quota assignment</w:t>
      </w:r>
      <w:r>
        <w:t xml:space="preserve"> </w:t>
      </w:r>
      <w:r>
        <w:t xml:space="preserve">rather than by an independent per-account Bernoulli</w:t>
      </w:r>
      <w:r>
        <w:t xml:space="preserve"> </w:t>
      </w:r>
      <w:r>
        <w:t xml:space="preserve">draw. Two transition matrices are defined — a default matrix and a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matrix that softens transitions when the borrower reacts</w:t>
      </w:r>
      <w:r>
        <w:t xml:space="preserve"> </w:t>
      </w:r>
      <w:r>
        <w:t xml:space="preserve">favourably to a collection action — and the entries of these matrices</w:t>
      </w:r>
      <w:r>
        <w:t xml:space="preserve"> </w:t>
      </w:r>
      <w:r>
        <w:t xml:space="preserve">specify</w:t>
      </w:r>
      <w:r>
        <w:t xml:space="preserve"> </w:t>
      </w:r>
      <w:r>
        <w:rPr>
          <w:i/>
          <w:iCs/>
        </w:rPr>
        <w:t xml:space="preserve">marginal quotas</w:t>
      </w:r>
      <w:r>
        <w:t xml:space="preserve">: for each current delinquency state, the matrix</w:t>
      </w:r>
      <w:r>
        <w:t xml:space="preserve"> </w:t>
      </w:r>
      <w:r>
        <w:t xml:space="preserve">row gives the share of that state’s population that should move to each</w:t>
      </w:r>
      <w:r>
        <w:t xml:space="preserve"> </w:t>
      </w:r>
      <w:r>
        <w:t xml:space="preserve">next state in the coming period. The simulator implements these quotas as</w:t>
      </w:r>
      <w:r>
        <w:t xml:space="preserve"> </w:t>
      </w:r>
      <w:r>
        <w:t xml:space="preserve">follows. Within each delinquency state at each period it ranks the</w:t>
      </w:r>
      <w:r>
        <w:t xml:space="preserve"> </w:t>
      </w:r>
      <w:r>
        <w:t xml:space="preserve">constituent accounts by an internal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(a weighted combination of</w:t>
      </w:r>
      <w:r>
        <w:t xml:space="preserve"> </w:t>
      </w:r>
      <w:r>
        <w:t xml:space="preserve">borrower demographics and behavioural columns plus a small Gaussian</w:t>
      </w:r>
      <w:r>
        <w:t xml:space="preserve"> </w:t>
      </w:r>
      <w:r>
        <w:t xml:space="preserve">noise term injected into the score formula). The next-state assignment</w:t>
      </w:r>
      <w:r>
        <w:t xml:space="preserve"> </w:t>
      </w:r>
      <w:r>
        <w:t xml:space="preserve">is then made by walking the cumulative quota thresholds along the</w:t>
      </w:r>
      <w:r>
        <w:t xml:space="preserve"> </w:t>
      </w:r>
      <w:r>
        <w:t xml:space="preserve">ranked list: the bottom-</w:t>
      </w:r>
      <w:r>
        <w:rPr>
          <w:rStyle w:val="VerbatimChar"/>
        </w:rPr>
        <w:t xml:space="preserve">q1</w:t>
      </w:r>
      <w:r>
        <w:t xml:space="preserve"> </w:t>
      </w:r>
      <w:r>
        <w:t xml:space="preserve">fraction by score is moved to the worst</w:t>
      </w:r>
      <w:r>
        <w:t xml:space="preserve"> </w:t>
      </w:r>
      <w:r>
        <w:t xml:space="preserve">next state, the next</w:t>
      </w:r>
      <w:r>
        <w:t xml:space="preserve"> </w:t>
      </w:r>
      <w:r>
        <w:rPr>
          <w:rStyle w:val="VerbatimChar"/>
        </w:rPr>
        <w:t xml:space="preserve">q2</w:t>
      </w:r>
      <w:r>
        <w:t xml:space="preserve"> </w:t>
      </w:r>
      <w:r>
        <w:t xml:space="preserve">fraction to the second-worst, and so on. The</w:t>
      </w:r>
      <w:r>
        <w:t xml:space="preserve"> </w:t>
      </w:r>
      <w:r>
        <w:t xml:space="preserve">choice between the default and positive transition matrices is governed</w:t>
      </w:r>
      <w:r>
        <w:t xml:space="preserve"> </w:t>
      </w:r>
      <w:r>
        <w:t xml:space="preserve">by the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parameter, which sets the per-account, per-period</w:t>
      </w:r>
      <w:r>
        <w:t xml:space="preserve"> </w:t>
      </w:r>
      <w:r>
        <w:t xml:space="preserve">probability of switching to the positive matrix. This thesis uses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 which removes positive-matrix switching entirely</w:t>
      </w:r>
      <w:r>
        <w:t xml:space="preserve"> </w:t>
      </w:r>
      <w:r>
        <w:t xml:space="preserve">but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eliminate all simulator-side randomness: the score-noise</w:t>
      </w:r>
      <w:r>
        <w:t xml:space="preserve"> </w:t>
      </w:r>
      <w:r>
        <w:t xml:space="preserve">term, the random ordering of ties, and the random generation of new</w:t>
      </w:r>
      <w:r>
        <w:t xml:space="preserve"> </w:t>
      </w:r>
      <w:r>
        <w:t xml:space="preserve">client demographics each period continue to inject stochastic variation</w:t>
      </w:r>
      <w:r>
        <w:t xml:space="preserve"> </w:t>
      </w:r>
      <w:r>
        <w:t xml:space="preserve">into the cohort behaviour. Setting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 </w:t>
      </w:r>
      <w:r>
        <w:t xml:space="preserve">therefore</w:t>
      </w:r>
      <w:r>
        <w:t xml:space="preserve"> </w:t>
      </w:r>
      <w:r>
        <w:t xml:space="preserve">isolates the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default propensity of the cohorts (no</w:t>
      </w:r>
      <w:r>
        <w:t xml:space="preserve"> </w:t>
      </w:r>
      <w:r>
        <w:t xml:space="preserve">collection-action protective effect) without claiming a deterministic</w:t>
      </w:r>
      <w:r>
        <w:t xml:space="preserve"> </w:t>
      </w:r>
      <w:r>
        <w:t xml:space="preserve">trajectory for any individual account.</w:t>
      </w:r>
    </w:p>
    <w:p>
      <w:pPr>
        <w:pStyle w:val="BodyText"/>
      </w:pPr>
      <w:r>
        <w:t xml:space="preserve">Two simulator features are central to the design choices below. First, the</w:t>
      </w:r>
      <w:r>
        <w:t xml:space="preserve"> </w:t>
      </w:r>
      <w:r>
        <w:t xml:space="preserve">write-off trigger fires when an account accumulates 12 missed</w:t>
      </w:r>
      <w:r>
        <w:t xml:space="preserve"> </w:t>
      </w:r>
      <w:r>
        <w:t xml:space="preserve">instalments 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). This</w:t>
      </w:r>
      <w:r>
        <w:t xml:space="preserve"> </w:t>
      </w:r>
      <w:r>
        <w:t xml:space="preserve">threshold has direct consequences for short-tenor loans, as documented in</w:t>
      </w:r>
      <w:r>
        <w:t xml:space="preserve"> </w:t>
      </w:r>
      <w:r>
        <w:t xml:space="preserve">Section 3.4. Second, the simulator does not include any pricing field;</w:t>
      </w:r>
      <w:r>
        <w:t xml:space="preserve"> </w:t>
      </w:r>
      <w:r>
        <w:t xml:space="preserve">APR, funding cost, and operating cost are exogenous to the simulator and</w:t>
      </w:r>
      <w:r>
        <w:t xml:space="preserve"> </w:t>
      </w:r>
      <w:r>
        <w:t xml:space="preserve">therefore must be supplied as methodological assumptions during the</w:t>
      </w:r>
      <w:r>
        <w:t xml:space="preserve"> </w:t>
      </w:r>
      <w:r>
        <w:t xml:space="preserve">economic stage [TODO: cite zero-interest assumption discussion in</w:t>
      </w:r>
      <w:r>
        <w:t xml:space="preserve"> </w:t>
      </w:r>
      <w:r>
        <w:t xml:space="preserve">amortization theory references].</w:t>
      </w:r>
    </w:p>
    <w:bookmarkEnd w:id="26"/>
    <w:bookmarkStart w:id="27" w:name="final-production-run-configuration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Final production run configuration</w:t>
      </w:r>
    </w:p>
    <w:p>
      <w:pPr>
        <w:pStyle w:val="FirstParagraph"/>
      </w:pPr>
      <w:r>
        <w:t xml:space="preserve">Table 3.1 lists the locked configuration of the production run. The choice</w:t>
      </w:r>
      <w:r>
        <w:t xml:space="preserve"> </w:t>
      </w:r>
      <w:r>
        <w:t xml:space="preserve">of 800 clients per day at 60 monthly periods follows from a pre-flight</w:t>
      </w:r>
      <w:r>
        <w:t xml:space="preserve"> </w:t>
      </w:r>
      <w:r>
        <w:t xml:space="preserve">sensitivity study (documented in</w:t>
      </w:r>
      <w:r>
        <w:t xml:space="preserve"> </w:t>
      </w:r>
      <w:r>
        <w:rPr>
          <w:rStyle w:val="VerbatimChar"/>
        </w:rPr>
        <w:t xml:space="preserve">_recovery/preflight_200.py</w:t>
      </w:r>
      <w:r>
        <w:t xml:space="preserve"> </w:t>
      </w:r>
      <w:r>
        <w:t xml:space="preserve">and the</w:t>
      </w:r>
      <w:r>
        <w:t xml:space="preserve"> </w:t>
      </w:r>
      <w:r>
        <w:t xml:space="preserve">preflight report) that established 800/day as the minimum scale at which</w:t>
      </w:r>
      <w:r>
        <w:t xml:space="preserve"> </w:t>
      </w:r>
      <w:r>
        <w:t xml:space="preserve">the post-Phase-2-filter row count exceeds the H1 threshold of 500,000</w:t>
      </w:r>
      <w:r>
        <w:t xml:space="preserve"> </w:t>
      </w:r>
      <w:r>
        <w:t xml:space="preserve">analytical observations.</w:t>
      </w:r>
    </w:p>
    <w:p>
      <w:pPr>
        <w:pStyle w:val="BodyText"/>
      </w:pPr>
      <w:r>
        <w:rPr>
          <w:b/>
          <w:bCs/>
        </w:rPr>
        <w:t xml:space="preserve">Table 3.1 — Locked production-run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new_clients_count</w:t>
            </w:r>
          </w:p>
        </w:tc>
        <w:tc>
          <w:tcPr/>
          <w:p>
            <w:pPr>
              <w:pStyle w:val="Compact"/>
            </w:pPr>
            <w:r>
              <w:t xml:space="preserve">800 per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 = 20240501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end_date = 20290501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periods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p_positive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take_up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simulator_core_modified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scripts/final_run_800d.py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artifacts/final_data_800d_60m_p00/data_generation_config_used.yaml</w:t>
      </w:r>
      <w:r>
        <w:t xml:space="preserve">.</w:t>
      </w:r>
    </w:p>
    <w:bookmarkEnd w:id="27"/>
    <w:bookmarkStart w:id="28" w:name="X5de14953438f1d6ddac52db08648d68eb3f6d69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Population structure and the 12-month target</w:t>
      </w:r>
    </w:p>
    <w:p>
      <w:pPr>
        <w:pStyle w:val="FirstParagraph"/>
      </w:pPr>
      <w:r>
        <w:t xml:space="preserve">The simulator output is post-processed by</w:t>
      </w:r>
      <w:r>
        <w:t xml:space="preserve"> </w:t>
      </w:r>
      <w:r>
        <w:rPr>
          <w:rStyle w:val="VerbatimChar"/>
        </w:rPr>
        <w:t xml:space="preserve">scripts/build_wide_abt.py</w:t>
      </w:r>
      <w:r>
        <w:t xml:space="preserve"> </w:t>
      </w:r>
      <w:r>
        <w:t xml:space="preserve">into</w:t>
      </w:r>
      <w:r>
        <w:t xml:space="preserve"> </w:t>
      </w:r>
      <w:r>
        <w:t xml:space="preserve">a wide Analytical Base Table (ABT). The pipeline applies a Phase 2 cohort</w:t>
      </w:r>
      <w:r>
        <w:t xml:space="preserve"> </w:t>
      </w:r>
      <w:r>
        <w:t xml:space="preserve">filter —</w:t>
      </w:r>
      <w:r>
        <w:t xml:space="preserve"> </w:t>
      </w:r>
      <w:r>
        <w:rPr>
          <w:rStyle w:val="VerbatimChar"/>
        </w:rPr>
        <w:t xml:space="preserve">MIN_FIN_PERIOD = 202509</w:t>
      </w:r>
      <w:r>
        <w:t xml:space="preserve"> </w:t>
      </w:r>
      <w:r>
        <w:t xml:space="preserve">(excludes the initial warm-up cohorts</w:t>
      </w:r>
      <w:r>
        <w:t xml:space="preserve"> </w:t>
      </w:r>
      <w:r>
        <w:t xml:space="preserve">from 202405 through 202508, i.e. the first 16 monthly origination cohorts),</w:t>
      </w:r>
      <w:r>
        <w:t xml:space="preserve"> </w:t>
      </w:r>
      <w:r>
        <w:rPr>
          <w:rStyle w:val="VerbatimChar"/>
        </w:rPr>
        <w:t xml:space="preserve">TRAIN_FIN_PERIOD_MAX = 202612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OOT_FIN_PERIOD_MAX = 202706</w:t>
      </w:r>
      <w:r>
        <w:t xml:space="preserve"> </w:t>
      </w:r>
      <w:r>
        <w:t xml:space="preserve">— and</w:t>
      </w:r>
      <w:r>
        <w:t xml:space="preserve"> </w:t>
      </w:r>
      <w:r>
        <w:t xml:space="preserve">constructs the binary target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. The target is defined as</w:t>
      </w:r>
      <w:r>
        <w:t xml:space="preserve"> </w:t>
      </w:r>
      <w:r>
        <w:t xml:space="preserve">the occurrence of a write-off (</w:t>
      </w:r>
      <w:r>
        <w:rPr>
          <w:rStyle w:val="VerbatimChar"/>
        </w:rPr>
        <w:t xml:space="preserve">coll_status = 8</w:t>
      </w:r>
      <w:r>
        <w:t xml:space="preserve">) within the offset window</w:t>
      </w:r>
      <w:r>
        <w:t xml:space="preserve"> </w:t>
      </w:r>
      <w:r>
        <w:rPr>
          <w:rStyle w:val="VerbatimChar"/>
        </w:rPr>
        <w:t xml:space="preserve">t ∈ [12, 23]</w:t>
      </w:r>
      <w:r>
        <w:t xml:space="preserve"> </w:t>
      </w:r>
      <w:r>
        <w:t xml:space="preserve">from origination, i.e. months 13 through 24 after the loan</w:t>
      </w:r>
      <w:r>
        <w:t xml:space="preserve"> </w:t>
      </w:r>
      <w:r>
        <w:t xml:space="preserve">starts. This 12-month forward target is the empirical</w:t>
      </w:r>
      <w:r>
        <w:t xml:space="preserve"> </w:t>
      </w:r>
      <w:r>
        <w:t xml:space="preserve">operationalisation of</w:t>
      </w:r>
      <w:r>
        <w:t xml:space="preserve"> </w:t>
      </w:r>
      <w:r>
        <w:t xml:space="preserve">“default within one year of observation”</w:t>
      </w:r>
      <w:r>
        <w:t xml:space="preserve"> </w:t>
      </w:r>
      <w:r>
        <w:t xml:space="preserve">used</w:t>
      </w:r>
      <w:r>
        <w:t xml:space="preserve"> </w:t>
      </w:r>
      <w:r>
        <w:t xml:space="preserve">throughout the thesis [TODO: cite Basel III Probability of Default</w:t>
      </w:r>
      <w:r>
        <w:t xml:space="preserve"> </w:t>
      </w:r>
      <w:r>
        <w:t xml:space="preserve">horizon convention].</w:t>
      </w:r>
    </w:p>
    <w:p>
      <w:pPr>
        <w:pStyle w:val="BodyText"/>
      </w:pPr>
      <w:r>
        <w:t xml:space="preserve">The locked production run yielded 1,460,800 originations and a final</w:t>
      </w:r>
      <w:r>
        <w:t xml:space="preserve"> </w:t>
      </w:r>
      <w:r>
        <w:t xml:space="preserve">modelling population of 534,314 rows (Table 3.2). The post-filter row</w:t>
      </w:r>
      <w:r>
        <w:t xml:space="preserve"> </w:t>
      </w:r>
      <w:r>
        <w:t xml:space="preserve">count comfortably satisfies the H1 hard requirement (≥ 500,000 rows). The</w:t>
      </w:r>
      <w:r>
        <w:t xml:space="preserve"> </w:t>
      </w:r>
      <w:r>
        <w:t xml:space="preserve">out-of-time (OOT) split contains 144,789 rows in the original wide ABT</w:t>
      </w:r>
      <w:r>
        <w:t xml:space="preserve"> </w:t>
      </w:r>
      <w:r>
        <w:t xml:space="preserve">across all loan tenors (12, 24, 36 months); after the economic-eligibility</w:t>
      </w:r>
      <w:r>
        <w:t xml:space="preserve"> </w:t>
      </w:r>
      <w:r>
        <w:t xml:space="preserve">refinement described in Section 3.4 the OOT population shrinks to the</w:t>
      </w:r>
      <w:r>
        <w:t xml:space="preserve"> </w:t>
      </w:r>
      <w:r>
        <w:t xml:space="preserve">64,027 rows used for the bootstrap analyses in Section 3.6.</w:t>
      </w:r>
    </w:p>
    <w:p>
      <w:pPr>
        <w:pStyle w:val="BodyText"/>
      </w:pPr>
      <w:r>
        <w:rPr>
          <w:b/>
          <w:bCs/>
        </w:rPr>
        <w:t xml:space="preserve">Table 3.2 — Population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modelling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534,314</w:t>
            </w:r>
          </w:p>
        </w:tc>
        <w:tc>
          <w:tcPr/>
          <w:p>
            <w:pPr>
              <w:pStyle w:val="Compact"/>
            </w:pPr>
            <w:r>
              <w:t xml:space="preserve">Phase 2 wide ABT after cohort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analysis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235,968</w:t>
            </w:r>
          </w:p>
        </w:tc>
        <w:tc>
          <w:tcPr/>
          <w:p>
            <w:pPr>
              <w:pStyle w:val="Compact"/>
            </w:pPr>
            <w:r>
              <w:t xml:space="preserve">Modelling pop,</w:t>
            </w:r>
            <w:r>
              <w:t xml:space="preserve"> </w:t>
            </w:r>
            <w:r>
              <w:rPr>
                <w:rStyle w:val="VerbatimChar"/>
              </w:rPr>
              <w:t xml:space="preserve">n_installments ∈ {24, 36}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OOT economics bootstrap pop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64,027</w:t>
            </w:r>
          </w:p>
        </w:tc>
        <w:tc>
          <w:tcPr/>
          <w:p>
            <w:pPr>
              <w:pStyle w:val="Compact"/>
            </w:pPr>
            <w:r>
              <w:t xml:space="preserve">Eco pop with</w:t>
            </w:r>
            <w:r>
              <w:t xml:space="preserve"> </w:t>
            </w:r>
            <w:r>
              <w:rPr>
                <w:rStyle w:val="VerbatimChar"/>
              </w:rPr>
              <w:t xml:space="preserve">split_new == 'oot'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Train_for_model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150,476</w:t>
            </w:r>
          </w:p>
        </w:tc>
        <w:tc>
          <w:tcPr/>
          <w:p>
            <w:pPr>
              <w:pStyle w:val="Compact"/>
            </w:pPr>
            <w:r>
              <w:t xml:space="preserve">Eco pop, cohorts 202509-202610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slice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21,465</w:t>
            </w:r>
          </w:p>
        </w:tc>
        <w:tc>
          <w:tcPr/>
          <w:p>
            <w:pPr>
              <w:pStyle w:val="Compact"/>
            </w:pPr>
            <w:r>
              <w:t xml:space="preserve">Eco pop, cohorts 202611-202612</w:t>
            </w:r>
          </w:p>
        </w:tc>
      </w:tr>
    </w:tbl>
    <w:bookmarkEnd w:id="28"/>
    <w:bookmarkStart w:id="29" w:name="justification-for-synthetic-data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Justification for synthetic data</w:t>
      </w:r>
    </w:p>
    <w:p>
      <w:pPr>
        <w:pStyle w:val="FirstParagraph"/>
      </w:pPr>
      <w:r>
        <w:t xml:space="preserve">The thesis investigates the relationship between PD model discrimination,</w:t>
      </w:r>
      <w:r>
        <w:t xml:space="preserve"> </w:t>
      </w:r>
      <w:r>
        <w:t xml:space="preserve">calibration, and profit-driven cut-off selection. A simulated portfolio</w:t>
      </w:r>
      <w:r>
        <w:t xml:space="preserve"> </w:t>
      </w:r>
      <w:r>
        <w:t xml:space="preserve">isolates the methodological question from data-quality, regulatory, and</w:t>
      </w:r>
      <w:r>
        <w:t xml:space="preserve"> </w:t>
      </w:r>
      <w:r>
        <w:t xml:space="preserve">proprietary-data confounds that would dominate any single real-world</w:t>
      </w:r>
      <w:r>
        <w:t xml:space="preserve"> </w:t>
      </w:r>
      <w:r>
        <w:t xml:space="preserve">dataset [TODO: cite simulation-based credit-risk methodology, e.g.</w:t>
      </w:r>
      <w:r>
        <w:t xml:space="preserve"> </w:t>
      </w:r>
      <w:r>
        <w:t xml:space="preserve">Bohn &amp; Stein 2009]. Limitations of this choice — chiefly the absence of</w:t>
      </w:r>
      <w:r>
        <w:t xml:space="preserve"> </w:t>
      </w:r>
      <w:r>
        <w:t xml:space="preserve">real APR, real LGD recovery, and real cross-cohort behaviour shifts — are</w:t>
      </w:r>
      <w:r>
        <w:t xml:space="preserve"> </w:t>
      </w:r>
      <w:r>
        <w:t xml:space="preserve">documented in Chapter 6.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eature-engineering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 Feature Engineering</w:t>
      </w:r>
    </w:p>
    <w:bookmarkStart w:id="31" w:name="feature-factory-design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Feature factory design</w:t>
      </w:r>
    </w:p>
    <w:p>
      <w:pPr>
        <w:pStyle w:val="FirstParagraph"/>
      </w:pPr>
      <w:r>
        <w:t xml:space="preserve">The wide ABT produced by</w:t>
      </w:r>
      <w:r>
        <w:t xml:space="preserve"> </w:t>
      </w:r>
      <w:r>
        <w:rPr>
          <w:rStyle w:val="VerbatimChar"/>
        </w:rPr>
        <w:t xml:space="preserve">build_wide_abt.py</w:t>
      </w:r>
      <w:r>
        <w:t xml:space="preserve"> </w:t>
      </w:r>
      <w:r>
        <w:t xml:space="preserve">carries 192 raw columns,</w:t>
      </w:r>
      <w:r>
        <w:t xml:space="preserve"> </w:t>
      </w:r>
      <w:r>
        <w:t xml:space="preserve">including identifier, target, split, application demographics, loan terms,</w:t>
      </w:r>
      <w:r>
        <w:t xml:space="preserve"> </w:t>
      </w:r>
      <w:r>
        <w:t xml:space="preserve">and 12 months of behavioural history per series. The Phase 1.5 Feature</w:t>
      </w:r>
      <w:r>
        <w:t xml:space="preserve"> </w:t>
      </w:r>
      <w:r>
        <w:t xml:space="preserve">Factory (</w:t>
      </w:r>
      <w:r>
        <w:rPr>
          <w:rStyle w:val="VerbatimChar"/>
        </w:rPr>
        <w:t xml:space="preserve">scripts/phase1_5_feature_factory.py</w:t>
      </w:r>
      <w:r>
        <w:t xml:space="preserve">) expands this 192-column</w:t>
      </w:r>
      <w:r>
        <w:t xml:space="preserve"> </w:t>
      </w:r>
      <w:r>
        <w:t xml:space="preserve">input into a 2,236-column ABT with full governance metadata for every</w:t>
      </w:r>
      <w:r>
        <w:t xml:space="preserve"> </w:t>
      </w:r>
      <w:r>
        <w:t xml:space="preserve">generated column. Of the expanded set, 2,229 are</w:t>
      </w:r>
      <w:r>
        <w:t xml:space="preserve"> </w:t>
      </w:r>
      <w:r>
        <w:rPr>
          <w:i/>
          <w:iCs/>
        </w:rPr>
        <w:t xml:space="preserve">raw features</w:t>
      </w:r>
      <w:r>
        <w:t xml:space="preserve"> </w:t>
      </w:r>
      <w:r>
        <w:t xml:space="preserve">(excluding</w:t>
      </w:r>
      <w:r>
        <w:t xml:space="preserve"> </w:t>
      </w:r>
      <w:r>
        <w:t xml:space="preserve">identifier, target, split, and metadata).</w:t>
      </w:r>
    </w:p>
    <w:p>
      <w:pPr>
        <w:pStyle w:val="BodyText"/>
      </w:pPr>
      <w:r>
        <w:t xml:space="preserve">Six families of generated features are produced (Table 3.3). Each family</w:t>
      </w:r>
      <w:r>
        <w:t xml:space="preserve"> </w:t>
      </w:r>
      <w:r>
        <w:t xml:space="preserve">has a documented derivation rule and a default risk-level inheritance from</w:t>
      </w:r>
      <w:r>
        <w:t xml:space="preserve"> </w:t>
      </w:r>
      <w:r>
        <w:t xml:space="preserve">its source columns.</w:t>
      </w:r>
    </w:p>
    <w:p>
      <w:pPr>
        <w:pStyle w:val="BodyText"/>
      </w:pPr>
      <w:r>
        <w:rPr>
          <w:b/>
          <w:bCs/>
        </w:rPr>
        <w:t xml:space="preserve">Table 3.3 — Generated feature families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67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Rolling window statistics over 13 behavioural series (mean / std / min / max / median / last over 3-12 month windows)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Trend slope, intercept, and R² over 3, 6, 12 month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Domain-driven ratios (income / loan / installment / 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Pairwise interactions of safe application variables and loan terms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F5A / F5B</w:t>
            </w:r>
          </w:p>
        </w:tc>
        <w:tc>
          <w:tcPr/>
          <w:p>
            <w:pPr>
              <w:pStyle w:val="Compact"/>
            </w:pPr>
            <w:r>
              <w:t xml:space="preserve">Group statistics by categorical variable (mean / median / std / count / rank)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+ 15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F6A</w:t>
            </w:r>
          </w:p>
        </w:tc>
        <w:tc>
          <w:tcPr/>
          <w:p>
            <w:pPr>
              <w:pStyle w:val="Compact"/>
            </w:pPr>
            <w:r>
              <w:t xml:space="preserve">Rank, percentile, z-score, log1p, square-root transforms of every numeric original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F6B</w:t>
            </w:r>
          </w:p>
        </w:tc>
        <w:tc>
          <w:tcPr/>
          <w:p>
            <w:pPr>
              <w:pStyle w:val="Compact"/>
            </w:pPr>
            <w:r>
              <w:t xml:space="preserve">One-hot decile / quartile bin indicators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F6C</w:t>
            </w:r>
          </w:p>
        </w:tc>
        <w:tc>
          <w:tcPr/>
          <w:p>
            <w:pPr>
              <w:pStyle w:val="Compact"/>
            </w:pPr>
            <w:r>
              <w:t xml:space="preserve">Noisy copies of every numeric original (var + N(0, 0.1·σ))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F6D</w:t>
            </w:r>
          </w:p>
        </w:tc>
        <w:tc>
          <w:tcPr/>
          <w:p>
            <w:pPr>
              <w:pStyle w:val="Compact"/>
            </w:pPr>
            <w:r>
              <w:t xml:space="preserve">Pure random negative controls (uniform, normal, integer)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F6E</w:t>
            </w:r>
          </w:p>
        </w:tc>
        <w:tc>
          <w:tcPr/>
          <w:p>
            <w:pPr>
              <w:pStyle w:val="Compact"/>
            </w:pPr>
            <w:r>
              <w:t xml:space="preserve">Synthetic bureau-like features (credit score, account age, utilisation, payment history, etc.) built from safe app variables + noise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</w:tbl>
    <w:p>
      <w:pPr>
        <w:pStyle w:val="BodyText"/>
      </w:pPr>
      <w:r>
        <w:t xml:space="preserve">Total generated: 2,046. Plus 190 originals (after duplicate-column removal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app_loan_amount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app_n_installments</w:t>
      </w:r>
      <w:r>
        <w:t xml:space="preserve">, which are perfect duplicates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loan_amount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n_installments</w:t>
      </w:r>
      <w:r>
        <w:t xml:space="preserve"> </w:t>
      </w:r>
      <w:r>
        <w:t xml:space="preserve">respectively).</w:t>
      </w:r>
    </w:p>
    <w:bookmarkEnd w:id="31"/>
    <w:bookmarkStart w:id="32" w:name="governance-regime-and-pd-eligibility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Governance regime and PD eligibility</w:t>
      </w:r>
    </w:p>
    <w:p>
      <w:pPr>
        <w:pStyle w:val="FirstParagraph"/>
      </w:pPr>
      <w:r>
        <w:t xml:space="preserve">Every column in the catalog carries fourteen governance fields, including</w:t>
      </w:r>
      <w:r>
        <w:t xml:space="preserve"> </w:t>
      </w:r>
      <w:r>
        <w:rPr>
          <w:rStyle w:val="VerbatimChar"/>
        </w:rPr>
        <w:t xml:space="preserve">feature_family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uses_future_behavior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allowed_for_origination_pd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allowed_for_behavioral_pd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allowed_for_profit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leakage_risk</w:t>
      </w:r>
      <w:r>
        <w:t xml:space="preserve">, and a textual reason explaining any</w:t>
      </w:r>
      <w:r>
        <w:t xml:space="preserve"> </w:t>
      </w:r>
      <w:r>
        <w:t xml:space="preserve">PD eligibility refusal. Risk levels range from A (target / leakage source)</w:t>
      </w:r>
      <w:r>
        <w:t xml:space="preserve"> </w:t>
      </w:r>
      <w:r>
        <w:t xml:space="preserve">through H (random control), and are inherited from the most-restrictive</w:t>
      </w:r>
      <w:r>
        <w:t xml:space="preserve"> </w:t>
      </w:r>
      <w:r>
        <w:t xml:space="preserve">source under the lock’s</w:t>
      </w:r>
      <w:r>
        <w:t xml:space="preserve"> </w:t>
      </w:r>
      <w:r>
        <w:t xml:space="preserve">“most-restrictive-wins”</w:t>
      </w:r>
      <w:r>
        <w:t xml:space="preserve"> </w:t>
      </w:r>
      <w:r>
        <w:t xml:space="preserve">rule. The factory writes</w:t>
      </w:r>
      <w:r>
        <w:t xml:space="preserve"> </w:t>
      </w:r>
      <w:r>
        <w:t xml:space="preserve">the catalog to</w:t>
      </w:r>
      <w:r>
        <w:t xml:space="preserve"> </w:t>
      </w:r>
      <w:r>
        <w:rPr>
          <w:rStyle w:val="VerbatimChar"/>
        </w:rPr>
        <w:t xml:space="preserve">artifacts/phase1_5_feature_factory/feature_catalog.csv</w:t>
      </w:r>
      <w:r>
        <w:t xml:space="preserve">.</w:t>
      </w:r>
    </w:p>
    <w:p>
      <w:pPr>
        <w:pStyle w:val="BodyText"/>
      </w:pPr>
      <w:r>
        <w:t xml:space="preserve">For Phase 2 modelling the candidate pool is reduced by the predicate</w:t>
      </w:r>
      <w:r>
        <w:t xml:space="preserve"> </w:t>
      </w:r>
      <w:r>
        <w:rPr>
          <w:rStyle w:val="VerbatimChar"/>
        </w:rPr>
        <w:t xml:space="preserve">allowed_for_origination_pd == True AND leakage_risk != 'high' AND uses_target == False AND uses_future_behavior == False</w:t>
      </w:r>
      <w:r>
        <w:t xml:space="preserve">. This filter</w:t>
      </w:r>
      <w:r>
        <w:t xml:space="preserve"> </w:t>
      </w:r>
      <w:r>
        <w:t xml:space="preserve">yields 435 PD-eligible features, distributed across families as documented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phase2_modeling_report.md</w:t>
      </w:r>
      <w:r>
        <w:t xml:space="preserve">. The filtering is implemented in</w:t>
      </w:r>
      <w:r>
        <w:t xml:space="preserve"> </w:t>
      </w:r>
      <w:r>
        <w:rPr>
          <w:rStyle w:val="VerbatimChar"/>
        </w:rPr>
        <w:t xml:space="preserve">src/governance.py:filter_pd_eligible</w:t>
      </w:r>
      <w:r>
        <w:t xml:space="preserve"> </w:t>
      </w:r>
      <w:r>
        <w:t xml:space="preserve">and applied uniformly by every</w:t>
      </w:r>
      <w:r>
        <w:t xml:space="preserve"> </w:t>
      </w:r>
      <w:r>
        <w:t xml:space="preserve">downstream notebook.</w:t>
      </w:r>
    </w:p>
    <w:bookmarkEnd w:id="32"/>
    <w:bookmarkStart w:id="33" w:name="X094d088144d40cb851433a86bd12b64f447f879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F6D negative controls and pipeline integrity</w:t>
      </w:r>
    </w:p>
    <w:p>
      <w:pPr>
        <w:pStyle w:val="FirstParagraph"/>
      </w:pPr>
      <w:r>
        <w:t xml:space="preserve">The 100 F6D features are pure random draws independent of any borrower</w:t>
      </w:r>
      <w:r>
        <w:t xml:space="preserve"> </w:t>
      </w:r>
      <w:r>
        <w:t xml:space="preserve">attribute. They function as negative controls: a properly configured</w:t>
      </w:r>
      <w:r>
        <w:t xml:space="preserve"> </w:t>
      </w:r>
      <w:r>
        <w:t xml:space="preserve">selection pipeline must reject them, since they carry no signal. Across</w:t>
      </w:r>
      <w:r>
        <w:t xml:space="preserve"> </w:t>
      </w:r>
      <w:r>
        <w:t xml:space="preserve">the nine Stage-2 Lasso configurations tested in Phase 2A diagnostics</w:t>
      </w:r>
      <w:r>
        <w:t xml:space="preserve"> </w:t>
      </w:r>
      <w:r>
        <w:t xml:space="preserve">(Cs = {0.02, 0.05, 0.10} × seeds = {42, 101, 202}), zero F6D features</w:t>
      </w:r>
      <w:r>
        <w:t xml:space="preserve"> </w:t>
      </w:r>
      <w:r>
        <w:t xml:space="preserve">survived in any run. After the LightGBM retune (Phase 2A Section 3),</w:t>
      </w:r>
      <w:r>
        <w:t xml:space="preserve"> </w:t>
      </w:r>
      <w:r>
        <w:t xml:space="preserve">zero F6D features appear in the top-20 by gain importance, although small</w:t>
      </w:r>
      <w:r>
        <w:t xml:space="preserve"> </w:t>
      </w:r>
      <w:r>
        <w:t xml:space="preserve">non-zero gains (the largest is approximately 1/100 of the top feature’s</w:t>
      </w:r>
      <w:r>
        <w:t xml:space="preserve"> </w:t>
      </w:r>
      <w:r>
        <w:t xml:space="preserve">gain) appear deeper in the importance distribution as a normal consequence</w:t>
      </w:r>
      <w:r>
        <w:t xml:space="preserve"> </w:t>
      </w:r>
      <w:r>
        <w:t xml:space="preserve">of moderate regularisation. The unit-test gate</w:t>
      </w:r>
      <w:r>
        <w:t xml:space="preserve"> </w:t>
      </w:r>
      <w:r>
        <w:t xml:space="preserve">“F6D in top-20 == 0”</w:t>
      </w:r>
      <w:r>
        <w:t xml:space="preserve"> </w:t>
      </w:r>
      <w:r>
        <w:t xml:space="preserve">passed</w:t>
      </w:r>
      <w:r>
        <w:t xml:space="preserve"> </w:t>
      </w:r>
      <w:r>
        <w:t xml:space="preserve">on the tuned model.</w:t>
      </w:r>
    </w:p>
    <w:bookmarkEnd w:id="33"/>
    <w:bookmarkStart w:id="34" w:name="score-scorem-exclusion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Score / scorem exclusion</w:t>
      </w:r>
    </w:p>
    <w:p>
      <w:pPr>
        <w:pStyle w:val="FirstParagraph"/>
      </w:pPr>
      <w:r>
        <w:t xml:space="preserve">The simulator’s internal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 </w:t>
      </w:r>
      <w:r>
        <w:t xml:space="preserve">columns are produced by</w:t>
      </w:r>
      <w:r>
        <w:t xml:space="preserve"> </w:t>
      </w:r>
      <w:r>
        <w:rPr>
          <w:rStyle w:val="VerbatimChar"/>
        </w:rPr>
        <w:t xml:space="preserve">src/abt_behavioral_columns.py:make_summary_abt</w:t>
      </w:r>
      <w:r>
        <w:t xml:space="preserve">. A diagnostic experiment</w:t>
      </w:r>
      <w:r>
        <w:t xml:space="preserve"> </w:t>
      </w:r>
      <w:r>
        <w:t xml:space="preserve">in Phase 2A (</w:t>
      </w:r>
      <w:r>
        <w:rPr>
          <w:rStyle w:val="VerbatimChar"/>
        </w:rPr>
        <w:t xml:space="preserve">exp2_score_gini</w:t>
      </w:r>
      <w:r>
        <w:t xml:space="preserve">) measured the absolute Gini 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at the observation point and found values in the</w:t>
      </w:r>
      <w:r>
        <w:t xml:space="preserve"> </w:t>
      </w:r>
      <w:r>
        <w:t xml:space="preserve">range 0.93-0.97; the column is therefore near-tautological. The locked</w:t>
      </w:r>
      <w:r>
        <w:t xml:space="preserve"> </w:t>
      </w:r>
      <w:r>
        <w:t xml:space="preserve">build pipeline excludes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, and any score-derived column</w:t>
      </w:r>
      <w:r>
        <w:t xml:space="preserve"> </w:t>
      </w:r>
      <w:r>
        <w:t xml:space="preserve">from the wide ABT by an explicit</w:t>
      </w:r>
      <w:r>
        <w:t xml:space="preserve"> </w:t>
      </w:r>
      <w:r>
        <w:rPr>
          <w:rStyle w:val="VerbatimChar"/>
        </w:rPr>
        <w:t xml:space="preserve">FINAL_COLS</w:t>
      </w:r>
      <w:r>
        <w:t xml:space="preserve"> </w:t>
      </w:r>
      <w:r>
        <w:t xml:space="preserve">whitelist in</w:t>
      </w:r>
      <w:r>
        <w:t xml:space="preserve"> </w:t>
      </w:r>
      <w:r>
        <w:rPr>
          <w:rStyle w:val="VerbatimChar"/>
        </w:rPr>
        <w:t xml:space="preserve">scripts/build_wide_abt.py:923</w:t>
      </w:r>
      <w:r>
        <w:t xml:space="preserve">. The validator</w:t>
      </w:r>
      <w:r>
        <w:t xml:space="preserve"> </w:t>
      </w:r>
      <w:r>
        <w:rPr>
          <w:rStyle w:val="VerbatimChar"/>
        </w:rPr>
        <w:t xml:space="preserve">src/governance.py:validate_no_score_columns</w:t>
      </w:r>
      <w:r>
        <w:t xml:space="preserve"> </w:t>
      </w:r>
      <w:r>
        <w:t xml:space="preserve">is invoked at the start of</w:t>
      </w:r>
      <w:r>
        <w:t xml:space="preserve"> </w:t>
      </w:r>
      <w:r>
        <w:t xml:space="preserve">every Phase 2 notebook and asserts the absence of these columns.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d-modell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 PD Modelling</w:t>
      </w:r>
    </w:p>
    <w:bookmarkStart w:id="36" w:name="dual-track-architecture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Dual-track architecture</w:t>
      </w:r>
    </w:p>
    <w:p>
      <w:pPr>
        <w:pStyle w:val="FirstParagraph"/>
      </w:pPr>
      <w:r>
        <w:t xml:space="preserve">The thesis adopts a dual-track PD modelling architecture: an interpretable</w:t>
      </w:r>
      <w:r>
        <w:t xml:space="preserve"> </w:t>
      </w:r>
      <w:r>
        <w:t xml:space="preserve">linear track based on Logistic Regression, and a non-linear gradient-boosted</w:t>
      </w:r>
      <w:r>
        <w:t xml:space="preserve"> </w:t>
      </w:r>
      <w:r>
        <w:t xml:space="preserve">track based on LightGBM. Within the linear track three model variants are</w:t>
      </w:r>
      <w:r>
        <w:t xml:space="preserve"> </w:t>
      </w:r>
      <w:r>
        <w:t xml:space="preserve">compared: (i) a 22-feature Logistic Regression with full F6E synthetic</w:t>
      </w:r>
      <w:r>
        <w:t xml:space="preserve"> </w:t>
      </w:r>
      <w:r>
        <w:t xml:space="preserve">bureau features included (referred to as</w:t>
      </w:r>
      <w:r>
        <w:t xml:space="preserve"> </w:t>
      </w:r>
      <w:r>
        <w:rPr>
          <w:rStyle w:val="VerbatimChar"/>
        </w:rPr>
        <w:t xml:space="preserve">LR full-F6E</w:t>
      </w:r>
      <w:r>
        <w:t xml:space="preserve">), (ii) a 7-feature</w:t>
      </w:r>
      <w:r>
        <w:t xml:space="preserve"> </w:t>
      </w:r>
      <w:r>
        <w:t xml:space="preserve">Logistic Regression that excludes the F6E family entirely (</w:t>
      </w:r>
      <w:r>
        <w:rPr>
          <w:rStyle w:val="VerbatimChar"/>
        </w:rPr>
        <w:t xml:space="preserve">LR no-F6E</w:t>
      </w:r>
      <w:r>
        <w:t xml:space="preserve">),</w:t>
      </w:r>
      <w:r>
        <w:t xml:space="preserve"> </w:t>
      </w:r>
      <w:r>
        <w:t xml:space="preserve">and (iii) a Weight-of-Evidence (WoE) scorecard built on the no-F6E feature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Scorecard no-F6E</w:t>
      </w:r>
      <w:r>
        <w:t xml:space="preserve">). Together with the tuned LightGBM model these</w:t>
      </w:r>
      <w:r>
        <w:t xml:space="preserve"> </w:t>
      </w:r>
      <w:r>
        <w:t xml:space="preserve">constitute the</w:t>
      </w:r>
      <w:r>
        <w:t xml:space="preserve"> </w:t>
      </w:r>
      <w:r>
        <w:rPr>
          <w:i/>
          <w:iCs/>
        </w:rPr>
        <w:t xml:space="preserve">four base PD models</w:t>
      </w:r>
      <w:r>
        <w:t xml:space="preserve"> </w:t>
      </w:r>
      <w:r>
        <w:t xml:space="preserve">used throughout Chapters 4 and 5.</w:t>
      </w:r>
    </w:p>
    <w:p>
      <w:pPr>
        <w:pStyle w:val="BodyText"/>
      </w:pPr>
      <w:r>
        <w:t xml:space="preserve">The motivation for the dual-track approach is twofold. First, the linear</w:t>
      </w:r>
      <w:r>
        <w:t xml:space="preserve"> </w:t>
      </w:r>
      <w:r>
        <w:t xml:space="preserve">track is interpretable and remains familiar to credit-risk regulators</w:t>
      </w:r>
      <w:r>
        <w:t xml:space="preserve"> </w:t>
      </w:r>
      <w:r>
        <w:t xml:space="preserve">and auditors [TODO: cite scorecard literature, e.g. Anderson 2007 or</w:t>
      </w:r>
      <w:r>
        <w:t xml:space="preserve"> </w:t>
      </w:r>
      <w:r>
        <w:t xml:space="preserve">Siddiqi 2017]. Second, the LightGBM track captures non-linear interactions</w:t>
      </w:r>
      <w:r>
        <w:t xml:space="preserve"> </w:t>
      </w:r>
      <w:r>
        <w:t xml:space="preserve">that the linear track cannot represent without explicit feature</w:t>
      </w:r>
      <w:r>
        <w:t xml:space="preserve"> </w:t>
      </w:r>
      <w:r>
        <w:t xml:space="preserve">engineering, providing an upper bound on the discriminative power available</w:t>
      </w:r>
      <w:r>
        <w:t xml:space="preserve"> </w:t>
      </w:r>
      <w:r>
        <w:t xml:space="preserve">within the locked governance regime [TODO: cite Ke et al. 2017 LightGBM</w:t>
      </w:r>
      <w:r>
        <w:t xml:space="preserve"> </w:t>
      </w:r>
      <w:r>
        <w:t xml:space="preserve">paper].</w:t>
      </w:r>
    </w:p>
    <w:bookmarkEnd w:id="36"/>
    <w:bookmarkStart w:id="37" w:name="stage-1-stage-2-stage-3-selectio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Stage 1 / Stage 2 / Stage 3 selection</w:t>
      </w:r>
    </w:p>
    <w:p>
      <w:pPr>
        <w:pStyle w:val="FirstParagraph"/>
      </w:pPr>
      <w:r>
        <w:t xml:space="preserve">The 7- and 22-feature Logistic Regression models are produced by a</w:t>
      </w:r>
      <w:r>
        <w:t xml:space="preserve"> </w:t>
      </w:r>
      <w:r>
        <w:t xml:space="preserve">three-stage selection pipeline: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1 (univariate prescreening,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src/modeling.py:run_stage1_prescreening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filters by sparsity (</w:t>
      </w:r>
      <w:r>
        <w:rPr>
          <w:rStyle w:val="VerbatimChar"/>
        </w:rPr>
        <w:t xml:space="preserve">pct_nan ≤ 0.5</w:t>
      </w:r>
      <w:r>
        <w:t xml:space="preserve">), variance (train standard</w:t>
      </w:r>
      <w:r>
        <w:t xml:space="preserve"> </w:t>
      </w:r>
      <w:r>
        <w:t xml:space="preserve">deviation &gt; 0), univariate Gini (</w:t>
      </w:r>
      <w:r>
        <w:rPr>
          <w:rStyle w:val="VerbatimChar"/>
        </w:rPr>
        <w:t xml:space="preserve">train_gini ≥ 0.02</w:t>
      </w:r>
      <w:r>
        <w:t xml:space="preserve">), and stability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|train_gini − OOT_gini| / max(train_gini, ε) ≤ 0.20</w:t>
      </w:r>
      <w:r>
        <w:t xml:space="preserve">). The 435</w:t>
      </w:r>
      <w:r>
        <w:t xml:space="preserve"> </w:t>
      </w:r>
      <w:r>
        <w:t xml:space="preserve">PD-eligible features reduce to 120 Stage-1 survivors.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2 (Lasso selection,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run_lasso_selection</w:t>
      </w:r>
      <w:r>
        <w:rPr>
          <w:b/>
          <w:bCs/>
        </w:rPr>
        <w:t xml:space="preserve">)</w:t>
      </w:r>
      <w:r>
        <w:t xml:space="preserve">: a single-fit</w:t>
      </w:r>
      <w:r>
        <w:t xml:space="preserve"> </w:t>
      </w:r>
      <w:r>
        <w:t xml:space="preserve">L1-penalised Logistic Regression at</w:t>
      </w:r>
      <w:r>
        <w:t xml:space="preserve"> </w:t>
      </w:r>
      <w:r>
        <w:rPr>
          <w:rStyle w:val="VerbatimChar"/>
        </w:rPr>
        <w:t xml:space="preserve">C = 0.05</w:t>
      </w:r>
      <w:r>
        <w:t xml:space="preserve"> </w:t>
      </w:r>
      <w:r>
        <w:t xml:space="preserve">on a 100,000-row</w:t>
      </w:r>
      <w:r>
        <w:t xml:space="preserve"> </w:t>
      </w:r>
      <w:r>
        <w:t xml:space="preserve">stratified sub-sample of the training population, using the</w:t>
      </w:r>
      <w:r>
        <w:t xml:space="preserve"> </w:t>
      </w:r>
      <w:r>
        <w:rPr>
          <w:rStyle w:val="VerbatimChar"/>
        </w:rPr>
        <w:t xml:space="preserve">liblinear</w:t>
      </w:r>
      <w:r>
        <w:t xml:space="preserve"> </w:t>
      </w:r>
      <w:r>
        <w:t xml:space="preserve">solver. Single-fit Lasso with a fixed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the established convention</w:t>
      </w:r>
      <w:r>
        <w:t xml:space="preserve"> </w:t>
      </w:r>
      <w:r>
        <w:t xml:space="preserve">for variable selection at this feature-count scale, in preference to</w:t>
      </w:r>
      <w:r>
        <w:t xml:space="preserve"> </w:t>
      </w:r>
      <w:r>
        <w:t xml:space="preserve">Cross-Validated Lasso which is well-known to exhibit instability for</w:t>
      </w:r>
      <w:r>
        <w:t xml:space="preserve"> </w:t>
      </w:r>
      <w:r>
        <w:t xml:space="preserve">selection at low default rates [TODO: cite Hastie, Tibshirani &amp;</w:t>
      </w:r>
      <w:r>
        <w:t xml:space="preserve"> </w:t>
      </w:r>
      <w:r>
        <w:t xml:space="preserve">Wainwright 2015]. A nine-cell sensitivity sweep (Phase 2A diagnostics</w:t>
      </w:r>
      <w:r>
        <w:t xml:space="preserve"> </w:t>
      </w:r>
      <w:r>
        <w:t xml:space="preserve">Test 2) over</w:t>
      </w:r>
      <w:r>
        <w:t xml:space="preserve"> </w:t>
      </w:r>
      <w:r>
        <w:rPr>
          <w:rStyle w:val="VerbatimChar"/>
        </w:rPr>
        <w:t xml:space="preserve">C ∈ {0.02, 0.05, 0.10}</w:t>
      </w:r>
      <w:r>
        <w:t xml:space="preserve"> </w:t>
      </w:r>
      <w:r>
        <w:t xml:space="preserve">and seeds</w:t>
      </w:r>
      <w:r>
        <w:t xml:space="preserve"> </w:t>
      </w:r>
      <w:r>
        <w:rPr>
          <w:rStyle w:val="VerbatimChar"/>
        </w:rPr>
        <w:t xml:space="preserve">{42, 101, 202}</w:t>
      </w:r>
      <w:r>
        <w:t xml:space="preserve"> </w:t>
      </w:r>
      <w:r>
        <w:t xml:space="preserve">produces</w:t>
      </w:r>
      <w:r>
        <w:t xml:space="preserve"> </w:t>
      </w:r>
      <w:r>
        <w:t xml:space="preserve">Jaccard mean overlap of 0.567 across configurations and zero F6D</w:t>
      </w:r>
      <w:r>
        <w:t xml:space="preserve"> </w:t>
      </w:r>
      <w:r>
        <w:t xml:space="preserve">survivors in every cell. Stage 2 reduces 120 to 64 survivors.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Stage 3 (statsmodels logit refinement)</w:t>
      </w:r>
      <w:r>
        <w:t xml:space="preserve">: an unpenalised Logistic</w:t>
      </w:r>
      <w:r>
        <w:t xml:space="preserve"> </w:t>
      </w:r>
      <w:r>
        <w:t xml:space="preserve">Regression on the Stage-2 survivors with Variance Inflation Factor (VIF)</w:t>
      </w:r>
      <w:r>
        <w:t xml:space="preserve"> </w:t>
      </w:r>
      <w:r>
        <w:t xml:space="preserve">inspection and a</w:t>
      </w:r>
      <w:r>
        <w:t xml:space="preserve"> </w:t>
      </w:r>
      <w:r>
        <w:rPr>
          <w:rStyle w:val="VerbatimChar"/>
        </w:rPr>
        <w:t xml:space="preserve">p &lt; 0.05</w:t>
      </w:r>
      <w:r>
        <w:t xml:space="preserve"> </w:t>
      </w:r>
      <w:r>
        <w:t xml:space="preserve">cutoff. The final feature set contains 22</w:t>
      </w:r>
      <w:r>
        <w:t xml:space="preserve"> </w:t>
      </w:r>
      <w:r>
        <w:t xml:space="preserve">features in the full-F6E variant and 7 features in the no-F6E variant.</w:t>
      </w:r>
    </w:p>
    <w:bookmarkEnd w:id="37"/>
    <w:bookmarkStart w:id="38" w:name="lightgbm-tuning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LightGBM tuning</w:t>
      </w:r>
    </w:p>
    <w:p>
      <w:pPr>
        <w:pStyle w:val="FirstParagraph"/>
      </w:pPr>
      <w:r>
        <w:t xml:space="preserve">The LightGBM track was retuned in Phase 2A after an initial run that</w:t>
      </w:r>
      <w:r>
        <w:t xml:space="preserve"> </w:t>
      </w:r>
      <w:r>
        <w:t xml:space="preserve">exhibited pathological early stopping (</w:t>
      </w:r>
      <w:r>
        <w:rPr>
          <w:rStyle w:val="VerbatimChar"/>
        </w:rPr>
        <w:t xml:space="preserve">best_iteration = 1</w:t>
      </w:r>
      <w:r>
        <w:t xml:space="preserve">) and contained</w:t>
      </w:r>
      <w:r>
        <w:t xml:space="preserve"> </w:t>
      </w:r>
      <w:r>
        <w:t xml:space="preserve">one F6D feature in the top-20 by gain. The retune used Optuna [TODO: cite</w:t>
      </w:r>
      <w:r>
        <w:t xml:space="preserve"> </w:t>
      </w:r>
      <w:r>
        <w:t xml:space="preserve">Akiba et al. 2019] with the Tree-structured Parzen Estimator sampler, 30</w:t>
      </w:r>
      <w:r>
        <w:t xml:space="preserve"> </w:t>
      </w:r>
      <w:r>
        <w:t xml:space="preserve">trials, and a search space spanning</w:t>
      </w:r>
      <w:r>
        <w:t xml:space="preserve"> </w:t>
      </w:r>
      <w:r>
        <w:rPr>
          <w:rStyle w:val="VerbatimChar"/>
        </w:rPr>
        <w:t xml:space="preserve">learning_rate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num_leaves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reg_lambda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feature_fraction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bagging_fraction</w:t>
      </w:r>
      <w:r>
        <w:t xml:space="preserve">. The early stopping validation slice was switched from</w:t>
      </w:r>
      <w:r>
        <w:t xml:space="preserve"> </w:t>
      </w:r>
      <w:r>
        <w:t xml:space="preserve">a random 15% sample of training to the temporal calibration cohorts</w:t>
      </w:r>
      <w:r>
        <w:t xml:space="preserve"> </w:t>
      </w:r>
      <w:r>
        <w:t xml:space="preserve">202611-202612, which match the OOT distribution more closely than a random</w:t>
      </w:r>
      <w:r>
        <w:t xml:space="preserve"> </w:t>
      </w:r>
      <w:r>
        <w:t xml:space="preserve">sub-sample. Best parameters from trial 4 (</w:t>
      </w:r>
      <w:r>
        <w:rPr>
          <w:rStyle w:val="VerbatimChar"/>
        </w:rPr>
        <w:t xml:space="preserve">learning_rate = 0.039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num_leaves = 20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min_child_samples = 213</w:t>
      </w:r>
      <w:r>
        <w:t xml:space="preserve">) yielded</w:t>
      </w:r>
      <w:r>
        <w:t xml:space="preserve"> </w:t>
      </w:r>
      <w:r>
        <w:rPr>
          <w:rStyle w:val="VerbatimChar"/>
        </w:rPr>
        <w:t xml:space="preserve">best_iteration = 141</w:t>
      </w:r>
      <w:r>
        <w:t xml:space="preserve"> </w:t>
      </w:r>
      <w:r>
        <w:t xml:space="preserve">and removed F6D from the top-20 by gain. The retuned model achieves OOT</w:t>
      </w:r>
      <w:r>
        <w:t xml:space="preserve"> </w:t>
      </w:r>
      <w:r>
        <w:t xml:space="preserve">AUC = 0.898 and Gini = 0.795 (Tables 3.4a and 3.4b below) and is locked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PD model for downstream Phase 3 and 4 work.</w:t>
      </w:r>
    </w:p>
    <w:bookmarkEnd w:id="38"/>
    <w:bookmarkStart w:id="39" w:name="calibration-design-leak-free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Calibration design (leak-free)</w:t>
      </w:r>
    </w:p>
    <w:p>
      <w:pPr>
        <w:pStyle w:val="FirstParagraph"/>
      </w:pPr>
      <w:r>
        <w:t xml:space="preserve">All four base models are calibrated with Platt scaling [TODO: cite Platt</w:t>
      </w:r>
      <w:r>
        <w:t xml:space="preserve"> </w:t>
      </w:r>
      <w:r>
        <w:t xml:space="preserve">1999]. The calibration design avoids OOT leakage by partitioning the</w:t>
      </w:r>
      <w:r>
        <w:t xml:space="preserve"> </w:t>
      </w:r>
      <w:r>
        <w:t xml:space="preserve">training period into two slices: cohorts 202509-202610 are used for model</w:t>
      </w:r>
      <w:r>
        <w:t xml:space="preserve"> </w:t>
      </w:r>
      <w:r>
        <w:t xml:space="preserve">fitting (</w:t>
      </w:r>
      <w:r>
        <w:rPr>
          <w:rStyle w:val="VerbatimChar"/>
        </w:rPr>
        <w:t xml:space="preserve">train_for_model</w:t>
      </w:r>
      <w:r>
        <w:t xml:space="preserve">, 150,476 rows in the eco-pop view) and cohorts</w:t>
      </w:r>
      <w:r>
        <w:t xml:space="preserve"> </w:t>
      </w:r>
      <w:r>
        <w:t xml:space="preserve">202611-202612 are used for calibration (</w:t>
      </w:r>
      <w:r>
        <w:rPr>
          <w:rStyle w:val="VerbatimChar"/>
        </w:rPr>
        <w:t xml:space="preserve">calib</w:t>
      </w:r>
      <w:r>
        <w:t xml:space="preserve">, 21,465 rows). The OOT</w:t>
      </w:r>
      <w:r>
        <w:t xml:space="preserve"> </w:t>
      </w:r>
      <w:r>
        <w:t xml:space="preserve">cohorts 202701-202706 are touched only at evaluation time. The split is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src/calibration.py:make_calibration_split</w:t>
      </w:r>
      <w:r>
        <w:t xml:space="preserve">, which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the calibration cohorts intersect the original</w:t>
      </w:r>
      <w:r>
        <w:t xml:space="preserve"> </w:t>
      </w:r>
      <w:r>
        <w:rPr>
          <w:rStyle w:val="VerbatimChar"/>
        </w:rPr>
        <w:t xml:space="preserve">oot</w:t>
      </w:r>
      <w:r>
        <w:t xml:space="preserve"> </w:t>
      </w:r>
      <w:r>
        <w:t xml:space="preserve">split, and the Phase 4 bootstrap honours the same partition.</w:t>
      </w:r>
    </w:p>
    <w:p>
      <w:pPr>
        <w:pStyle w:val="BodyText"/>
      </w:pPr>
      <w:r>
        <w:t xml:space="preserve">A deliberate consequence of this design is that the Platt calibrator is</w:t>
      </w:r>
      <w:r>
        <w:t xml:space="preserve"> </w:t>
      </w:r>
      <w:r>
        <w:t xml:space="preserve">mean-anchored to the calibration-slice base rate (~0.85%) rather than the</w:t>
      </w:r>
      <w:r>
        <w:t xml:space="preserve"> </w:t>
      </w:r>
      <w:r>
        <w:t xml:space="preserve">eco-OOT base rate (1.92%, after excluding 12-month loans — see</w:t>
      </w:r>
      <w:r>
        <w:t xml:space="preserve"> </w:t>
      </w:r>
      <w:r>
        <w:t xml:space="preserve">Section 3.4). On the eco-OOT subset the LightGBM Platt-calibrated mean</w:t>
      </w:r>
      <w:r>
        <w:t xml:space="preserve"> </w:t>
      </w:r>
      <w:r>
        <w:t xml:space="preserve">predicted PD is 0.94% versus the empirical 1.92%, a predicted-to-observed</w:t>
      </w:r>
      <w:r>
        <w:t xml:space="preserve"> </w:t>
      </w:r>
      <w:r>
        <w:t xml:space="preserve">ratio of 0.49, corresponding to under-prediction by roughly a factor of</w:t>
      </w:r>
      <w:r>
        <w:t xml:space="preserve"> </w:t>
      </w:r>
      <w:r>
        <w:t xml:space="preserve">two on the eco-OOT subset. This is documented as a real calibration</w:t>
      </w:r>
      <w:r>
        <w:t xml:space="preserve"> </w:t>
      </w:r>
      <w:r>
        <w:t xml:space="preserve">weakness in Limitations §6 and reflected in Fig 6 (reliability diagrams).</w:t>
      </w:r>
      <w:r>
        <w:t xml:space="preserve"> </w:t>
      </w:r>
      <w:r>
        <w:t xml:space="preserve">The PD-multiplier scenarios used in Phase 3 and 4 (multipliers</w:t>
      </w:r>
      <w:r>
        <w:t xml:space="preserve"> </w:t>
      </w:r>
      <w:r>
        <w:t xml:space="preserve">{1, 2, 3, 5}) approximately bracket this calibration drift; the</w:t>
      </w:r>
      <w:r>
        <w:t xml:space="preserve"> </w:t>
      </w:r>
      <w:r>
        <w:t xml:space="preserve">profit-vs-Youden hypothesis is tested at every multiplier and survives</w:t>
      </w:r>
      <w:r>
        <w:t xml:space="preserve"> </w:t>
      </w:r>
      <w:r>
        <w:t xml:space="preserve">each one.</w:t>
      </w:r>
    </w:p>
    <w:bookmarkEnd w:id="39"/>
    <w:bookmarkStart w:id="40" w:name="oot-performance-comparison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OOT performance comparison</w:t>
      </w:r>
    </w:p>
    <w:p>
      <w:pPr>
        <w:pStyle w:val="FirstParagraph"/>
      </w:pPr>
      <w:r>
        <w:t xml:space="preserve">The OOT performance of the four base models is summarised in two tables</w:t>
      </w:r>
      <w:r>
        <w:t xml:space="preserve"> </w:t>
      </w:r>
      <w:r>
        <w:t xml:space="preserve">that intentionally separate two different evaluations on two different</w:t>
      </w:r>
      <w:r>
        <w:t xml:space="preserve"> </w:t>
      </w:r>
      <w:r>
        <w:t xml:space="preserve">populations. Table 3.4a reports</w:t>
      </w:r>
      <w:r>
        <w:t xml:space="preserve"> </w:t>
      </w:r>
      <w:r>
        <w:rPr>
          <w:i/>
          <w:iCs/>
        </w:rPr>
        <w:t xml:space="preserve">discrimination</w:t>
      </w:r>
      <w:r>
        <w:t xml:space="preserve"> </w:t>
      </w:r>
      <w:r>
        <w:t xml:space="preserve">metrics (AUC, Gini, KS)</w:t>
      </w:r>
      <w:r>
        <w:t xml:space="preserve"> </w:t>
      </w:r>
      <w:r>
        <w:t xml:space="preserve">on the full OOT split of the wide ABT (n = 144,789, all tenors). These</w:t>
      </w:r>
      <w:r>
        <w:t xml:space="preserve"> </w:t>
      </w:r>
      <w:r>
        <w:t xml:space="preserve">are taken from the per-phase modelling reports and depend only on the</w:t>
      </w:r>
      <w:r>
        <w:t xml:space="preserve"> </w:t>
      </w:r>
      <w:r>
        <w:t xml:space="preserve">ranking induced by each model — they are invariant to calibration. Table</w:t>
      </w:r>
      <w:r>
        <w:t xml:space="preserve"> </w:t>
      </w:r>
      <w:r>
        <w:t xml:space="preserve">3.4b reports</w:t>
      </w:r>
      <w:r>
        <w:t xml:space="preserve"> </w:t>
      </w:r>
      <w:r>
        <w:rPr>
          <w:i/>
          <w:iCs/>
        </w:rPr>
        <w:t xml:space="preserve">calibration</w:t>
      </w:r>
      <w:r>
        <w:t xml:space="preserve"> </w:t>
      </w:r>
      <w:r>
        <w:t xml:space="preserve">metrics (Brier, ECE, mean predicted vs</w:t>
      </w:r>
      <w:r>
        <w:t xml:space="preserve"> </w:t>
      </w:r>
      <w:r>
        <w:t xml:space="preserve">observed) on the economics-eligible OOT subset (n = 64,027, 24m and 36m</w:t>
      </w:r>
      <w:r>
        <w:t xml:space="preserve"> </w:t>
      </w:r>
      <w:r>
        <w:t xml:space="preserve">only). These are taken from</w:t>
      </w:r>
      <w:r>
        <w:t xml:space="preserve"> </w:t>
      </w:r>
      <w:r>
        <w:rPr>
          <w:rStyle w:val="VerbatimChar"/>
        </w:rPr>
        <w:t xml:space="preserve">artifacts/calibration_verification/calibration_summary.csv</w:t>
      </w:r>
      <w:r>
        <w:t xml:space="preserve"> </w:t>
      </w:r>
      <w:r>
        <w:t xml:space="preserve">and reveal</w:t>
      </w:r>
      <w:r>
        <w:t xml:space="preserve"> </w:t>
      </w:r>
      <w:r>
        <w:t xml:space="preserve">the calibration drift that motivated the caveat in the calibration design</w:t>
      </w:r>
      <w:r>
        <w:t xml:space="preserve"> </w:t>
      </w:r>
      <w:r>
        <w:t xml:space="preserve">discussion above.</w:t>
      </w:r>
    </w:p>
    <w:p>
      <w:pPr>
        <w:pStyle w:val="BodyText"/>
      </w:pPr>
      <w:r>
        <w:t xml:space="preserve">The discrimination ranking and the calibration ranking do not coincide:</w:t>
      </w:r>
      <w:r>
        <w:t xml:space="preserve"> </w:t>
      </w:r>
      <w:r>
        <w:t xml:space="preserve">the LightGBM track dominates the discrimination ranking (highest AUC,</w:t>
      </w:r>
      <w:r>
        <w:t xml:space="preserve"> </w:t>
      </w:r>
      <w:r>
        <w:t xml:space="preserve">Gini, KS) but underestimates the empirical default rate by roughly a</w:t>
      </w:r>
      <w:r>
        <w:t xml:space="preserve"> </w:t>
      </w:r>
      <w:r>
        <w:t xml:space="preserve">factor of two on the eco-OOT subset; the LR full-F6E and LR no-F6E</w:t>
      </w:r>
      <w:r>
        <w:t xml:space="preserve"> </w:t>
      </w:r>
      <w:r>
        <w:t xml:space="preserve">variants have the lowest Expected Calibration Error but with weaker</w:t>
      </w:r>
      <w:r>
        <w:t xml:space="preserve"> </w:t>
      </w:r>
      <w:r>
        <w:t xml:space="preserve">discrimination than LightGBM. The 7-feature LR no-F6E is recommended as</w:t>
      </w:r>
      <w:r>
        <w:t xml:space="preserve"> </w:t>
      </w:r>
      <w:r>
        <w:t xml:space="preserve">the lean reference when interpretability is paramount; the 22-feature LR</w:t>
      </w:r>
      <w:r>
        <w:t xml:space="preserve"> </w:t>
      </w:r>
      <w:r>
        <w:t xml:space="preserve">full-F6E is the robustness variant; LightGBM is the primary predictive</w:t>
      </w:r>
      <w:r>
        <w:t xml:space="preserve"> </w:t>
      </w:r>
      <w:r>
        <w:t xml:space="preserve">model with the calibration caveat documented in Limitations §6. Figure 6</w:t>
      </w:r>
      <w:r>
        <w:t xml:space="preserve"> </w:t>
      </w:r>
      <w:r>
        <w:t xml:space="preserve">shows reliability diagrams for the four models on the eco-OOT subset;</w:t>
      </w:r>
      <w:r>
        <w:t xml:space="preserve"> </w:t>
      </w:r>
      <w:r>
        <w:t xml:space="preserve">Figure 7 compares the top-20 features by gain (LightGBM) and signed</w:t>
      </w:r>
      <w:r>
        <w:t xml:space="preserve"> </w:t>
      </w:r>
      <w:r>
        <w:t xml:space="preserve">coefficient (LR full-F6E).</w:t>
      </w:r>
    </w:p>
    <w:p>
      <w:pPr>
        <w:pStyle w:val="BodyText"/>
      </w:pPr>
      <w:r>
        <w:rPr>
          <w:b/>
          <w:bCs/>
        </w:rPr>
        <w:t xml:space="preserve">Table 3.4a — Discrimination on the full OOT split (n = 144,789, all tenors)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1440"/>
        <w:gridCol w:w="1296"/>
        <w:gridCol w:w="1440"/>
        <w:gridCol w:w="115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OOT Brier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no-F6E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full-F6E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LightGBM tuned 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 (best_iter 141)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no-F6E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artifacts/phase2_rerun_v2/model_metrics.json</w:t>
      </w:r>
      <w:r>
        <w:t xml:space="preserve"> </w:t>
      </w:r>
      <w:r>
        <w:t xml:space="preserve">(LR full-F6E),</w:t>
      </w:r>
      <w:r>
        <w:t xml:space="preserve"> </w:t>
      </w:r>
      <w:r>
        <w:rPr>
          <w:rStyle w:val="VerbatimChar"/>
        </w:rPr>
        <w:t xml:space="preserve">artifacts/phase2_rerun_v2/diagnostics/test1_f6e_ablation.json</w:t>
      </w:r>
      <w:r>
        <w:t xml:space="preserve"> </w:t>
      </w:r>
      <w:r>
        <w:t xml:space="preserve">(LR</w:t>
      </w:r>
      <w:r>
        <w:t xml:space="preserve"> </w:t>
      </w:r>
      <w:r>
        <w:t xml:space="preserve">no-F6E),</w:t>
      </w:r>
      <w:r>
        <w:t xml:space="preserve"> </w:t>
      </w:r>
      <w:r>
        <w:rPr>
          <w:rStyle w:val="VerbatimChar"/>
        </w:rPr>
        <w:t xml:space="preserve">artifacts/pd_model/lightgbm_tuning_results.json</w:t>
      </w:r>
      <w:r>
        <w:t xml:space="preserve"> </w:t>
      </w:r>
      <w:r>
        <w:t xml:space="preserve">(LightGBM</w:t>
      </w:r>
      <w:r>
        <w:t xml:space="preserve"> </w:t>
      </w:r>
      <w:r>
        <w:t xml:space="preserve">tuned),</w:t>
      </w:r>
      <w:r>
        <w:t xml:space="preserve"> </w:t>
      </w:r>
      <w:r>
        <w:rPr>
          <w:rStyle w:val="VerbatimChar"/>
        </w:rPr>
        <w:t xml:space="preserve">artifacts/scorecard/scorecard_metrics.json</w:t>
      </w:r>
      <w:r>
        <w:t xml:space="preserve"> </w:t>
      </w:r>
      <w:r>
        <w:t xml:space="preserve">(Scorecard no-F6E).</w:t>
      </w:r>
      <w:r>
        <w:t xml:space="preserve"> </w:t>
      </w:r>
      <w:r>
        <w:t xml:space="preserve">Brier values shown here are computed on the full OOT split (base rate</w:t>
      </w:r>
      <w:r>
        <w:t xml:space="preserve"> </w:t>
      </w:r>
      <w:r>
        <w:t xml:space="preserve">~0.85%, including 12-month loans whose default rate is structurally</w:t>
      </w:r>
      <w:r>
        <w:t xml:space="preserve"> </w:t>
      </w:r>
      <w:r>
        <w:t xml:space="preserve">zero); compare with Table 3.4b for the higher-base-rate eco-OOT Brier</w:t>
      </w:r>
      <w:r>
        <w:t xml:space="preserve"> </w:t>
      </w:r>
      <w:r>
        <w:t xml:space="preserve">values.</w:t>
      </w:r>
    </w:p>
    <w:p>
      <w:pPr>
        <w:pStyle w:val="BodyText"/>
      </w:pPr>
      <w:r>
        <w:rPr>
          <w:b/>
          <w:bCs/>
        </w:rPr>
        <w:t xml:space="preserve">Table 3.4b — Calibration on the eco-OOT subset (n = 64,027, 24m and 36m</w:t>
      </w:r>
      <w:r>
        <w:rPr>
          <w:b/>
          <w:bCs/>
        </w:rPr>
        <w:t xml:space="preserve"> </w:t>
      </w:r>
      <w:r>
        <w:rPr>
          <w:b/>
          <w:bCs/>
        </w:rPr>
        <w:t xml:space="preserve">only, post-Platt)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1156"/>
        <w:gridCol w:w="533"/>
        <w:gridCol w:w="622"/>
        <w:gridCol w:w="444"/>
        <w:gridCol w:w="1423"/>
        <w:gridCol w:w="19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(post-Platt)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Eco-OOT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predicted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mean_pred /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LightGBM Platt (PRIMARY)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full-F6E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 no-F6E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no-F6E +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</w:t>
            </w:r>
            <w:r>
              <w:t xml:space="preserve"> </w:t>
            </w:r>
            <w:r>
              <w:t xml:space="preserve">⚠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artifacts/calibration_verification/calibration_summary.csv</w:t>
      </w:r>
      <w:r>
        <w:t xml:space="preserve">. The</w:t>
      </w:r>
      <w:r>
        <w:t xml:space="preserve"> </w:t>
      </w:r>
      <w:r>
        <w:t xml:space="preserve">empirical eco-OOT base rate is 1.92%. The two ⚠ markers identify</w:t>
      </w:r>
      <w:r>
        <w:t xml:space="preserve"> </w:t>
      </w:r>
      <w:r>
        <w:t xml:space="preserve">under-predicting models on this subset: LightGBM Platt and Scorecard</w:t>
      </w:r>
      <w:r>
        <w:t xml:space="preserve"> </w:t>
      </w:r>
      <w:r>
        <w:t xml:space="preserve">no-F6E predict less than half the empirical default rate, while the</w:t>
      </w:r>
      <w:r>
        <w:t xml:space="preserve"> </w:t>
      </w:r>
      <w:r>
        <w:t xml:space="preserve">two LR variants are within 8% of the empirical rate. Brier scores are</w:t>
      </w:r>
      <w:r>
        <w:t xml:space="preserve"> </w:t>
      </w:r>
      <w:r>
        <w:t xml:space="preserve">higher than in Table 3.4a because the eco-OOT base rate is higher</w:t>
      </w:r>
      <w:r>
        <w:t xml:space="preserve"> </w:t>
      </w:r>
      <w:r>
        <w:t xml:space="preserve">(1.92% vs ~0.85%); the Scorecard’s Brier 0.0179 is essentially at the</w:t>
      </w:r>
      <w:r>
        <w:t xml:space="preserve"> </w:t>
      </w:r>
      <w:r>
        <w:t xml:space="preserve">“constant-base-rate predictor”</w:t>
      </w:r>
      <w:r>
        <w:t xml:space="preserve"> </w:t>
      </w:r>
      <w:r>
        <w:t xml:space="preserve">floor of 0.0188, consistent with its</w:t>
      </w:r>
      <w:r>
        <w:t xml:space="preserve"> </w:t>
      </w:r>
      <w:r>
        <w:t xml:space="preserve">Gini 0.606 — i.e., the Scorecard is the worst-discriminating of the</w:t>
      </w:r>
      <w:r>
        <w:t xml:space="preserve"> </w:t>
      </w:r>
      <w:r>
        <w:t xml:space="preserve">four and consequently has the worst Brier on this population, whereas</w:t>
      </w:r>
      <w:r>
        <w:t xml:space="preserve"> </w:t>
      </w:r>
      <w:r>
        <w:t xml:space="preserve">its ECE 0.0100 is comparable to LightGBM’s. The discrimination ranking</w:t>
      </w:r>
      <w:r>
        <w:t xml:space="preserve"> </w:t>
      </w:r>
      <w:r>
        <w:t xml:space="preserve">shifts marginally between Tables 3.4a and 3.4b because the eco-OOT</w:t>
      </w:r>
      <w:r>
        <w:t xml:space="preserve"> </w:t>
      </w:r>
      <w:r>
        <w:t xml:space="preserve">subset excludes the 12-month loans that have a structurally zero default</w:t>
      </w:r>
      <w:r>
        <w:t xml:space="preserve"> </w:t>
      </w:r>
      <w:r>
        <w:t xml:space="preserve">rate (Section 3.4).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economic-framework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3.4 Economic Framework</w:t>
      </w:r>
    </w:p>
    <w:bookmarkStart w:id="42" w:name="schema-audit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Schema audit</w:t>
      </w:r>
    </w:p>
    <w:p>
      <w:pPr>
        <w:pStyle w:val="FirstParagraph"/>
      </w:pPr>
      <w:r>
        <w:t xml:space="preserve">Before implementing any economic formula the wide ABT was audited for the</w:t>
      </w:r>
      <w:r>
        <w:t xml:space="preserve"> </w:t>
      </w:r>
      <w:r>
        <w:t xml:space="preserve">fields required by tenor-aware Lifetime Expected Loss and Lifetime Net</w:t>
      </w:r>
      <w:r>
        <w:t xml:space="preserve"> </w:t>
      </w:r>
      <w:r>
        <w:t xml:space="preserve">Margin (</w:t>
      </w:r>
      <w:r>
        <w:rPr>
          <w:rStyle w:val="VerbatimChar"/>
        </w:rPr>
        <w:t xml:space="preserve">artifacts/economic_framework/schema_audit_report.md</w:t>
      </w:r>
      <w:r>
        <w:t xml:space="preserve">). Three</w:t>
      </w:r>
      <w:r>
        <w:t xml:space="preserve"> </w:t>
      </w:r>
      <w:r>
        <w:t xml:space="preserve">findings shape the framework. First, the simulator is</w:t>
      </w:r>
      <w:r>
        <w:t xml:space="preserve"> </w:t>
      </w:r>
      <w:r>
        <w:rPr>
          <w:i/>
          <w:iCs/>
        </w:rPr>
        <w:t xml:space="preserve">zero-interest</w:t>
      </w:r>
      <w:r>
        <w:t xml:space="preserve">:</w:t>
      </w:r>
      <w:r>
        <w:t xml:space="preserve"> </w:t>
      </w:r>
      <w:r>
        <w:t xml:space="preserve">the ratio</w:t>
      </w:r>
      <w:r>
        <w:t xml:space="preserve"> </w:t>
      </w:r>
      <w:r>
        <w:rPr>
          <w:rStyle w:val="VerbatimChar"/>
        </w:rPr>
        <w:t xml:space="preserve">installment × n_installments / loan_amount</w:t>
      </w:r>
      <w:r>
        <w:t xml:space="preserve"> </w:t>
      </w:r>
      <w:r>
        <w:t xml:space="preserve">is 1.000000 ±</w:t>
      </w:r>
      <w:r>
        <w:t xml:space="preserve"> </w:t>
      </w:r>
      <w:r>
        <w:t xml:space="preserve">0.000000 across all rows. APR is therefore exogenous to the simulator and</w:t>
      </w:r>
      <w:r>
        <w:t xml:space="preserve"> </w:t>
      </w:r>
      <w:r>
        <w:t xml:space="preserve">must be supplied as a methodological assumption. Second, tenor varies</w:t>
      </w:r>
      <w:r>
        <w:t xml:space="preserve"> </w:t>
      </w:r>
      <w:r>
        <w:t xml:space="preserve">across only three values — 12, 24, and 36 months — and 12-month loans</w:t>
      </w:r>
      <w:r>
        <w:t xml:space="preserve"> </w:t>
      </w:r>
      <w:r>
        <w:t xml:space="preserve">exhibit a structurally impossible default rate (Section 3.4 below). Third,</w:t>
      </w:r>
      <w:r>
        <w:t xml:space="preserve"> </w:t>
      </w:r>
      <w:r>
        <w:t xml:space="preserve">LGD can in principle be derived from the post-default repayment trace in</w:t>
      </w:r>
      <w:r>
        <w:t xml:space="preserve"> </w:t>
      </w:r>
      <w:r>
        <w:rPr>
          <w:rStyle w:val="VerbatimChar"/>
        </w:rPr>
        <w:t xml:space="preserve">transactions.csv</w:t>
      </w:r>
      <w:r>
        <w:t xml:space="preserve"> </w:t>
      </w:r>
      <w:r>
        <w:t xml:space="preserve">but is treated as exogenous in the locked thesis design;</w:t>
      </w:r>
      <w:r>
        <w:t xml:space="preserve"> </w:t>
      </w:r>
      <w:r>
        <w:t xml:space="preserve">empirical LGD recovery is identified as Future Work F1.</w:t>
      </w:r>
    </w:p>
    <w:bookmarkEnd w:id="42"/>
    <w:bookmarkStart w:id="43" w:name="month-loan-exclusion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12-month loan exclusion</w:t>
      </w:r>
    </w:p>
    <w:p>
      <w:pPr>
        <w:pStyle w:val="FirstParagraph"/>
      </w:pPr>
      <w:r>
        <w:t xml:space="preserve">The simulator’s write-off mechanism requires 12 missed instalments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triggered 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). For a</w:t>
      </w:r>
      <w:r>
        <w:t xml:space="preserve"> </w:t>
      </w:r>
      <w:r>
        <w:t xml:space="preserve">12-month loan the maximum number of missed instalments achievable while</w:t>
      </w:r>
      <w:r>
        <w:t xml:space="preserve"> </w:t>
      </w:r>
      <w:r>
        <w:t xml:space="preserve">the loan remains active is exactly 12, reached at month 12 — the</w:t>
      </w:r>
      <w:r>
        <w:t xml:space="preserve"> </w:t>
      </w:r>
      <w:r>
        <w:t xml:space="preserve">loan’s terminal month. The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target is observed over the</w:t>
      </w:r>
      <w:r>
        <w:t xml:space="preserve"> </w:t>
      </w:r>
      <w:r>
        <w:t xml:space="preserve">forward window</w:t>
      </w:r>
      <w:r>
        <w:t xml:space="preserve"> </w:t>
      </w:r>
      <w:r>
        <w:rPr>
          <w:rStyle w:val="VerbatimChar"/>
        </w:rPr>
        <w:t xml:space="preserve">offset ∈ [12, 23]</w:t>
      </w:r>
      <w:r>
        <w:t xml:space="preserve">, i.e. months 13-24. A 12-month loan is</w:t>
      </w:r>
      <w:r>
        <w:t xml:space="preserve"> </w:t>
      </w:r>
      <w:r>
        <w:t xml:space="preserve">already closed (paid or written off at month 12) before the target window</w:t>
      </w:r>
      <w:r>
        <w:t xml:space="preserve"> </w:t>
      </w:r>
      <w:r>
        <w:t xml:space="preserve">begins, so the target is structurally unreachable. The empirical default</w:t>
      </w:r>
      <w:r>
        <w:t xml:space="preserve"> </w:t>
      </w:r>
      <w:r>
        <w:t xml:space="preserve">rate on 12-month loans is consequently 0/298,346 = 0.000% (compared with</w:t>
      </w:r>
      <w:r>
        <w:t xml:space="preserve"> </w:t>
      </w:r>
      <w:r>
        <w:t xml:space="preserve">2.31% for 24-month loans and 4.43% for 36-month loans). Including</w:t>
      </w:r>
      <w:r>
        <w:t xml:space="preserve"> </w:t>
      </w:r>
      <w:r>
        <w:t xml:space="preserve">12-month loans in the economic analysis would mechanically deflate</w:t>
      </w:r>
      <w:r>
        <w:t xml:space="preserve"> </w:t>
      </w:r>
      <w:r>
        <w:t xml:space="preserve">portfolio-level default rates by mixing in 298,346 zero-default rows.</w:t>
      </w:r>
    </w:p>
    <w:p>
      <w:pPr>
        <w:pStyle w:val="BodyText"/>
      </w:pPr>
      <w:r>
        <w:t xml:space="preserve">The thesis therefore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12-month loans from the economic-analysis</w:t>
      </w:r>
      <w:r>
        <w:t xml:space="preserve"> </w:t>
      </w:r>
      <w:r>
        <w:t xml:space="preserve">population, reducing it from 534,314 modelling rows to 235,968 economic</w:t>
      </w:r>
      <w:r>
        <w:t xml:space="preserve"> </w:t>
      </w:r>
      <w:r>
        <w:t xml:space="preserve">rows. This is a</w:t>
      </w:r>
      <w:r>
        <w:t xml:space="preserve"> </w:t>
      </w:r>
      <w:r>
        <w:rPr>
          <w:i/>
          <w:iCs/>
        </w:rPr>
        <w:t xml:space="preserve">scope refinement</w:t>
      </w:r>
      <w:r>
        <w:t xml:space="preserve"> </w:t>
      </w:r>
      <w:r>
        <w:t xml:space="preserve">documented honestly in Limitations §2,</w:t>
      </w:r>
      <w:r>
        <w:t xml:space="preserve"> </w:t>
      </w:r>
      <w:r>
        <w:t xml:space="preserve">not an H1 violation: the H1 row-count threshold is met at the modelling</w:t>
      </w:r>
      <w:r>
        <w:t xml:space="preserve"> </w:t>
      </w:r>
      <w:r>
        <w:t xml:space="preserve">level. Real institutions with 12-month products would observe non-zero</w:t>
      </w:r>
      <w:r>
        <w:t xml:space="preserve"> </w:t>
      </w:r>
      <w:r>
        <w:t xml:space="preserve">default rates; the exclusion is specific to the simulator’s target-timing</w:t>
      </w:r>
      <w:r>
        <w:t xml:space="preserve"> </w:t>
      </w:r>
      <w:r>
        <w:t xml:space="preserve">artifact and does not generalise.</w:t>
      </w:r>
    </w:p>
    <w:bookmarkEnd w:id="43"/>
    <w:bookmarkStart w:id="44" w:name="locked-formula-stack"/>
    <w:p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Locked formula stack</w:t>
      </w:r>
    </w:p>
    <w:p>
      <w:pPr>
        <w:pStyle w:val="FirstParagraph"/>
      </w:pPr>
      <w:r>
        <w:t xml:space="preserve">The economic formulas are locked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and</w:t>
      </w:r>
      <w:r>
        <w:t xml:space="preserve"> </w:t>
      </w:r>
      <w:r>
        <w:t xml:space="preserve">implemented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. Every function in the implementation</w:t>
      </w:r>
      <w:r>
        <w:t xml:space="preserve"> </w:t>
      </w:r>
      <w:r>
        <w:t xml:space="preserve">cites the lock section it implements. Nine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properties (e.g.,</w:t>
      </w:r>
      <w:r>
        <w:t xml:space="preserve"> </w:t>
      </w:r>
      <w:r>
        <w:rPr>
          <w:rStyle w:val="VerbatimChar"/>
        </w:rPr>
        <w:t xml:space="preserve">Σ marginal_PD_t over 12 months = PD_12m</w:t>
      </w:r>
      <w:r>
        <w:t xml:space="preserve">), monotonicity (LT_EL increases</w:t>
      </w:r>
      <w:r>
        <w:t xml:space="preserve"> </w:t>
      </w:r>
      <w:r>
        <w:t xml:space="preserve">with PD, LGD, and loan amount; Expected Profit increases with APR;</w:t>
      </w:r>
      <w:r>
        <w:t xml:space="preserve"> </w:t>
      </w:r>
      <w:r>
        <w:t xml:space="preserve">Expected Profit decreases with LGD), and the no-double-counting identity</w:t>
      </w:r>
      <w:r>
        <w:t xml:space="preserve"> </w:t>
      </w:r>
      <w:r>
        <w:rPr>
          <w:rStyle w:val="VerbatimChar"/>
        </w:rPr>
        <w:t xml:space="preserve">Expected_Profit ≡ LT_margin − LT_EL</w:t>
      </w:r>
      <w:r>
        <w:t xml:space="preserve">. All nine tests pass.</w:t>
      </w:r>
    </w:p>
    <w:p>
      <w:pPr>
        <w:pStyle w:val="BodyText"/>
      </w:pPr>
      <w:r>
        <w:t xml:space="preserve">The conversion from the calibrated 12-month forward PD to a monthly</w:t>
      </w:r>
      <w:r>
        <w:t xml:space="preserve"> </w:t>
      </w:r>
      <w:r>
        <w:t xml:space="preserve">hazard uses the standard constant-hazard inversion: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PD</m:t>
              </m:r>
            </m:e>
            <m:sub>
              <m:r>
                <m:t>12</m:t>
              </m:r>
              <m:r>
                <m:t>m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t xml:space="preserve">The marginal PD schedule is then</w:t>
      </w:r>
      <w:r>
        <w:t xml:space="preserve"> </w:t>
      </w:r>
      <w:r>
        <w:rPr>
          <w:rStyle w:val="VerbatimChar"/>
        </w:rPr>
        <w:t xml:space="preserve">survival_begin_t = (1 − h)^(t−1)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marginal_PD_t = survival_begin_t · h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 = 1..n_installments</w:t>
      </w:r>
      <w:r>
        <w:t xml:space="preserve">. By</w:t>
      </w:r>
      <w:r>
        <w:t xml:space="preserve"> </w:t>
      </w:r>
      <w:r>
        <w:t xml:space="preserve">construction</w:t>
      </w:r>
      <w:r>
        <w:t xml:space="preserve"> </w:t>
      </w:r>
      <w:r>
        <w:rPr>
          <w:rStyle w:val="VerbatimChar"/>
        </w:rPr>
        <w:t xml:space="preserve">Σ_{t=1..12} marginal_PD_t = PD_12m</w:t>
      </w:r>
      <w:r>
        <w:t xml:space="preserve">. For tenors greater than</w:t>
      </w:r>
      <w:r>
        <w:t xml:space="preserve"> </w:t>
      </w:r>
      <w:r>
        <w:t xml:space="preserve">12 months the same monthly hazard is extrapolated through the full</w:t>
      </w:r>
      <w:r>
        <w:t xml:space="preserve"> </w:t>
      </w:r>
      <w:r>
        <w:t xml:space="preserve">amortization schedule; this is the</w:t>
      </w:r>
      <w:r>
        <w:t xml:space="preserve"> </w:t>
      </w:r>
      <w:r>
        <w:rPr>
          <w:i/>
          <w:iCs/>
        </w:rPr>
        <w:t xml:space="preserve">constant-hazard assumption</w:t>
      </w:r>
      <w:r>
        <w:t xml:space="preserve"> </w:t>
      </w:r>
      <w:r>
        <w:t xml:space="preserve">documented in Limitations §5 and identified as Future Work F4. The</w:t>
      </w:r>
      <w:r>
        <w:t xml:space="preserve"> </w:t>
      </w:r>
      <w:r>
        <w:t xml:space="preserve">amortization schedule itself uses standard French annuity arithmetic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src/economics.py:amortization_schedule</w:t>
      </w:r>
      <w:r>
        <w:t xml:space="preserve">); for</w:t>
      </w:r>
      <w:r>
        <w:t xml:space="preserve"> </w:t>
      </w:r>
      <w:r>
        <w:rPr>
          <w:rStyle w:val="VerbatimChar"/>
        </w:rPr>
        <w:t xml:space="preserve">apr = 0</w:t>
      </w:r>
      <w:r>
        <w:t xml:space="preserve"> </w:t>
      </w:r>
      <w:r>
        <w:t xml:space="preserve">the schedule</w:t>
      </w:r>
      <w:r>
        <w:t xml:space="preserve"> </w:t>
      </w:r>
      <w:r>
        <w:t xml:space="preserve">reduces to straight-line principal repayment, and for</w:t>
      </w:r>
      <w:r>
        <w:t xml:space="preserve"> </w:t>
      </w:r>
      <w:r>
        <w:rPr>
          <w:rStyle w:val="VerbatimChar"/>
        </w:rPr>
        <w:t xml:space="preserve">apr &gt; 0</w:t>
      </w:r>
      <w:r>
        <w:t xml:space="preserve"> </w:t>
      </w:r>
      <w:r>
        <w:t xml:space="preserve">it</w:t>
      </w:r>
      <w:r>
        <w:t xml:space="preserve"> </w:t>
      </w:r>
      <w:r>
        <w:t xml:space="preserve">produces the familiar declining-balance interest profile.</w:t>
      </w:r>
    </w:p>
    <w:p>
      <w:pPr>
        <w:pStyle w:val="BodyText"/>
      </w:pPr>
      <w:r>
        <w:t xml:space="preserve">EAD at month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set equal to the beginning-of-month outstanding</w:t>
      </w:r>
      <w:r>
        <w:t xml:space="preserve"> </w:t>
      </w:r>
      <w:r>
        <w:t xml:space="preserve">balance from the amortization schedule (</w:t>
      </w:r>
      <w:r>
        <w:rPr>
          <w:rStyle w:val="VerbatimChar"/>
        </w:rPr>
        <w:t xml:space="preserve">EAD_t = balance_begin_t</w:t>
      </w:r>
      <w:r>
        <w:t xml:space="preserve">). This</w:t>
      </w:r>
      <w:r>
        <w:t xml:space="preserve"> </w:t>
      </w:r>
      <w:r>
        <w:t xml:space="preserve">is more conservative than treating the entire principal as exposure for</w:t>
      </w:r>
      <w:r>
        <w:t xml:space="preserve"> </w:t>
      </w:r>
      <w:r>
        <w:t xml:space="preserve">the full tenor and accurately reflects the declining loss profile of an</w:t>
      </w:r>
      <w:r>
        <w:t xml:space="preserve"> </w:t>
      </w:r>
      <w:r>
        <w:t xml:space="preserve">amortising loan.</w:t>
      </w:r>
    </w:p>
    <w:p>
      <w:pPr>
        <w:pStyle w:val="BodyText"/>
      </w:pPr>
      <w:r>
        <w:t xml:space="preserve">The Lifetime Expected Loss is the discounted sum of period-by-period</w:t>
      </w:r>
      <w:r>
        <w:t xml:space="preserve"> </w:t>
      </w:r>
      <w:r>
        <w:t xml:space="preserve">expected losses: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LT_EL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installments</m:t>
                  </m:r>
                </m:sub>
              </m:sSub>
            </m:sup>
            <m:e>
              <m:sSub>
                <m:e>
                  <m:r>
                    <m:rPr>
                      <m:nor/>
                      <m:sty m:val="p"/>
                    </m:rPr>
                    <m:t>marginal_PD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LGD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EAD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discount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Lifetime Margin (gross of credit loss) accumulates expected interest</w:t>
      </w:r>
      <w:r>
        <w:t xml:space="preserve"> </w:t>
      </w:r>
      <w:r>
        <w:t xml:space="preserve">revenue weighted by survival, net of any operating cost: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LT_margin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installments</m:t>
                  </m:r>
                </m:sub>
              </m:sSub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survival_begin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net_interest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op_cost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discount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net_interest_t = balance_begin_t · max(APR − COF, 0) / 12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op_cost_t = survival_begin_t · loan_amount · op_cost_annual / 12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max(·, 0)</w:t>
      </w:r>
      <w:r>
        <w:t xml:space="preserve"> </w:t>
      </w:r>
      <w:r>
        <w:t xml:space="preserve">floor on</w:t>
      </w:r>
      <w:r>
        <w:t xml:space="preserve"> </w:t>
      </w:r>
      <w:r>
        <w:rPr>
          <w:rStyle w:val="VerbatimChar"/>
        </w:rPr>
        <w:t xml:space="preserve">APR − COF</w:t>
      </w:r>
      <w:r>
        <w:t xml:space="preserve"> </w:t>
      </w:r>
      <w:r>
        <w:t xml:space="preserve">enforces non-negative net interest in</w:t>
      </w:r>
      <w:r>
        <w:t xml:space="preserve"> </w:t>
      </w:r>
      <w:r>
        <w:t xml:space="preserve">configurations where funding cost exceeds APR.</w:t>
      </w:r>
    </w:p>
    <w:p>
      <w:pPr>
        <w:pStyle w:val="BodyText"/>
      </w:pPr>
      <w:r>
        <w:t xml:space="preserve">The Expected Net Profit subtracts LT_EL exactly once and includes the</w:t>
      </w:r>
      <w:r>
        <w:t xml:space="preserve"> </w:t>
      </w:r>
      <w:r>
        <w:t xml:space="preserve">acquisition cost as a one-time origination expense: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Expected_Profit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LT_margin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LT_EL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acquisition_cost</m:t>
          </m:r>
        </m:oMath>
      </m:oMathPara>
    </w:p>
    <w:p>
      <w:pPr>
        <w:pStyle w:val="FirstParagraph"/>
      </w:pPr>
      <w:r>
        <w:t xml:space="preserve">Discount factors use end-of-month convention with monthly compounding:</w:t>
      </w:r>
      <w:r>
        <w:t xml:space="preserve"> </w:t>
      </w:r>
      <w:r>
        <w:rPr>
          <w:rStyle w:val="VerbatimChar"/>
        </w:rPr>
        <w:t xml:space="preserve">discount_t = 1 / (1 + discount_annual / 12)^t</w:t>
      </w:r>
      <w:r>
        <w:t xml:space="preserve">. The base case sets</w:t>
      </w:r>
      <w:r>
        <w:t xml:space="preserve"> </w:t>
      </w:r>
      <w:r>
        <w:rPr>
          <w:rStyle w:val="VerbatimChar"/>
        </w:rPr>
        <w:t xml:space="preserve">op_cost_annual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discount_annual = 0</w:t>
      </w:r>
      <w:r>
        <w:t xml:space="preserve">; sensitivity grids are</w:t>
      </w:r>
      <w:r>
        <w:t xml:space="preserve"> </w:t>
      </w:r>
      <w:r>
        <w:t xml:space="preserve">documented in Section 3.5.</w:t>
      </w:r>
    </w:p>
    <w:bookmarkEnd w:id="44"/>
    <w:bookmarkStart w:id="45" w:name="apr-scheme-and-lgd-assumption"/>
    <w:p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APR scheme and LGD assumption</w:t>
      </w:r>
    </w:p>
    <w:p>
      <w:pPr>
        <w:pStyle w:val="FirstParagraph"/>
      </w:pPr>
      <w:r>
        <w:t xml:space="preserve">In the absence of any simulator pricing field the APR is supplied as a</w:t>
      </w:r>
      <w:r>
        <w:t xml:space="preserve"> </w:t>
      </w:r>
      <w:r>
        <w:t xml:space="preserve">locked five-tier risk-priced schedule (Table 3.5). The tier values are</w:t>
      </w:r>
      <w:r>
        <w:t xml:space="preserve"> </w:t>
      </w:r>
      <w:r>
        <w:t xml:space="preserve">informed by typical published APR ranges for unsecured consumer credit</w:t>
      </w:r>
      <w:r>
        <w:t xml:space="preserve"> </w:t>
      </w:r>
      <w:r>
        <w:t xml:space="preserve">[TODO: cite real-market APR survey, e.g., Federal Reserve G.19 release or</w:t>
      </w:r>
      <w:r>
        <w:t xml:space="preserve"> </w:t>
      </w:r>
      <w:r>
        <w:t xml:space="preserve">EU equivalent], scaled into the 12-30% band that is broadly consistent</w:t>
      </w:r>
      <w:r>
        <w:t xml:space="preserve"> </w:t>
      </w:r>
      <w:r>
        <w:t xml:space="preserve">with mainstream risk-priced unsecured lending. The thesis acknowledges</w:t>
      </w:r>
      <w:r>
        <w:t xml:space="preserve"> </w:t>
      </w:r>
      <w:r>
        <w:t xml:space="preserve">explicitly (Limitations §3) that these tiers are a methodological</w:t>
      </w:r>
      <w:r>
        <w:t xml:space="preserve"> </w:t>
      </w:r>
      <w:r>
        <w:t xml:space="preserve">assumption and not a market-validated calibration; sensitivity analyses</w:t>
      </w:r>
      <w:r>
        <w:t xml:space="preserve"> </w:t>
      </w:r>
      <w:r>
        <w:t xml:space="preserve">in Phase 3.2 and 4.2 use flat-APR alternatives at 12%, 18%, 24%, and 30%</w:t>
      </w:r>
      <w:r>
        <w:t xml:space="preserve"> </w:t>
      </w:r>
      <w:r>
        <w:t xml:space="preserve">in addition to the tiered scheme.</w:t>
      </w:r>
    </w:p>
    <w:p>
      <w:pPr>
        <w:pStyle w:val="BodyText"/>
      </w:pPr>
      <w:r>
        <w:rPr>
          <w:b/>
          <w:bCs/>
        </w:rPr>
        <w:t xml:space="preserve">Table 3.5 — Locked APR tier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Condition on PD₁₂ₘ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</w:t>
            </w:r>
          </w:p>
        </w:tc>
        <w:tc>
          <w:tcPr/>
          <w:p>
            <w:pPr>
              <w:pStyle w:val="Compact"/>
            </w:pPr>
            <w:r>
              <w:t xml:space="preserve">PD &lt;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Near-prime</w:t>
            </w:r>
          </w:p>
        </w:tc>
        <w:tc>
          <w:tcPr/>
          <w:p>
            <w:pPr>
              <w:pStyle w:val="Compact"/>
            </w:pPr>
            <w:r>
              <w:t xml:space="preserve">0.005 ≤ PD &lt; 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Mainstream</w:t>
            </w:r>
          </w:p>
        </w:tc>
        <w:tc>
          <w:tcPr/>
          <w:p>
            <w:pPr>
              <w:pStyle w:val="Compact"/>
            </w:pPr>
            <w:r>
              <w:t xml:space="preserve">0.010 ≤ PD &lt; 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Subprime</w:t>
            </w:r>
          </w:p>
        </w:tc>
        <w:tc>
          <w:tcPr/>
          <w:p>
            <w:pPr>
              <w:pStyle w:val="Compact"/>
            </w:pPr>
            <w:r>
              <w:t xml:space="preserve">0.020 ≤ PD &lt; 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Deep-subprime</w:t>
            </w:r>
          </w:p>
        </w:tc>
        <w:tc>
          <w:tcPr/>
          <w:p>
            <w:pPr>
              <w:pStyle w:val="Compact"/>
            </w:pPr>
            <w:r>
              <w:t xml:space="preserve">PD ≥ 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</w:tbl>
    <w:p>
      <w:pPr>
        <w:pStyle w:val="BodyText"/>
      </w:pPr>
      <w:r>
        <w:t xml:space="preserve">LGD is held at 0.65 in the base case, with a sensitivity grid spanning</w:t>
      </w:r>
      <w:r>
        <w:t xml:space="preserve"> </w:t>
      </w:r>
      <w:r>
        <w:t xml:space="preserve">{0.45, 0.55, 0.65, 0.75, 0.85}. The 0.65 value reflects an industry</w:t>
      </w:r>
      <w:r>
        <w:t xml:space="preserve"> </w:t>
      </w:r>
      <w:r>
        <w:t xml:space="preserve">baseline for unsecured consumer credit with informal collections [TODO:</w:t>
      </w:r>
      <w:r>
        <w:t xml:space="preserve"> </w:t>
      </w:r>
      <w:r>
        <w:t xml:space="preserve">cite Schuermann 2004 or equivalent LGD literature].</w:t>
      </w:r>
    </w:p>
    <w:bookmarkEnd w:id="45"/>
    <w:bookmarkStart w:id="46" w:name="asb-benchmark"/>
    <w:p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ASB benchmark</w:t>
      </w:r>
    </w:p>
    <w:p>
      <w:pPr>
        <w:pStyle w:val="FirstParagraph"/>
      </w:pPr>
      <w:r>
        <w:t xml:space="preserve">The simpler</w:t>
      </w:r>
      <w:r>
        <w:t xml:space="preserve"> </w:t>
      </w:r>
      <w:r>
        <w:t xml:space="preserve">“Adjusted Single-period Benchmark”</w:t>
      </w:r>
      <w:r>
        <w:t xml:space="preserve"> </w:t>
      </w:r>
      <w:r>
        <w:t xml:space="preserve">formula</w:t>
      </w:r>
      <w:r>
        <w:t xml:space="preserve"> </w:t>
      </w:r>
      <w:r>
        <w:rPr>
          <w:rStyle w:val="VerbatimChar"/>
        </w:rPr>
        <w:t xml:space="preserve">profit_ASB = (1 − PD) · L · APR − PD · L · LGD</w:t>
      </w:r>
      <w:r>
        <w:t xml:space="preserve"> </w:t>
      </w:r>
      <w:r>
        <w:t xml:space="preserve">is implemented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for reference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main thesis formula.</w:t>
      </w:r>
      <w:r>
        <w:t xml:space="preserve"> </w:t>
      </w:r>
      <w:r>
        <w:t xml:space="preserve">It assumes one full year of interest at the full loan amount and ignores</w:t>
      </w:r>
      <w:r>
        <w:t xml:space="preserve"> </w:t>
      </w:r>
      <w:r>
        <w:t xml:space="preserve">tenor, amortization, and survival, and consequently understates lifetime</w:t>
      </w:r>
      <w:r>
        <w:t xml:space="preserve"> </w:t>
      </w:r>
      <w:r>
        <w:t xml:space="preserve">profit. Empirical comparison on the production population (Fig 4) shows</w:t>
      </w:r>
      <w:r>
        <w:t xml:space="preserve"> </w:t>
      </w:r>
      <w:r>
        <w:t xml:space="preserve">ASB underestimates total profit by approximately 9% on 24-month loans</w:t>
      </w:r>
      <w:r>
        <w:t xml:space="preserve"> </w:t>
      </w:r>
      <w:r>
        <w:t xml:space="preserve">and 40% on 36-month loans. The Lifetime formula is therefore the</w:t>
      </w:r>
      <w:r>
        <w:t xml:space="preserve"> </w:t>
      </w:r>
      <w:r>
        <w:t xml:space="preserve">thesis’s main economic measure; ASB is reported only as a benchmark to</w:t>
      </w:r>
      <w:r>
        <w:t xml:space="preserve"> </w:t>
      </w:r>
      <w:r>
        <w:t xml:space="preserve">quantify the cost of formula simplification.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stress-testing-design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3.5 Stress Testing Design</w:t>
      </w:r>
    </w:p>
    <w:bookmarkStart w:id="48" w:name="cell-economic-stress-grid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576-cell economic stress grid</w:t>
      </w:r>
    </w:p>
    <w:p>
      <w:pPr>
        <w:pStyle w:val="FirstParagraph"/>
      </w:pPr>
      <w:r>
        <w:t xml:space="preserve">To quantify the sensitivity of the profit framework to economic</w:t>
      </w:r>
      <w:r>
        <w:t xml:space="preserve"> </w:t>
      </w:r>
      <w:r>
        <w:t xml:space="preserve">assumptions, Phase 3.2 evaluates a 576-cell grid spanning five dimensions:</w:t>
      </w:r>
      <w:r>
        <w:t xml:space="preserve"> </w:t>
      </w:r>
      <w:r>
        <w:t xml:space="preserve">PD multiplier</w:t>
      </w:r>
      <w:r>
        <w:t xml:space="preserve"> </w:t>
      </w:r>
      <w:r>
        <w:rPr>
          <w:rStyle w:val="VerbatimChar"/>
        </w:rPr>
        <w:t xml:space="preserve">{1, 2, 3, 5}</w:t>
      </w:r>
      <w:r>
        <w:t xml:space="preserve">, cost of funds</w:t>
      </w:r>
      <w:r>
        <w:t xml:space="preserve"> </w:t>
      </w:r>
      <w:r>
        <w:rPr>
          <w:rStyle w:val="VerbatimChar"/>
        </w:rPr>
        <w:t xml:space="preserve">{0.00, 0.03, 0.06}</w:t>
      </w:r>
      <w:r>
        <w:t xml:space="preserve">,</w:t>
      </w:r>
      <w:r>
        <w:t xml:space="preserve"> </w:t>
      </w:r>
      <w:r>
        <w:t xml:space="preserve">acquisition cost</w:t>
      </w:r>
      <w:r>
        <w:t xml:space="preserve"> </w:t>
      </w:r>
      <w:r>
        <w:rPr>
          <w:rStyle w:val="VerbatimChar"/>
        </w:rPr>
        <w:t xml:space="preserve">{$0, $250, $500}</w:t>
      </w:r>
      <w:r>
        <w:t xml:space="preserve">, LGD</w:t>
      </w:r>
      <w:r>
        <w:t xml:space="preserve"> </w:t>
      </w:r>
      <w:r>
        <w:rPr>
          <w:rStyle w:val="VerbatimChar"/>
        </w:rPr>
        <w:t xml:space="preserve">{0.55, 0.65, 0.75, 0.85}</w:t>
      </w:r>
      <w:r>
        <w:t xml:space="preserve">, and</w:t>
      </w:r>
      <w:r>
        <w:t xml:space="preserve"> </w:t>
      </w:r>
      <w:r>
        <w:t xml:space="preserve">APR strategy</w:t>
      </w:r>
      <w:r>
        <w:t xml:space="preserve"> </w:t>
      </w:r>
      <w:r>
        <w:rPr>
          <w:rStyle w:val="VerbatimChar"/>
        </w:rPr>
        <w:t xml:space="preserve">{tiered_uncapped, tiered_cap_24, flat_18, flat_24}</w:t>
      </w:r>
      <w:r>
        <w:t xml:space="preserve">. The</w:t>
      </w:r>
      <w:r>
        <w:t xml:space="preserve"> </w:t>
      </w:r>
      <w:r>
        <w:t xml:space="preserve">grid covers light-stress configurations (PD multiplier 1 with no costs)</w:t>
      </w:r>
      <w:r>
        <w:t xml:space="preserve"> </w:t>
      </w:r>
      <w:r>
        <w:t xml:space="preserve">through severe-stress configurations (PD multiplier 5 with high costs and</w:t>
      </w:r>
      <w:r>
        <w:t xml:space="preserve"> </w:t>
      </w:r>
      <w:r>
        <w:t xml:space="preserve">flat low APR). For each cell the framework computes mean profit, share of</w:t>
      </w:r>
      <w:r>
        <w:t xml:space="preserve"> </w:t>
      </w:r>
      <w:r>
        <w:t xml:space="preserve">profitable accounts,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profit-optimal PD</w:t>
      </w:r>
      <w:r>
        <w:t xml:space="preserve"> </w:t>
      </w:r>
      <w:r>
        <w:t xml:space="preserve">threshold, Youden’s J approval rate, and the cutoff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minus Youden</w:t>
      </w:r>
      <w:r>
        <w:t xml:space="preserve"> </w:t>
      </w:r>
      <w:r>
        <w:rPr>
          <w:rStyle w:val="VerbatimChar"/>
        </w:rPr>
        <w:t xml:space="preserve">k</w:t>
      </w:r>
      <w:r>
        <w:t xml:space="preserve">). Cells are classified as</w:t>
      </w:r>
      <w:r>
        <w:t xml:space="preserve"> </w:t>
      </w:r>
      <w:r>
        <w:rPr>
          <w:i/>
          <w:iCs/>
        </w:rPr>
        <w:t xml:space="preserve">approve-all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k* ≥ 99%</w:t>
      </w:r>
      <w:r>
        <w:t xml:space="preserve">),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50% ≤ k* &lt; 99%</w:t>
      </w:r>
      <w:r>
        <w:t xml:space="preserve">), or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k* &lt; 50%</w:t>
      </w:r>
      <w:r>
        <w:t xml:space="preserve">).</w:t>
      </w:r>
    </w:p>
    <w:p>
      <w:pPr>
        <w:pStyle w:val="BodyText"/>
      </w:pPr>
      <w:r>
        <w:t xml:space="preserve">The driver hierarchy of the grid is summarised in Fig 9: PD multiplier</w:t>
      </w:r>
      <w:r>
        <w:t xml:space="preserve"> </w:t>
      </w:r>
      <w:r>
        <w:t xml:space="preserve">moves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by 3.54 percentage points across its range, APR strategy by</w:t>
      </w:r>
      <w:r>
        <w:t xml:space="preserve"> </w:t>
      </w:r>
      <w:r>
        <w:t xml:space="preserve">2.32 pp, LGD by 1.28 pp, acquisition cost by 0.43 pp, and cost of funds</w:t>
      </w:r>
      <w:r>
        <w:t xml:space="preserve"> </w:t>
      </w:r>
      <w:r>
        <w:t xml:space="preserve">by 0.43 pp. PD-portfolio risk and APR strategy are the dominant</w:t>
      </w:r>
      <w:r>
        <w:t xml:space="preserve"> </w:t>
      </w:r>
      <w:r>
        <w:t xml:space="preserve">cut-off drivers within the tested space; the per-loan and per-period</w:t>
      </w:r>
      <w:r>
        <w:t xml:space="preserve"> </w:t>
      </w:r>
      <w:r>
        <w:t xml:space="preserve">costs play a smaller marginal role</w:t>
      </w:r>
      <w:r>
        <w:t xml:space="preserve"> </w:t>
      </w:r>
      <w:r>
        <w:rPr>
          <w:i/>
          <w:iCs/>
        </w:rPr>
        <w:t xml:space="preserve">until</w:t>
      </w:r>
      <w:r>
        <w:t xml:space="preserve"> </w:t>
      </w:r>
      <w:r>
        <w:t xml:space="preserve">operating cost is added in</w:t>
      </w:r>
      <w:r>
        <w:t xml:space="preserve"> </w:t>
      </w:r>
      <w:r>
        <w:t xml:space="preserve">Phase 4.2, at which point the cost-side reasserts dominance for the</w:t>
      </w:r>
      <w:r>
        <w:t xml:space="preserve"> </w:t>
      </w:r>
      <w:r>
        <w:t xml:space="preserve">adverse-stress scenario (Section 3.5 below).</w:t>
      </w:r>
    </w:p>
    <w:bookmarkEnd w:id="48"/>
    <w:bookmarkStart w:id="49" w:name="anchor-scenarios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Anchor scenarios</w:t>
      </w:r>
    </w:p>
    <w:p>
      <w:pPr>
        <w:pStyle w:val="FirstParagraph"/>
      </w:pPr>
      <w:r>
        <w:t xml:space="preserve">Phase 4 condenses the 576-cell grid into four representative anchor</w:t>
      </w:r>
      <w:r>
        <w:t xml:space="preserve"> </w:t>
      </w:r>
      <w:r>
        <w:t xml:space="preserve">scenarios (Table 3.6) that span the classification space. The</w:t>
      </w:r>
      <w:r>
        <w:t xml:space="preserve"> </w:t>
      </w:r>
      <w:r>
        <w:t xml:space="preserve">realistic_central_boundary anchor sits exactly at the boundary between</w:t>
      </w:r>
      <w:r>
        <w:t xml:space="preserve"> </w:t>
      </w:r>
      <w:r>
        <w:t xml:space="preserve">approve-all and interior; bootstrap CIs (Section 3.6) confirm the</w:t>
      </w:r>
      <w:r>
        <w:t xml:space="preserve"> </w:t>
      </w:r>
      <w:r>
        <w:t xml:space="preserve">boundary classification is statistically tight rather than the artefact</w:t>
      </w:r>
      <w:r>
        <w:t xml:space="preserve"> </w:t>
      </w:r>
      <w:r>
        <w:t xml:space="preserve">of a random fluctuation. The moderate_interior anchor was added in</w:t>
      </w:r>
      <w:r>
        <w:t xml:space="preserve"> </w:t>
      </w:r>
      <w:r>
        <w:t xml:space="preserve">Phase 4.1 to populate the centre of the interior class; it is one stress</w:t>
      </w:r>
      <w:r>
        <w:t xml:space="preserve"> </w:t>
      </w:r>
      <w:r>
        <w:t xml:space="preserve">notch above realistic_central_boundary in PD multiplier and APR</w:t>
      </w:r>
      <w:r>
        <w:t xml:space="preserve"> </w:t>
      </w:r>
      <w:r>
        <w:t xml:space="preserve">strategy.</w:t>
      </w:r>
    </w:p>
    <w:p>
      <w:pPr>
        <w:pStyle w:val="BodyText"/>
      </w:pPr>
      <w:r>
        <w:rPr>
          <w:b/>
          <w:bCs/>
        </w:rPr>
        <w:t xml:space="preserve">Table 3.6 — Locked anchor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549"/>
        <w:gridCol w:w="860"/>
        <w:gridCol w:w="860"/>
        <w:gridCol w:w="860"/>
        <w:gridCol w:w="860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PD mult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LGD</w:t>
            </w:r>
          </w:p>
        </w:tc>
        <w:tc>
          <w:tcPr/>
          <w:p>
            <w:pPr>
              <w:pStyle w:val="Compac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op_cost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tiered_uncapped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tiered_cap_24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</w:pPr>
            <w:r>
              <w:t xml:space="preserve">flat_18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flat_18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49"/>
    <w:bookmarkStart w:id="50" w:name="pd-quality-stress-gini-perturbation"/>
    <w:p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PD-quality stress (Gini perturbation)</w:t>
      </w:r>
    </w:p>
    <w:p>
      <w:pPr>
        <w:pStyle w:val="FirstParagraph"/>
      </w:pPr>
      <w:r>
        <w:t xml:space="preserve">A separate Phase 4.2 study (PART A) tests the sensitivity of the</w:t>
      </w:r>
      <w:r>
        <w:t xml:space="preserve"> </w:t>
      </w:r>
      <w:r>
        <w:t xml:space="preserve">profit-vs-Youden finding to PD model discrimination quality. The</w:t>
      </w:r>
      <w:r>
        <w:t xml:space="preserve"> </w:t>
      </w:r>
      <w:r>
        <w:t xml:space="preserve">calibrated PRIMARY PD is perturbed using</w:t>
      </w:r>
      <w:r>
        <w:t xml:space="preserve"> </w:t>
      </w:r>
      <w:r>
        <w:rPr>
          <w:rStyle w:val="VerbatimChar"/>
        </w:rPr>
        <w:t xml:space="preserve">src/calibration.py:perturb_to_target_gini</w:t>
      </w:r>
      <w:r>
        <w:t xml:space="preserve">, which adds Gaussian noise to</w:t>
      </w:r>
      <w:r>
        <w:t xml:space="preserve"> </w:t>
      </w:r>
      <w:r>
        <w:t xml:space="preserve">the logit-space score and binary-searches the noise standard deviation to</w:t>
      </w:r>
      <w:r>
        <w:t xml:space="preserve"> </w:t>
      </w:r>
      <w:r>
        <w:t xml:space="preserve">hit a specified target Gini, then re-anchors the mean back to the</w:t>
      </w:r>
      <w:r>
        <w:t xml:space="preserve"> </w:t>
      </w:r>
      <w:r>
        <w:t xml:space="preserve">empirical base rate. Three target Ginis are tested: 0.30, 0.45, 0.60.</w:t>
      </w:r>
      <w:r>
        <w:t xml:space="preserve"> </w:t>
      </w:r>
      <w:r>
        <w:t xml:space="preserve">The raw model has Gini ≈ 0.80. Each perturbed PD variant is then run</w:t>
      </w:r>
      <w:r>
        <w:t xml:space="preserve"> </w:t>
      </w:r>
      <w:r>
        <w:t xml:space="preserve">through all four anchor scenarios, producing a 16-cell sub-grid. The</w:t>
      </w:r>
      <w:r>
        <w:t xml:space="preserve"> </w:t>
      </w:r>
      <w:r>
        <w:t xml:space="preserve">finding (visualised in Fig 2) is that the cutoff gap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</w:t>
      </w:r>
      <w:r>
        <w:t xml:space="preserve"> </w:t>
      </w:r>
      <w:r>
        <w:t xml:space="preserve">as Gini falls — from a mean +15.5 pp at raw to +35.7 pp at Gini 0.30 —</w:t>
      </w:r>
      <w:r>
        <w:t xml:space="preserve"> </w:t>
      </w:r>
      <w:r>
        <w:t xml:space="preserve">because Youden’s J becomes more conservative as discrimination falls</w:t>
      </w:r>
      <w:r>
        <w:t xml:space="preserve"> </w:t>
      </w:r>
      <w:r>
        <w:t xml:space="preserve">while the profit-optimal cut-off remains close to the full population.</w:t>
      </w:r>
    </w:p>
    <w:p>
      <w:pPr>
        <w:pStyle w:val="BodyText"/>
      </w:pPr>
      <w:r>
        <w:t xml:space="preserve">This is interpreted in the thesis as</w:t>
      </w:r>
      <w:r>
        <w:t xml:space="preserve"> </w:t>
      </w:r>
      <w:r>
        <w:rPr>
          <w:i/>
          <w:iCs/>
        </w:rPr>
        <w:t xml:space="preserve">portfolio risk stress</w:t>
      </w:r>
      <w:r>
        <w:t xml:space="preserve"> </w:t>
      </w:r>
      <w:r>
        <w:t xml:space="preserve">expressed</w:t>
      </w:r>
      <w:r>
        <w:t xml:space="preserve"> </w:t>
      </w:r>
      <w:r>
        <w:t xml:space="preserve">through a degraded PD signal, not as a claim about the absolute quality</w:t>
      </w:r>
      <w:r>
        <w:t xml:space="preserve"> </w:t>
      </w:r>
      <w:r>
        <w:t xml:space="preserve">of the underlying simulator’s PD models.</w:t>
      </w:r>
    </w:p>
    <w:bookmarkEnd w:id="50"/>
    <w:bookmarkStart w:id="51" w:name="operating-cost-robustness"/>
    <w:p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Operating cost robustness</w:t>
      </w:r>
    </w:p>
    <w:p>
      <w:pPr>
        <w:pStyle w:val="FirstParagraph"/>
      </w:pPr>
      <w:r>
        <w:t xml:space="preserve">A second Phase 4.2 study (PART B) varies operating cost across</w:t>
      </w:r>
      <w:r>
        <w:t xml:space="preserve"> </w:t>
      </w:r>
      <w:r>
        <w:rPr>
          <w:rStyle w:val="VerbatimChar"/>
        </w:rPr>
        <w:t xml:space="preserve">{0.00, 0.01, 0.02, 0.04}</w:t>
      </w:r>
      <w:r>
        <w:t xml:space="preserve"> </w:t>
      </w:r>
      <w:r>
        <w:t xml:space="preserve">for three anchor scenarios. The study finds</w:t>
      </w:r>
      <w:r>
        <w:t xml:space="preserve"> </w:t>
      </w:r>
      <w:r>
        <w:t xml:space="preserve">the only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regime in the entire 64-cell stress space:</w:t>
      </w:r>
      <w:r>
        <w:t xml:space="preserve"> </w:t>
      </w:r>
      <w:r>
        <w:t xml:space="preserve">adverse_stress combined with op_cost_annual ≥ 4% pushes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to 0.31%,</w:t>
      </w:r>
      <w:r>
        <w:t xml:space="preserve"> </w:t>
      </w:r>
      <w:r>
        <w:t xml:space="preserve">mean profit to −$390 per loan, and total profit to −$92M. At op_cost ≤ 2%</w:t>
      </w:r>
      <w:r>
        <w:t xml:space="preserve"> </w:t>
      </w:r>
      <w:r>
        <w:t xml:space="preserve">the framework remains in the interior regime even under adverse stress.</w:t>
      </w:r>
      <w:r>
        <w:t xml:space="preserve"> </w:t>
      </w:r>
      <w:r>
        <w:t xml:space="preserve">Operating cost is identified as a powerful lever that the original 576-cell</w:t>
      </w:r>
      <w:r>
        <w:t xml:space="preserve"> </w:t>
      </w:r>
      <w:r>
        <w:t xml:space="preserve">grid (which held op_cost at zero) understated. Future work F2 should</w:t>
      </w:r>
      <w:r>
        <w:t xml:space="preserve"> </w:t>
      </w:r>
      <w:r>
        <w:t xml:space="preserve">include op_cost as a primary stress dimension in any market-calibrated</w:t>
      </w:r>
      <w:r>
        <w:t xml:space="preserve"> </w:t>
      </w:r>
      <w:r>
        <w:t xml:space="preserve">extension.</w:t>
      </w:r>
    </w:p>
    <w:bookmarkEnd w:id="51"/>
    <w:bookmarkStart w:id="52" w:name="combined-mini-grid"/>
    <w:p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Combined mini-grid</w:t>
      </w:r>
    </w:p>
    <w:p>
      <w:pPr>
        <w:pStyle w:val="FirstParagraph"/>
      </w:pPr>
      <w:r>
        <w:t xml:space="preserve">A 36-cell combined grid (Phase 4.2 PART C) crosses Gini ∈ {raw, 0.60,</w:t>
      </w:r>
      <w:r>
        <w:t xml:space="preserve"> </w:t>
      </w:r>
      <w:r>
        <w:t xml:space="preserve">0.45, 0.30}, op_cost ∈ {0, 0.02, 0.04}, and three anchor scenarios. The</w:t>
      </w:r>
      <w:r>
        <w:t xml:space="preserve"> </w:t>
      </w:r>
      <w:r>
        <w:t xml:space="preserve">combined grid produces four reject-most cells (all in adverse_stress at</w:t>
      </w:r>
      <w:r>
        <w:t xml:space="preserve"> </w:t>
      </w:r>
      <w:r>
        <w:t xml:space="preserve">op_cost = 0.04, regardless of Gini) and 31 interior cells; one</w:t>
      </w:r>
      <w:r>
        <w:t xml:space="preserve"> </w:t>
      </w:r>
      <w:r>
        <w:t xml:space="preserve">approve-all cell remains. Critically, profit uplift over Youden is</w:t>
      </w:r>
      <w:r>
        <w:t xml:space="preserve"> </w:t>
      </w:r>
      <w:r>
        <w:t xml:space="preserve">strictly positive in 36/36 combined cells, even in the five cells where</w:t>
      </w:r>
      <w:r>
        <w:t xml:space="preserve"> </w:t>
      </w:r>
      <w:r>
        <w:t xml:space="preserve">the profit cut-off is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permissive than Youden. This separation</w:t>
      </w:r>
      <w:r>
        <w:t xml:space="preserve"> </w:t>
      </w:r>
      <w:r>
        <w:t xml:space="preserve">between cut-off direction and dollar uplift is documented as Claim 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thesis_evidence_map.md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bootstrap-validatio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3.6 Bootstrap Validation</w:t>
      </w:r>
    </w:p>
    <w:bookmarkStart w:id="54" w:name="design-and-stratification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Design and stratification</w:t>
      </w:r>
    </w:p>
    <w:p>
      <w:pPr>
        <w:pStyle w:val="FirstParagraph"/>
      </w:pPr>
      <w:r>
        <w:t xml:space="preserve">The bootstrap validation in Phase 4.1 quantifies sampling uncertainty</w:t>
      </w:r>
      <w:r>
        <w:t xml:space="preserve"> </w:t>
      </w:r>
      <w:r>
        <w:t xml:space="preserve">within the OOT economics population (64,027 rows). One thousand resamples</w:t>
      </w:r>
      <w:r>
        <w:t xml:space="preserve"> </w:t>
      </w:r>
      <w:r>
        <w:t xml:space="preserve">are drawn with replacement,</w:t>
      </w:r>
      <w:r>
        <w:t xml:space="preserve"> </w:t>
      </w:r>
      <w:r>
        <w:rPr>
          <w:i/>
          <w:iCs/>
        </w:rPr>
        <w:t xml:space="preserve">stratified by tenor</w:t>
      </w:r>
      <w:r>
        <w:t xml:space="preserve"> </w:t>
      </w:r>
      <w:r>
        <w:t xml:space="preserve">(24m and 36m proportions</w:t>
      </w:r>
      <w:r>
        <w:t xml:space="preserve"> </w:t>
      </w:r>
      <w:r>
        <w:t xml:space="preserve">preserved in every resample),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 Per resample and</w:t>
      </w:r>
      <w:r>
        <w:t xml:space="preserve"> </w:t>
      </w:r>
      <w:r>
        <w:t xml:space="preserve">per anchor the framework recomputes the full economic pipeline and stores:</w:t>
      </w:r>
      <w:r>
        <w:t xml:space="preserve"> </w:t>
      </w:r>
      <w:r>
        <w:rPr>
          <w:rStyle w:val="VerbatimChar"/>
        </w:rPr>
        <w:t xml:space="preserve">profit_at_kstar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approve_pct_kstar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cutoff_pd_star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profit_at_youden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approve_pct_youden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profit_uplift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profit_uplift_pct</w:t>
      </w:r>
      <w:r>
        <w:t xml:space="preserve">. Across the four anchor scenarios this produces</w:t>
      </w:r>
      <w:r>
        <w:t xml:space="preserve"> </w:t>
      </w:r>
      <w:r>
        <w:t xml:space="preserve">4,000 (anchor × resample) records.</w:t>
      </w:r>
    </w:p>
    <w:p>
      <w:pPr>
        <w:pStyle w:val="BodyText"/>
      </w:pPr>
      <w:r>
        <w:t xml:space="preserve">Per-anchor 95% confidence intervals (2.5%-97.5% percentile method) are</w:t>
      </w:r>
      <w:r>
        <w:t xml:space="preserve"> </w:t>
      </w:r>
      <w:r>
        <w:t xml:space="preserve">narrow in absolute terms (Table 3.7), confirming that the cut-off</w:t>
      </w:r>
      <w:r>
        <w:t xml:space="preserve"> </w:t>
      </w:r>
      <w:r>
        <w:t xml:space="preserve">classification is a tight statistical conclusion and not an artefact of</w:t>
      </w:r>
      <w:r>
        <w:t xml:space="preserve"> </w:t>
      </w:r>
      <w:r>
        <w:t xml:space="preserve">sampling. Notably the realistic_central_boundary anchor sits at</w:t>
      </w:r>
      <w:r>
        <w:t xml:space="preserve"> </w:t>
      </w:r>
      <w:r>
        <w:rPr>
          <w:rStyle w:val="VerbatimChar"/>
        </w:rPr>
        <w:t xml:space="preserve">k* = 99.25%</w:t>
      </w:r>
      <w:r>
        <w:t xml:space="preserve"> </w:t>
      </w:r>
      <w:r>
        <w:t xml:space="preserve">with a CI</w:t>
      </w:r>
      <w:r>
        <w:t xml:space="preserve"> </w:t>
      </w:r>
      <w:r>
        <w:rPr>
          <w:rStyle w:val="VerbatimChar"/>
        </w:rPr>
        <w:t xml:space="preserve">[99.16%, 99.36%]</w:t>
      </w:r>
      <w:r>
        <w:t xml:space="preserve"> </w:t>
      </w:r>
      <w:r>
        <w:t xml:space="preserve">— entirely above 99%, so the</w:t>
      </w:r>
      <w:r>
        <w:t xml:space="preserve"> </w:t>
      </w:r>
      <w:r>
        <w:t xml:space="preserve">boundary classification is retained across 1,000 of 1,000 resamples</w:t>
      </w:r>
      <w:r>
        <w:t xml:space="preserve"> </w:t>
      </w:r>
      <w:r>
        <w:t xml:space="preserve">rather than flipping randomly between approve-all and interior. The</w:t>
      </w:r>
      <w:r>
        <w:t xml:space="preserve"> </w:t>
      </w:r>
      <w:r>
        <w:t xml:space="preserve">moderate_interior anchor sits at</w:t>
      </w:r>
      <w:r>
        <w:t xml:space="preserve"> </w:t>
      </w:r>
      <w:r>
        <w:rPr>
          <w:rStyle w:val="VerbatimChar"/>
        </w:rPr>
        <w:t xml:space="preserve">k* = 95.31%</w:t>
      </w:r>
      <w:r>
        <w:t xml:space="preserve"> </w:t>
      </w:r>
      <w:r>
        <w:t xml:space="preserve">with CI</w:t>
      </w:r>
      <w:r>
        <w:t xml:space="preserve"> </w:t>
      </w:r>
      <w:r>
        <w:rPr>
          <w:rStyle w:val="VerbatimChar"/>
        </w:rPr>
        <w:t xml:space="preserve">[94.99%, 95.50%]</w:t>
      </w:r>
      <w:r>
        <w:t xml:space="preserve"> </w:t>
      </w:r>
      <w:r>
        <w:t xml:space="preserve">and the adverse_stress at</w:t>
      </w:r>
      <w:r>
        <w:t xml:space="preserve"> </w:t>
      </w:r>
      <w:r>
        <w:rPr>
          <w:rStyle w:val="VerbatimChar"/>
        </w:rPr>
        <w:t xml:space="preserve">k* = 84.83%</w:t>
      </w:r>
      <w:r>
        <w:t xml:space="preserve"> </w:t>
      </w:r>
      <w:r>
        <w:t xml:space="preserve">with CI</w:t>
      </w:r>
      <w:r>
        <w:t xml:space="preserve"> </w:t>
      </w:r>
      <w:r>
        <w:rPr>
          <w:rStyle w:val="VerbatimChar"/>
        </w:rPr>
        <w:t xml:space="preserve">[84.31%, 85.27%]</w:t>
      </w:r>
      <w:r>
        <w:t xml:space="preserve">; both</w:t>
      </w:r>
      <w:r>
        <w:t xml:space="preserve"> </w:t>
      </w:r>
      <w:r>
        <w:t xml:space="preserve">remain firmly in the interior class.</w:t>
      </w:r>
    </w:p>
    <w:p>
      <w:pPr>
        <w:pStyle w:val="BodyText"/>
      </w:pPr>
      <w:r>
        <w:rPr>
          <w:b/>
          <w:bCs/>
        </w:rPr>
        <w:t xml:space="preserve">Table 3.7 — Bootstrap CIs for the cutoff gap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327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k* approve %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cutoff_gap (95% CI, 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 [100.00, 100.00]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+20.41 [+20.10, +20.71]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99.25 [99.16, 99.36]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+19.66 [+19.36, +19.97]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 [94.99, 95.50]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+15.72 [+15.35, +16.02]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84.83 [84.31, 85.27]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+5.24 [+4.79, +5.64]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artifacts/economic_framework/bootstrap_ci_summary.csv</w:t>
      </w:r>
      <w:r>
        <w:t xml:space="preserve">. The full</w:t>
      </w:r>
      <w:r>
        <w:t xml:space="preserve"> </w:t>
      </w:r>
      <w:r>
        <w:t xml:space="preserve">4,000-row resample-level dataset is available at</w:t>
      </w:r>
      <w:r>
        <w:t xml:space="preserve"> </w:t>
      </w:r>
      <w:r>
        <w:rPr>
          <w:rStyle w:val="VerbatimChar"/>
        </w:rPr>
        <w:t xml:space="preserve">artifacts/economic_framework/bootstrap_anchor_results.parquet</w:t>
      </w:r>
      <w:r>
        <w:t xml:space="preserve">. Figure 5</w:t>
      </w:r>
      <w:r>
        <w:t xml:space="preserve"> </w:t>
      </w:r>
      <w:r>
        <w:t xml:space="preserve">visualises the per-anchor density of</w:t>
      </w:r>
      <w:r>
        <w:t xml:space="preserve"> </w:t>
      </w:r>
      <w:r>
        <w:rPr>
          <w:rStyle w:val="VerbatimChar"/>
        </w:rPr>
        <w:t xml:space="preserve">profit_uplift</w:t>
      </w:r>
      <w:r>
        <w:t xml:space="preserve"> </w:t>
      </w:r>
      <w:r>
        <w:t xml:space="preserve">with the 2.5%, 50%,</w:t>
      </w:r>
      <w:r>
        <w:t xml:space="preserve"> </w:t>
      </w:r>
      <w:r>
        <w:t xml:space="preserve">and 97.5% percentile lines.</w:t>
      </w:r>
    </w:p>
    <w:bookmarkEnd w:id="54"/>
    <w:bookmarkStart w:id="55" w:name="phrasing-rules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Phrasing rules</w:t>
      </w:r>
    </w:p>
    <w:p>
      <w:pPr>
        <w:pStyle w:val="FirstParagraph"/>
      </w:pPr>
      <w:r>
        <w:t xml:space="preserve">The bootstrap quantifies sampling uncertainty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OOT population</w:t>
      </w:r>
      <w:r>
        <w:t xml:space="preserve"> </w:t>
      </w:r>
      <w:r>
        <w:t xml:space="preserve">only.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capture (i) PD model uncertainty across alternative</w:t>
      </w:r>
      <w:r>
        <w:t xml:space="preserve"> </w:t>
      </w:r>
      <w:r>
        <w:t xml:space="preserve">hyperparameters, (ii) calibration drift across cohorts beyond 202706,</w:t>
      </w:r>
      <w:r>
        <w:t xml:space="preserve"> </w:t>
      </w:r>
      <w:r>
        <w:t xml:space="preserve">(iii) APR / LGD / cost-of-funds assumption uncertainty, or (iv) formula</w:t>
      </w:r>
      <w:r>
        <w:t xml:space="preserve"> </w:t>
      </w:r>
      <w:r>
        <w:t xml:space="preserve">choice uncertainty (e.g., constant versus declining hazard). The thesis</w:t>
      </w:r>
      <w:r>
        <w:t xml:space="preserve"> </w:t>
      </w:r>
      <w:r>
        <w:t xml:space="preserve">text therefore reports bootstrap results using the locked phrasing</w:t>
      </w:r>
      <w:r>
        <w:t xml:space="preserve"> </w:t>
      </w:r>
      <w:r>
        <w:rPr>
          <w:i/>
          <w:iCs/>
        </w:rPr>
        <w:t xml:space="preserve">“across N bootstrap resamples, profit uplift &gt; 0 held in K of N</w:t>
      </w:r>
      <w:r>
        <w:rPr>
          <w:i/>
          <w:iCs/>
        </w:rPr>
        <w:t xml:space="preserve"> </w:t>
      </w:r>
      <w:r>
        <w:rPr>
          <w:i/>
          <w:iCs/>
        </w:rPr>
        <w:t xml:space="preserve">resamples”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“P(profit uplift &gt; 0) = K/N”</w:t>
      </w:r>
      <w:r>
        <w:t xml:space="preserve">. The empirical</w:t>
      </w:r>
      <w:r>
        <w:t xml:space="preserve"> </w:t>
      </w:r>
      <w:r>
        <w:t xml:space="preserve">frequency of a result holding in the bootstrap is not equivalent to the</w:t>
      </w:r>
      <w:r>
        <w:t xml:space="preserve"> </w:t>
      </w:r>
      <w:r>
        <w:t xml:space="preserve">true probability that the result generalises to other simulator</w:t>
      </w:r>
      <w:r>
        <w:t xml:space="preserve"> </w:t>
      </w:r>
      <w:r>
        <w:t xml:space="preserve">configurations or to real data; the bootstrap addresses only the</w:t>
      </w:r>
      <w:r>
        <w:t xml:space="preserve"> </w:t>
      </w:r>
      <w:r>
        <w:t xml:space="preserve">sampling-noise component of the total uncertainty.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software-architecture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3.7 Software Architecture</w:t>
      </w:r>
    </w:p>
    <w:bookmarkStart w:id="57" w:name="module-structure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Module structure</w:t>
      </w:r>
    </w:p>
    <w:p>
      <w:pPr>
        <w:pStyle w:val="FirstParagraph"/>
      </w:pPr>
      <w:r>
        <w:t xml:space="preserve">The empirical pipeline is implemented across two layers. The</w:t>
      </w:r>
      <w:r>
        <w:t xml:space="preserve"> </w:t>
      </w:r>
      <w:r>
        <w:rPr>
          <w:i/>
          <w:iCs/>
        </w:rPr>
        <w:t xml:space="preserve">re-usable</w:t>
      </w:r>
      <w:r>
        <w:rPr>
          <w:i/>
          <w:iCs/>
        </w:rPr>
        <w:t xml:space="preserve"> </w:t>
      </w:r>
      <w:r>
        <w:rPr>
          <w:i/>
          <w:iCs/>
        </w:rPr>
        <w:t xml:space="preserve">helper layer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contains six task-specific modules:</w:t>
      </w:r>
      <w:r>
        <w:t xml:space="preserve"> </w:t>
      </w:r>
      <w:r>
        <w:rPr>
          <w:rStyle w:val="VerbatimChar"/>
        </w:rPr>
        <w:t xml:space="preserve">governance.py</w:t>
      </w:r>
      <w:r>
        <w:t xml:space="preserve"> </w:t>
      </w:r>
      <w:r>
        <w:t xml:space="preserve">(PD-eligibility and validators),</w:t>
      </w:r>
      <w:r>
        <w:t xml:space="preserve"> </w:t>
      </w:r>
      <w:r>
        <w:rPr>
          <w:rStyle w:val="VerbatimChar"/>
        </w:rPr>
        <w:t xml:space="preserve">modeling.py</w:t>
      </w:r>
      <w:r>
        <w:t xml:space="preserve"> </w:t>
      </w:r>
      <w:r>
        <w:t xml:space="preserve">(Stage 1,</w:t>
      </w:r>
      <w:r>
        <w:t xml:space="preserve"> </w:t>
      </w:r>
      <w:r>
        <w:t xml:space="preserve">Lasso, statsmodels logit, VIF),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 </w:t>
      </w:r>
      <w:r>
        <w:t xml:space="preserve">(Gini, KS, Brier,</w:t>
      </w:r>
      <w:r>
        <w:t xml:space="preserve"> </w:t>
      </w:r>
      <w:r>
        <w:t xml:space="preserve">calibration metrics, PSI),</w:t>
      </w:r>
      <w:r>
        <w:t xml:space="preserve"> </w:t>
      </w:r>
      <w:r>
        <w:rPr>
          <w:rStyle w:val="VerbatimChar"/>
        </w:rPr>
        <w:t xml:space="preserve">calibration.py</w:t>
      </w:r>
      <w:r>
        <w:t xml:space="preserve"> </w:t>
      </w:r>
      <w:r>
        <w:t xml:space="preserve">(temporal split, Platt,</w:t>
      </w:r>
      <w:r>
        <w:t xml:space="preserve"> </w:t>
      </w:r>
      <w:r>
        <w:t xml:space="preserve">isotonic,</w:t>
      </w:r>
      <w:r>
        <w:t xml:space="preserve"> </w:t>
      </w:r>
      <w:r>
        <w:rPr>
          <w:rStyle w:val="VerbatimChar"/>
        </w:rPr>
        <w:t xml:space="preserve">perturb_to_target_gini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StressTestPlan</w:t>
      </w:r>
      <w:r>
        <w:t xml:space="preserve">),</w:t>
      </w:r>
      <w:r>
        <w:t xml:space="preserve"> </w:t>
      </w:r>
      <w:r>
        <w:rPr>
          <w:rStyle w:val="VerbatimChar"/>
        </w:rPr>
        <w:t xml:space="preserve">scorecard.py</w:t>
      </w:r>
      <w:r>
        <w:t xml:space="preserve"> </w:t>
      </w:r>
      <w:r>
        <w:t xml:space="preserve">(OptBinning + WoE + scorecard table builder), and</w:t>
      </w:r>
      <w:r>
        <w:t xml:space="preserve"> </w:t>
      </w:r>
      <w:r>
        <w:rPr>
          <w:rStyle w:val="VerbatimChar"/>
        </w:rPr>
        <w:t xml:space="preserve">economics.py</w:t>
      </w:r>
      <w:r>
        <w:t xml:space="preserve"> </w:t>
      </w:r>
      <w:r>
        <w:t xml:space="preserve">(locked</w:t>
      </w:r>
      <w:r>
        <w:t xml:space="preserve"> </w:t>
      </w:r>
      <w:r>
        <w:t xml:space="preserve">Phase 3 formulas plus vectorised batch helpers). Each function carries a</w:t>
      </w:r>
      <w:r>
        <w:t xml:space="preserve"> </w:t>
      </w:r>
      <w:r>
        <w:t xml:space="preserve">docstring referencing the section of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it</w:t>
      </w:r>
      <w:r>
        <w:t xml:space="preserve"> </w:t>
      </w:r>
      <w:r>
        <w:t xml:space="preserve">implements where applicable, and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and monotonicity properties on the locked formulas.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analysis layer</w:t>
      </w:r>
      <w:r>
        <w:t xml:space="preserve"> </w:t>
      </w:r>
      <w:r>
        <w:t xml:space="preserve">lives under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and contains ten Jupyter</w:t>
      </w:r>
      <w:r>
        <w:t xml:space="preserve"> </w:t>
      </w:r>
      <w:r>
        <w:t xml:space="preserve">notebooks, one per analysis phase: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01_phase2_feature_selection.ipynb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01a_phase2_diagnostics.ipynb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01b_phase2_lightgbm_retune.ipynb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01c_scorecard.ipynb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02_economic_framework.ipynb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03_economic_stress_test.ipynb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04_bootstrap_cutoff_ci.ipynb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05_pd_quality_opcost_stress.ipynb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06_calibration_verification.ipynb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07_visualization.ipynb</w:t>
      </w:r>
    </w:p>
    <w:p>
      <w:pPr>
        <w:pStyle w:val="FirstParagraph"/>
      </w:pPr>
      <w:r>
        <w:t xml:space="preserve">Each notebook is independently executable end-to-end on the saved</w:t>
      </w:r>
      <w:r>
        <w:t xml:space="preserve"> </w:t>
      </w:r>
      <w:r>
        <w:t xml:space="preserve">artifacts (the wide ABT, the calibrated PD scores, the LightGBM model</w:t>
      </w:r>
      <w:r>
        <w:t xml:space="preserve"> </w:t>
      </w:r>
      <w:r>
        <w:t xml:space="preserve">pickle, the WoE-transformed ABT). The</w:t>
      </w:r>
      <w:r>
        <w:t xml:space="preserve"> </w:t>
      </w:r>
      <w:r>
        <w:rPr>
          <w:rStyle w:val="VerbatimChar"/>
        </w:rPr>
        <w:t xml:space="preserve">nbconvert --to script</w:t>
      </w:r>
      <w:r>
        <w:t xml:space="preserve"> </w:t>
      </w:r>
      <w:r>
        <w:t xml:space="preserve">workflow</w:t>
      </w:r>
      <w:r>
        <w:t xml:space="preserve"> </w:t>
      </w:r>
      <w:r>
        <w:t xml:space="preserve">auto-exports each notebook to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 in</w:t>
      </w:r>
      <w:r>
        <w:t xml:space="preserve"> </w:t>
      </w:r>
      <w:r>
        <w:rPr>
          <w:rStyle w:val="VerbatimChar"/>
        </w:rPr>
        <w:t xml:space="preserve">artifacts/...</w:t>
      </w:r>
      <w:r>
        <w:t xml:space="preserve"> </w:t>
      </w:r>
      <w:r>
        <w:t xml:space="preserve">for</w:t>
      </w:r>
      <w:r>
        <w:t xml:space="preserve"> </w:t>
      </w:r>
      <w:r>
        <w:t xml:space="preserve">executable archival.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 are imported into the notebooks</w:t>
      </w:r>
      <w:r>
        <w:t xml:space="preserve"> </w:t>
      </w:r>
      <w:r>
        <w:t xml:space="preserve">rather than duplicated, so any change to the locked formulas propagates</w:t>
      </w:r>
      <w:r>
        <w:t xml:space="preserve"> </w:t>
      </w:r>
      <w:r>
        <w:t xml:space="preserve">to every analysis simultaneously.</w:t>
      </w:r>
    </w:p>
    <w:bookmarkEnd w:id="57"/>
    <w:bookmarkStart w:id="58" w:name="reproducibility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Reproducibility</w:t>
      </w:r>
    </w:p>
    <w:p>
      <w:pPr>
        <w:pStyle w:val="FirstParagraph"/>
      </w:pPr>
      <w:r>
        <w:t xml:space="preserve">All random seeds are explicit (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in the production simulator</w:t>
      </w:r>
      <w:r>
        <w:t xml:space="preserve"> </w:t>
      </w:r>
      <w:r>
        <w:t xml:space="preserve">run,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 </w:t>
      </w:r>
      <w:r>
        <w:t xml:space="preserve">in every Lasso, LightGBM, Optuna, bootstrap</w:t>
      </w:r>
      <w:r>
        <w:t xml:space="preserve"> </w:t>
      </w:r>
      <w:r>
        <w:t xml:space="preserve">draw, and</w:t>
      </w:r>
      <w:r>
        <w:t xml:space="preserve"> </w:t>
      </w:r>
      <w:r>
        <w:rPr>
          <w:rStyle w:val="VerbatimChar"/>
        </w:rPr>
        <w:t xml:space="preserve">perturb_to_target_gini</w:t>
      </w:r>
      <w:r>
        <w:t xml:space="preserve"> </w:t>
      </w:r>
      <w:r>
        <w:t xml:space="preserve">call). The simulator output is</w:t>
      </w:r>
      <w:r>
        <w:t xml:space="preserve"> </w:t>
      </w:r>
      <w:r>
        <w:t xml:space="preserve">gitignored due to size (~30 GB) but every downstream analysis is</w:t>
      </w:r>
      <w:r>
        <w:t xml:space="preserve"> </w:t>
      </w:r>
      <w:r>
        <w:t xml:space="preserve">deterministic given the locked simulator output. A user with the</w:t>
      </w:r>
      <w:r>
        <w:t xml:space="preserve"> </w:t>
      </w:r>
      <w:r>
        <w:t xml:space="preserve">simulator output, 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modules, and any one of the ten notebooks</w:t>
      </w:r>
      <w:r>
        <w:t xml:space="preserve"> </w:t>
      </w:r>
      <w:r>
        <w:t xml:space="preserve">can regenerate the corresponding analysis exactly. The artifact</w:t>
      </w:r>
      <w:r>
        <w:t xml:space="preserve"> </w:t>
      </w:r>
      <w:r>
        <w:t xml:space="preserve">inventory (</w:t>
      </w:r>
      <w:r>
        <w:rPr>
          <w:rStyle w:val="VerbatimChar"/>
        </w:rPr>
        <w:t xml:space="preserve">artifact_inventory.md</w:t>
      </w:r>
      <w:r>
        <w:t xml:space="preserve">) records sizes and regeneration costs</w:t>
      </w:r>
      <w:r>
        <w:t xml:space="preserve"> </w:t>
      </w:r>
      <w:r>
        <w:t xml:space="preserve">for every large file.</w:t>
      </w:r>
    </w:p>
    <w:bookmarkEnd w:id="58"/>
    <w:bookmarkStart w:id="59" w:name="disciplinary-boundaries-observed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Disciplinary boundaries observed</w:t>
      </w:r>
    </w:p>
    <w:p>
      <w:pPr>
        <w:pStyle w:val="FirstParagraph"/>
      </w:pPr>
      <w:r>
        <w:t xml:space="preserve">Three disciplinary rules were observed throughout the project. First, the</w:t>
      </w:r>
      <w:r>
        <w:t xml:space="preserve"> </w:t>
      </w:r>
      <w:r>
        <w:t xml:space="preserve">simulator core is treated as</w:t>
      </w:r>
      <w:r>
        <w:t xml:space="preserve"> </w:t>
      </w:r>
      <w:r>
        <w:rPr>
          <w:i/>
          <w:iCs/>
        </w:rPr>
        <w:t xml:space="preserve">immutable</w:t>
      </w:r>
      <w:r>
        <w:t xml:space="preserve">: no file under</w:t>
      </w:r>
      <w:r>
        <w:t xml:space="preserve"> </w:t>
      </w:r>
      <w:r>
        <w:rPr>
          <w:rStyle w:val="VerbatimChar"/>
        </w:rPr>
        <w:t xml:space="preserve">rl-debt-collection/src/rl_debt_collection/</w:t>
      </w:r>
      <w:r>
        <w:t xml:space="preserve"> </w:t>
      </w:r>
      <w:r>
        <w:t xml:space="preserve">was modified. Second, the</w:t>
      </w:r>
      <w:r>
        <w:t xml:space="preserve"> </w:t>
      </w:r>
      <w:r>
        <w:t xml:space="preserve">locked 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are treated as a</w:t>
      </w:r>
      <w:r>
        <w:t xml:space="preserve"> </w:t>
      </w:r>
      <w:r>
        <w:rPr>
          <w:i/>
          <w:iCs/>
        </w:rPr>
        <w:t xml:space="preserve">contract</w:t>
      </w:r>
      <w:r>
        <w:t xml:space="preserve">:</w:t>
      </w:r>
      <w:r>
        <w:t xml:space="preserve"> </w:t>
      </w:r>
      <w:r>
        <w:t xml:space="preserve">implementations cite the lock and unit tests verify identities, so any</w:t>
      </w:r>
      <w:r>
        <w:t xml:space="preserve"> </w:t>
      </w:r>
      <w:r>
        <w:t xml:space="preserve">divergence is detectable. Third, every claim in the Results chapter has</w:t>
      </w:r>
      <w:r>
        <w:t xml:space="preserve"> </w:t>
      </w:r>
      <w:r>
        <w:t xml:space="preserve">a supporting artifact mapped in</w:t>
      </w:r>
      <w:r>
        <w:t xml:space="preserve"> </w:t>
      </w:r>
      <w:r>
        <w:rPr>
          <w:rStyle w:val="VerbatimChar"/>
        </w:rPr>
        <w:t xml:space="preserve">thesis_evidence_map.md</w:t>
      </w:r>
      <w:r>
        <w:t xml:space="preserve"> </w:t>
      </w:r>
      <w:r>
        <w:t xml:space="preserve">and a</w:t>
      </w:r>
      <w:r>
        <w:t xml:space="preserve"> </w:t>
      </w:r>
      <w:r>
        <w:t xml:space="preserve">caveat-aware phrasing rule documented in</w:t>
      </w:r>
      <w:r>
        <w:t xml:space="preserve"> </w:t>
      </w:r>
      <w:r>
        <w:rPr>
          <w:rStyle w:val="VerbatimChar"/>
        </w:rPr>
        <w:t xml:space="preserve">thesis_methodology_lock.md</w:t>
      </w:r>
      <w:r>
        <w:t xml:space="preserve">.</w:t>
      </w:r>
      <w:r>
        <w:t xml:space="preserve"> </w:t>
      </w:r>
      <w:r>
        <w:t xml:space="preserve">This three-document discipline is intended to make every numerical</w:t>
      </w:r>
      <w:r>
        <w:t xml:space="preserve"> </w:t>
      </w:r>
      <w:r>
        <w:t xml:space="preserve">result in the thesis traceable to its underlying artifact and to make</w:t>
      </w:r>
      <w:r>
        <w:t xml:space="preserve"> </w:t>
      </w:r>
      <w:r>
        <w:t xml:space="preserve">the boundary conditions of every claim explicit.</w:t>
      </w:r>
    </w:p>
    <w:bookmarkEnd w:id="59"/>
    <w:bookmarkEnd w:id="60"/>
    <w:bookmarkEnd w:id="61"/>
    <w:bookmarkStart w:id="90" w:name="chapter-4-empirical-resul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Chapter 4 — Empirical Results</w:t>
      </w:r>
    </w:p>
    <w:p>
      <w:pPr>
        <w:pStyle w:val="FirstParagraph"/>
      </w:pPr>
      <w:r>
        <w:t xml:space="preserve">This chapter reports the empirical results obtained by applying the</w:t>
      </w:r>
      <w:r>
        <w:t xml:space="preserve"> </w:t>
      </w:r>
      <w:r>
        <w:t xml:space="preserve">methodology of Chapter 3 to the locked production-run data. Seven</w:t>
      </w:r>
      <w:r>
        <w:t xml:space="preserve"> </w:t>
      </w:r>
      <w:r>
        <w:t xml:space="preserve">sections trace the analytical chain that the thesis hypothesis demands:</w:t>
      </w:r>
      <w:r>
        <w:t xml:space="preserve"> </w:t>
      </w:r>
      <w:r>
        <w:t xml:space="preserve">from PD model performance (§4.1) through base economic measurement</w:t>
      </w:r>
      <w:r>
        <w:t xml:space="preserve"> </w:t>
      </w:r>
      <w:r>
        <w:t xml:space="preserve">(§4.2), economic stress testing (§4.3), bootstrap statistical robustness</w:t>
      </w:r>
      <w:r>
        <w:t xml:space="preserve"> </w:t>
      </w:r>
      <w:r>
        <w:t xml:space="preserve">(§4.4), PD-quality stress (§4.5), operational-cost robustness (§4.6),</w:t>
      </w:r>
      <w:r>
        <w:t xml:space="preserve"> </w:t>
      </w:r>
      <w:r>
        <w:t xml:space="preserve">and the combined stress that produces the chapter’s refined thesis</w:t>
      </w:r>
      <w:r>
        <w:t xml:space="preserve"> </w:t>
      </w:r>
      <w:r>
        <w:t xml:space="preserve">claim (§4.7). Every section is structured as</w:t>
      </w:r>
      <w:r>
        <w:t xml:space="preserve"> </w:t>
      </w:r>
      <w:r>
        <w:rPr>
          <w:i/>
          <w:iCs/>
        </w:rPr>
        <w:t xml:space="preserve">setup → results →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interpretation → transition</w:t>
      </w:r>
      <w:r>
        <w:t xml:space="preserve">: the interpretation paragraphs answer the</w:t>
      </w:r>
      <w:r>
        <w:t xml:space="preserve"> </w:t>
      </w:r>
      <w:r>
        <w:t xml:space="preserve">question</w:t>
      </w:r>
      <w:r>
        <w:t xml:space="preserve"> </w:t>
      </w:r>
      <w:r>
        <w:rPr>
          <w:i/>
          <w:iCs/>
        </w:rPr>
        <w:t xml:space="preserve">“why does this empirical finding matter for the thesis?”</w:t>
      </w:r>
      <w:r>
        <w:t xml:space="preserve"> </w:t>
      </w:r>
      <w:r>
        <w:t xml:space="preserve">rather than restating numbers. The chapter’s overall argument is that</w:t>
      </w:r>
      <w:r>
        <w:t xml:space="preserve"> </w:t>
      </w:r>
      <w:r>
        <w:t xml:space="preserve">profit-driven cut-off selection produces strictly higher dollar profit</w:t>
      </w:r>
      <w:r>
        <w:t xml:space="preserve"> </w:t>
      </w:r>
      <w:r>
        <w:t xml:space="preserve">than Youden’s J in every cell of the tested stress space, and that the</w:t>
      </w:r>
      <w:r>
        <w:t xml:space="preserve"> </w:t>
      </w:r>
      <w:r>
        <w:t xml:space="preserve">margin of advantage is largest precisely when the underlying PD signal</w:t>
      </w:r>
      <w:r>
        <w:t xml:space="preserve"> </w:t>
      </w:r>
      <w:r>
        <w:t xml:space="preserve">is weakest.</w:t>
      </w:r>
    </w:p>
    <w:p>
      <w:pPr>
        <w:pStyle w:val="BodyText"/>
      </w:pPr>
      <w:r>
        <w:t xml:space="preserve">The chapter follows the phrasing rules of Chapter 3 throughout:</w:t>
      </w:r>
      <w:r>
        <w:t xml:space="preserve"> </w:t>
      </w:r>
      <w:r>
        <w:rPr>
          <w:i/>
          <w:iCs/>
        </w:rPr>
        <w:t xml:space="preserve">across N resamples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in place of</w:t>
      </w:r>
      <w:r>
        <w:t xml:space="preserve"> </w:t>
      </w:r>
      <w:r>
        <w:t xml:space="preserve">true probability statements, and explicit acknowledgement of boundary</w:t>
      </w:r>
      <w:r>
        <w:t xml:space="preserve"> </w:t>
      </w:r>
      <w:r>
        <w:t xml:space="preserve">conditions wherever the data permits a counter-example.</w:t>
      </w:r>
    </w:p>
    <w:p>
      <w:r>
        <w:pict>
          <v:rect style="width:0;height:1.5pt" o:hralign="center" o:hrstd="t" o:hr="t"/>
        </w:pict>
      </w:r>
    </w:p>
    <w:bookmarkStart w:id="65" w:name="pd-modelling-result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 PD Modelling Results</w:t>
      </w:r>
    </w:p>
    <w:bookmarkStart w:id="62" w:name="setup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Setup</w:t>
      </w:r>
    </w:p>
    <w:p>
      <w:pPr>
        <w:pStyle w:val="FirstParagraph"/>
      </w:pPr>
      <w:r>
        <w:t xml:space="preserve">Phase 2 deploys the dual-track PD modelling architecture described in</w:t>
      </w:r>
      <w:r>
        <w:t xml:space="preserve"> </w:t>
      </w:r>
      <w:r>
        <w:t xml:space="preserve">Section 3.3 against the 534,314-row Phase-2-filtered modelling</w:t>
      </w:r>
      <w:r>
        <w:t xml:space="preserve"> </w:t>
      </w:r>
      <w:r>
        <w:t xml:space="preserve">population. Within the linear track, the three-stage selection pipeline</w:t>
      </w:r>
      <w:r>
        <w:t xml:space="preserve"> </w:t>
      </w:r>
      <w:r>
        <w:t xml:space="preserve">(Stage 1 univariate prescreening → Stage 2 single-fit Lasso → Stage 3</w:t>
      </w:r>
      <w:r>
        <w:t xml:space="preserve"> </w:t>
      </w:r>
      <w:r>
        <w:t xml:space="preserve">statsmodels logit refinement) reduces the 435-feature PD-eligible pool</w:t>
      </w:r>
      <w:r>
        <w:t xml:space="preserve"> </w:t>
      </w:r>
      <w:r>
        <w:t xml:space="preserve">sequentially to 120 Stage-1 survivors, 64 Stage-2 survivors, and a</w:t>
      </w:r>
      <w:r>
        <w:t xml:space="preserve"> </w:t>
      </w:r>
      <w:r>
        <w:t xml:space="preserve">final 22-feature Logistic Regression in the full-F6E variant or 7</w:t>
      </w:r>
      <w:r>
        <w:t xml:space="preserve"> </w:t>
      </w:r>
      <w:r>
        <w:t xml:space="preserve">features in the no-F6E variant (Table 4.1). The non-linear track is</w:t>
      </w:r>
      <w:r>
        <w:t xml:space="preserve"> </w:t>
      </w:r>
      <w:r>
        <w:t xml:space="preserve">LightGBM tuned by 30 Optuna trials with the temporal calibration cohorts</w:t>
      </w:r>
      <w:r>
        <w:t xml:space="preserve"> </w:t>
      </w:r>
      <w:r>
        <w:t xml:space="preserve">202611-202612 used for early stopping; the best trial yields</w:t>
      </w:r>
      <w:r>
        <w:t xml:space="preserve"> </w:t>
      </w:r>
      <w:r>
        <w:rPr>
          <w:rStyle w:val="VerbatimChar"/>
        </w:rPr>
        <w:t xml:space="preserve">best_iteration = 141</w:t>
      </w:r>
      <w:r>
        <w:t xml:space="preserve"> </w:t>
      </w:r>
      <w:r>
        <w:t xml:space="preserve">and removes F6D random-noise features from the</w:t>
      </w:r>
      <w:r>
        <w:t xml:space="preserve"> </w:t>
      </w:r>
      <w:r>
        <w:t xml:space="preserve">top-20 by gain. All four base models are calibrated by Platt scaling</w:t>
      </w:r>
      <w:r>
        <w:t xml:space="preserve"> </w:t>
      </w:r>
      <w:r>
        <w:t xml:space="preserve">fitted on the 21,465-row calibration slice (cohorts 202611-202612), with</w:t>
      </w:r>
      <w:r>
        <w:t xml:space="preserve"> </w:t>
      </w:r>
      <w:r>
        <w:t xml:space="preserve">the OOT cohorts 202701-202706 untouched until evaluation.</w:t>
      </w:r>
    </w:p>
    <w:p>
      <w:pPr>
        <w:pStyle w:val="BodyText"/>
      </w:pPr>
      <w:r>
        <w:rPr>
          <w:b/>
          <w:bCs/>
        </w:rPr>
        <w:t xml:space="preserve">Table 4.1 — Linear-track Stage 1/2/3 selection funnel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2436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allowed_for_origination_pd</w:t>
            </w:r>
            <w:r>
              <w:t xml:space="preserve"> </w:t>
            </w:r>
            <w:r>
              <w:t xml:space="preserve">∧</w:t>
            </w:r>
            <w:r>
              <w:t xml:space="preserve"> </w:t>
            </w:r>
            <w:r>
              <w:rPr>
                <w:rStyle w:val="VerbatimChar"/>
              </w:rPr>
              <w:t xml:space="preserve">leakage_risk ≠ high</w:t>
            </w:r>
            <w:r>
              <w:t xml:space="preserve"> </w:t>
            </w:r>
            <w:r>
              <w:t xml:space="preserve">∧ no target / no future behaviour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sparsity, variance, univariate Gini ≥ 0.02,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single-fit Lasso</w:t>
            </w:r>
            <w:r>
              <w:t xml:space="preserve"> </w:t>
            </w:r>
            <w:r>
              <w:rPr>
                <w:rStyle w:val="VerbatimChar"/>
              </w:rPr>
              <w:t xml:space="preserve">C = 0.05</w:t>
            </w:r>
            <w:r>
              <w:t xml:space="preserve">, 100k stratified train sub-sample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(full-F6E)</w:t>
            </w:r>
          </w:p>
        </w:tc>
        <w:tc>
          <w:tcPr/>
          <w:p>
            <w:pPr>
              <w:pStyle w:val="Compact"/>
            </w:pPr>
            <w:r>
              <w:t xml:space="preserve">VIF +</w:t>
            </w:r>
            <w:r>
              <w:t xml:space="preserve"> </w:t>
            </w:r>
            <w:r>
              <w:rPr>
                <w:rStyle w:val="VerbatimChar"/>
              </w:rPr>
              <w:t xml:space="preserve">p &lt; 0.05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 (no-F6E)</w:t>
            </w:r>
          </w:p>
        </w:tc>
        <w:tc>
          <w:tcPr/>
          <w:p>
            <w:pPr>
              <w:pStyle w:val="Compact"/>
            </w:pPr>
            <w:r>
              <w:t xml:space="preserve">same, applied to the F6E-excluded variant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phase2_modeling_report.md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test1_f6e_ablation.json</w:t>
      </w:r>
      <w:r>
        <w:t xml:space="preserve">.</w:t>
      </w:r>
    </w:p>
    <w:bookmarkEnd w:id="62"/>
    <w:bookmarkStart w:id="63" w:name="results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3.4a (Chapter 3) reports the discrimination metrics on the full</w:t>
      </w:r>
      <w:r>
        <w:t xml:space="preserve"> </w:t>
      </w:r>
      <w:r>
        <w:t xml:space="preserve">OOT split (n = 144,789, all tenors). LightGBM tuned dominates with OOT</w:t>
      </w:r>
      <w:r>
        <w:t xml:space="preserve"> </w:t>
      </w:r>
      <w:r>
        <w:t xml:space="preserve">AUC 0.898, Gini 0.795, and KS 0.638; the LR full-F6E is second with AUC</w:t>
      </w:r>
      <w:r>
        <w:t xml:space="preserve"> </w:t>
      </w:r>
      <w:r>
        <w:t xml:space="preserve">0.859 and Gini 0.718; the LR no-F6E and Scorecard no-F6E variants form</w:t>
      </w:r>
      <w:r>
        <w:t xml:space="preserve"> </w:t>
      </w:r>
      <w:r>
        <w:t xml:space="preserve">the parsimonious tail at AUC 0.836 and 0.803 respectively. Table 3.4b</w:t>
      </w:r>
      <w:r>
        <w:t xml:space="preserve"> </w:t>
      </w:r>
      <w:r>
        <w:t xml:space="preserve">(Chapter 3) reports the calibration verification on the eco-OOT subset</w:t>
      </w:r>
      <w:r>
        <w:t xml:space="preserve"> </w:t>
      </w:r>
      <w:r>
        <w:t xml:space="preserve">(n = 64,027, 24m and 36m only, post-Platt). On this population the</w:t>
      </w:r>
      <w:r>
        <w:t xml:space="preserve"> </w:t>
      </w:r>
      <w:r>
        <w:t xml:space="preserve">LightGBM and Scorecard under-predict the empirical 1.92% base rate by</w:t>
      </w:r>
      <w:r>
        <w:t xml:space="preserve"> </w:t>
      </w:r>
      <w:r>
        <w:t xml:space="preserve">roughly a factor of two (predicted-to-observed ratios 0.49 and 0.48</w:t>
      </w:r>
      <w:r>
        <w:t xml:space="preserve"> </w:t>
      </w:r>
      <w:r>
        <w:t xml:space="preserve">respectively, both flagged ⚠ in Table 3.4b), while the two LR variants</w:t>
      </w:r>
      <w:r>
        <w:t xml:space="preserve"> </w:t>
      </w:r>
      <w:r>
        <w:t xml:space="preserve">are within 8% of the empirical rate.</w:t>
      </w:r>
    </w:p>
    <w:p>
      <w:pPr>
        <w:pStyle w:val="BodyText"/>
      </w:pPr>
      <w:r>
        <w:t xml:space="preserve">The F6D negative-control gate, designed to detect leakage of pure-noise</w:t>
      </w:r>
      <w:r>
        <w:t xml:space="preserve"> </w:t>
      </w:r>
      <w:r>
        <w:t xml:space="preserve">features through the selection pipeline, was satisfied across the full</w:t>
      </w:r>
      <w:r>
        <w:t xml:space="preserve"> </w:t>
      </w:r>
      <w:r>
        <w:t xml:space="preserve">nine-cell stability sweep (Lasso</w:t>
      </w:r>
      <w:r>
        <w:t xml:space="preserve"> </w:t>
      </w:r>
      <w:r>
        <w:rPr>
          <w:rStyle w:val="VerbatimChar"/>
        </w:rPr>
        <w:t xml:space="preserve">C ∈ {0.02, 0.05, 0.10}</w:t>
      </w:r>
      <w:r>
        <w:t xml:space="preserve"> </w:t>
      </w:r>
      <w:r>
        <w:t xml:space="preserve">× seeds</w:t>
      </w:r>
      <w:r>
        <w:t xml:space="preserve"> </w:t>
      </w:r>
      <w:r>
        <w:rPr>
          <w:rStyle w:val="VerbatimChar"/>
        </w:rPr>
        <w:t xml:space="preserve">{42, 101, 202}</w:t>
      </w:r>
      <w:r>
        <w:t xml:space="preserve">): zero F6D survivors in 9 of 9 configurations. After</w:t>
      </w:r>
      <w:r>
        <w:t xml:space="preserve"> </w:t>
      </w:r>
      <w:r>
        <w:t xml:space="preserve">the LightGBM retune, no F6D feature appears in the top-20 by gain</w:t>
      </w:r>
      <w:r>
        <w:t xml:space="preserve"> </w:t>
      </w:r>
      <w:r>
        <w:t xml:space="preserve">importance, although small non-zero gains appear deeper in the</w:t>
      </w:r>
      <w:r>
        <w:t xml:space="preserve"> </w:t>
      </w:r>
      <w:r>
        <w:t xml:space="preserve">importance distribution as a normal consequence of moderate</w:t>
      </w:r>
      <w:r>
        <w:t xml:space="preserve"> </w:t>
      </w:r>
      <w:r>
        <w:t xml:space="preserve">regularisation. This pipeline-integrity check is what allows the</w:t>
      </w:r>
      <w:r>
        <w:t xml:space="preserve"> </w:t>
      </w:r>
      <w:r>
        <w:t xml:space="preserve">downstream economic and stress-testing chapters to attribute observed</w:t>
      </w:r>
      <w:r>
        <w:t xml:space="preserve"> </w:t>
      </w:r>
      <w:r>
        <w:t xml:space="preserve">profit differences to the locked formulas and the calibrated PDs rather</w:t>
      </w:r>
      <w:r>
        <w:t xml:space="preserve"> </w:t>
      </w:r>
      <w:r>
        <w:t xml:space="preserve">than to leaked noise.</w:t>
      </w:r>
    </w:p>
    <w:bookmarkEnd w:id="63"/>
    <w:bookmarkStart w:id="64" w:name="interpretation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The dual-track architecture yields four PD models that span the</w:t>
      </w:r>
      <w:r>
        <w:t xml:space="preserve"> </w:t>
      </w:r>
      <w:r>
        <w:rPr>
          <w:i/>
          <w:iCs/>
        </w:rPr>
        <w:t xml:space="preserve">interpretability versus discrimination</w:t>
      </w:r>
      <w:r>
        <w:t xml:space="preserve"> </w:t>
      </w:r>
      <w:r>
        <w:t xml:space="preserve">trade-off space: the 7-feature</w:t>
      </w:r>
      <w:r>
        <w:t xml:space="preserve"> </w:t>
      </w:r>
      <w:r>
        <w:t xml:space="preserve">LR no-F6E and the 7-feature WoE Scorecard offer the most parsimonious</w:t>
      </w:r>
      <w:r>
        <w:t xml:space="preserve"> </w:t>
      </w:r>
      <w:r>
        <w:t xml:space="preserve">decision surfaces, the 22-feature LR full-F6E adds synthetic</w:t>
      </w:r>
      <w:r>
        <w:t xml:space="preserve"> </w:t>
      </w:r>
      <w:r>
        <w:t xml:space="preserve">bureau-style features for incremental discrimination, and LightGBM</w:t>
      </w:r>
      <w:r>
        <w:t xml:space="preserve"> </w:t>
      </w:r>
      <w:r>
        <w:t xml:space="preserve">captures non-linear interactions for the highest discriminative ceiling.</w:t>
      </w:r>
      <w:r>
        <w:t xml:space="preserve"> </w:t>
      </w:r>
      <w:r>
        <w:t xml:space="preserve">This spread is not redundant for the thesis hypothesis: each subsequent</w:t>
      </w:r>
      <w:r>
        <w:t xml:space="preserve"> </w:t>
      </w:r>
      <w:r>
        <w:t xml:space="preserve">chapter section uses the LightGBM tuned + Platt scores as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PD input, but the multi-model comparison enables a robustness</w:t>
      </w:r>
      <w:r>
        <w:t xml:space="preserve"> </w:t>
      </w:r>
      <w:r>
        <w:t xml:space="preserve">triangulation that shows the central finding (profit-driven cut-off</w:t>
      </w:r>
      <w:r>
        <w:t xml:space="preserve"> </w:t>
      </w:r>
      <w:r>
        <w:t xml:space="preserve">beats Youden in dollar terms) holds across model architectures with</w:t>
      </w:r>
      <w:r>
        <w:t xml:space="preserve"> </w:t>
      </w:r>
      <w:r>
        <w:t xml:space="preserve">substantially different discrimination and calibration profiles. The</w:t>
      </w:r>
      <w:r>
        <w:t xml:space="preserve"> </w:t>
      </w:r>
      <w:r>
        <w:t xml:space="preserve">calibration design in particular — Platt scaling fitted on a strictly</w:t>
      </w:r>
      <w:r>
        <w:t xml:space="preserve"> </w:t>
      </w:r>
      <w:r>
        <w:t xml:space="preserve">training-period slice — is what permits the eco-population profit</w:t>
      </w:r>
      <w:r>
        <w:t xml:space="preserve"> </w:t>
      </w:r>
      <w:r>
        <w:t xml:space="preserve">framework to use OOT data for evaluation without OOT contamination of</w:t>
      </w:r>
      <w:r>
        <w:t xml:space="preserve"> </w:t>
      </w:r>
      <w:r>
        <w:t xml:space="preserve">the PD-to-probability mapping. Without that leak-free design the</w:t>
      </w:r>
      <w:r>
        <w:t xml:space="preserve"> </w:t>
      </w:r>
      <w:r>
        <w:t xml:space="preserve">bootstrap CIs of §4.4 would be meaningless because they would in part</w:t>
      </w:r>
      <w:r>
        <w:t xml:space="preserve"> </w:t>
      </w:r>
      <w:r>
        <w:t xml:space="preserve">quantify in-sample fit rather than genuine out-of-time generalisation.</w:t>
      </w:r>
    </w:p>
    <w:p>
      <w:pPr>
        <w:pStyle w:val="BodyText"/>
      </w:pPr>
      <w:r>
        <w:t xml:space="preserve">The next section turns from PD discrimination, which is necessary but</w:t>
      </w:r>
      <w:r>
        <w:t xml:space="preserve"> </w:t>
      </w:r>
      <w:r>
        <w:t xml:space="preserve">not the thesis question, to the lifetime economic framework in which</w:t>
      </w:r>
      <w:r>
        <w:t xml:space="preserve"> </w:t>
      </w:r>
      <w:r>
        <w:t xml:space="preserve">the question is actually answered.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base-economic-results-phase-3.1b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 Base Economic Results (Phase 3.1B)</w:t>
      </w:r>
    </w:p>
    <w:bookmarkStart w:id="66" w:name="setup-1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3.1B base economic run applies the locked tenor-aware Lifetime</w:t>
      </w:r>
      <w:r>
        <w:t xml:space="preserve"> </w:t>
      </w:r>
      <w:r>
        <w:t xml:space="preserve">Net Margin formulas (Section 3.4) to the 235,968-row economic-eligible</w:t>
      </w:r>
      <w:r>
        <w:t xml:space="preserve"> </w:t>
      </w:r>
      <w:r>
        <w:t xml:space="preserve">population (24-month and 36-month loans only, after the structural</w:t>
      </w:r>
      <w:r>
        <w:t xml:space="preserve"> </w:t>
      </w:r>
      <w:r>
        <w:t xml:space="preserve">exclusion of 12-month loans documented in Section 3.4). The base</w:t>
      </w:r>
      <w:r>
        <w:t xml:space="preserve"> </w:t>
      </w:r>
      <w:r>
        <w:t xml:space="preserve">scenario uses the LightGBM tuned + Platt PD as input, the locked tiered</w:t>
      </w:r>
      <w:r>
        <w:t xml:space="preserve"> </w:t>
      </w:r>
      <w:r>
        <w:t xml:space="preserve">APR schedule (Section 3.6), LGD = 0.65,</w:t>
      </w:r>
      <w:r>
        <w:t xml:space="preserve"> </w:t>
      </w:r>
      <w:r>
        <w:rPr>
          <w:rStyle w:val="VerbatimChar"/>
        </w:rPr>
        <w:t xml:space="preserve">op_cost_annual = 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discount_annual = 0</w:t>
      </w:r>
      <w:r>
        <w:t xml:space="preserve">. For each account the framework computes Lifetime</w:t>
      </w:r>
      <w:r>
        <w:t xml:space="preserve"> </w:t>
      </w:r>
      <w:r>
        <w:t xml:space="preserve">Expected Loss (</w:t>
      </w:r>
      <w:r>
        <w:rPr>
          <w:rStyle w:val="VerbatimChar"/>
        </w:rPr>
        <w:t xml:space="preserve">LT_EL</w:t>
      </w:r>
      <w:r>
        <w:t xml:space="preserve">), Lifetime Margin gross of credit loss</w:t>
      </w:r>
      <w:r>
        <w:t xml:space="preserve"> </w:t>
      </w:r>
      <w:r>
        <w:t xml:space="preserve">(</w:t>
      </w:r>
      <w:r>
        <w:rPr>
          <w:rStyle w:val="VerbatimChar"/>
        </w:rPr>
        <w:t xml:space="preserve">LT_margin</w:t>
      </w:r>
      <w:r>
        <w:t xml:space="preserve">), and Expected Net Profit (</w:t>
      </w:r>
      <w:r>
        <w:rPr>
          <w:rStyle w:val="VerbatimChar"/>
        </w:rPr>
        <w:t xml:space="preserve">LT_margin − LT_EL</w:t>
      </w:r>
      <w:r>
        <w:t xml:space="preserve">); the ASB</w:t>
      </w:r>
      <w:r>
        <w:t xml:space="preserve"> </w:t>
      </w:r>
      <w:r>
        <w:t xml:space="preserve">single-period benchmark is computed in parallel for direct comparison.</w:t>
      </w:r>
      <w:r>
        <w:t xml:space="preserve"> </w:t>
      </w:r>
      <w:r>
        <w:t xml:space="preserve">The full 235,968-row table is materialised at</w:t>
      </w:r>
      <w:r>
        <w:t xml:space="preserve"> </w:t>
      </w:r>
      <w:r>
        <w:rPr>
          <w:rStyle w:val="VerbatimChar"/>
        </w:rPr>
        <w:t xml:space="preserve">artifacts/economic_framework/economics_per_account.parquet</w:t>
      </w:r>
      <w:r>
        <w:t xml:space="preserve"> </w:t>
      </w:r>
      <w:r>
        <w:t xml:space="preserve">(15 MB).</w:t>
      </w:r>
    </w:p>
    <w:bookmarkEnd w:id="66"/>
    <w:bookmarkStart w:id="67" w:name="results-1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Results</w:t>
      </w:r>
    </w:p>
    <w:p>
      <w:pPr>
        <w:pStyle w:val="FirstParagraph"/>
      </w:pPr>
      <w:r>
        <w:t xml:space="preserve">The per-account distributions are summarised in Table 4.2. Both LT_EL</w:t>
      </w:r>
      <w:r>
        <w:t xml:space="preserve"> </w:t>
      </w:r>
      <w:r>
        <w:t xml:space="preserve">and Expected Profit are heavily right-skewed (medians substantially</w:t>
      </w:r>
      <w:r>
        <w:t xml:space="preserve"> </w:t>
      </w:r>
      <w:r>
        <w:t xml:space="preserve">below means), which is expected given the right-skewed PD distribution</w:t>
      </w:r>
      <w:r>
        <w:t xml:space="preserve"> </w:t>
      </w:r>
      <w:r>
        <w:t xml:space="preserve">in the underlying portfolio.</w:t>
      </w:r>
    </w:p>
    <w:p>
      <w:pPr>
        <w:pStyle w:val="BodyText"/>
      </w:pPr>
      <w:r>
        <w:rPr>
          <w:b/>
          <w:bCs/>
        </w:rPr>
        <w:t xml:space="preserve">Table 4.2 — Base-scenario per-account distributions (n = 235,968,</w:t>
      </w:r>
      <w:r>
        <w:rPr>
          <w:b/>
          <w:bCs/>
        </w:rPr>
        <w:t xml:space="preserve"> </w:t>
      </w:r>
      <w:r>
        <w:rPr>
          <w:b/>
          <w:bCs/>
        </w:rPr>
        <w:t xml:space="preserve">primary LightGBM Platt PD, tiered APR, LGD = 0.65)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LT_EL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LT_margin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Expected_Profit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$293.22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$728.37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$714.12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$1,179.79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$1,972.23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$1,897.87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$817.94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$6,366.36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$5,831.05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$1,556.02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$1,493.07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$164.85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$1,244.45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$1,150.08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Expected Profit &gt;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Worst-case account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+$264.30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artifacts/economic_framework/economics_per_account.parquet</w:t>
      </w:r>
      <w:r>
        <w:t xml:space="preserve">.</w:t>
      </w:r>
    </w:p>
    <w:p>
      <w:pPr>
        <w:pStyle w:val="BodyText"/>
      </w:pPr>
      <w:r>
        <w:t xml:space="preserve">The total portfolio Expected Profit at base parameters is $352.3M</w:t>
      </w:r>
      <w:r>
        <w:t xml:space="preserve"> </w:t>
      </w:r>
      <w:r>
        <w:t xml:space="preserve">across the 235,968 accounts. The tenor-stratified breakdown (Table 4.3)</w:t>
      </w:r>
      <w:r>
        <w:t xml:space="preserve"> </w:t>
      </w:r>
      <w:r>
        <w:t xml:space="preserve">shows that the 100,853 36-month loans contribute $221.9M of total</w:t>
      </w:r>
      <w:r>
        <w:t xml:space="preserve"> </w:t>
      </w:r>
      <w:r>
        <w:t xml:space="preserve">profit (63%) despite being only 43% of the count: longer tenor</w:t>
      </w:r>
      <w:r>
        <w:t xml:space="preserve"> </w:t>
      </w:r>
      <w:r>
        <w:t xml:space="preserve">generates more lifetime interest revenue at comparable credit risk,</w:t>
      </w:r>
      <w:r>
        <w:t xml:space="preserve"> </w:t>
      </w:r>
      <w:r>
        <w:t xml:space="preserve">because the constant-hazard extrapolation (Section 3.4) increases EL</w:t>
      </w:r>
      <w:r>
        <w:t xml:space="preserve"> </w:t>
      </w:r>
      <w:r>
        <w:t xml:space="preserve">with tenor sub-linearly relative to the linear scaling of revenue.</w:t>
      </w:r>
    </w:p>
    <w:p>
      <w:pPr>
        <w:pStyle w:val="BodyText"/>
      </w:pPr>
      <w:r>
        <w:rPr>
          <w:b/>
          <w:bCs/>
        </w:rPr>
        <w:t xml:space="preserve">Table 4.3 — Tenor-stratified base economics (LightGBM Platt PD,</w:t>
      </w:r>
      <w:r>
        <w:rPr>
          <w:b/>
          <w:bCs/>
        </w:rPr>
        <w:t xml:space="preserve"> </w:t>
      </w:r>
      <w:r>
        <w:rPr>
          <w:b/>
          <w:bCs/>
        </w:rPr>
        <w:t xml:space="preserve">tiered APR, LGD = 0.65)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Tenor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loan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135,115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$130.4M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$221.9M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235,968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$352.3M</w:t>
            </w:r>
          </w:p>
        </w:tc>
      </w:tr>
    </w:tbl>
    <w:p>
      <w:pPr>
        <w:pStyle w:val="BodyText"/>
      </w:pPr>
      <w:r>
        <w:t xml:space="preserve">The ASB single-period benchmark (Figure 4) systematically understates</w:t>
      </w:r>
      <w:r>
        <w:t xml:space="preserve"> </w:t>
      </w:r>
      <w:r>
        <w:t xml:space="preserve">total portfolio profit relative to the tenor-aware Lifetime formula.</w:t>
      </w:r>
      <w:r>
        <w:t xml:space="preserve"> </w:t>
      </w:r>
      <w:r>
        <w:t xml:space="preserve">For 24-month loans the ASB total of $118.1M is 91% of the Lifetime</w:t>
      </w:r>
      <w:r>
        <w:t xml:space="preserve"> </w:t>
      </w:r>
      <w:r>
        <w:t xml:space="preserve">total ($130.4M), an understatement of approximately 9%. For 36-month</w:t>
      </w:r>
      <w:r>
        <w:t xml:space="preserve"> </w:t>
      </w:r>
      <w:r>
        <w:t xml:space="preserve">loans the ASB total of $132.9M is 60% of the Lifetime total</w:t>
      </w:r>
      <w:r>
        <w:t xml:space="preserve"> </w:t>
      </w:r>
      <w:r>
        <w:t xml:space="preserve">($221.9M), an understatement of approximately 40%. The combined ASB</w:t>
      </w:r>
      <w:r>
        <w:t xml:space="preserve"> </w:t>
      </w:r>
      <w:r>
        <w:t xml:space="preserve">total of $250.9M is 71% of the Lifetime $352.3M.</w:t>
      </w:r>
    </w:p>
    <w:bookmarkEnd w:id="67"/>
    <w:bookmarkStart w:id="68" w:name="interpretation-1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The base scenario yields a portfolio in which 100% of accounts have</w:t>
      </w:r>
      <w:r>
        <w:t xml:space="preserve"> </w:t>
      </w:r>
      <w:r>
        <w:t xml:space="preserve">positive Expected Profit. This is a</w:t>
      </w:r>
      <w:r>
        <w:t xml:space="preserve"> </w:t>
      </w:r>
      <w:r>
        <w:rPr>
          <w:i/>
          <w:iCs/>
        </w:rPr>
        <w:t xml:space="preserve">saturated</w:t>
      </w:r>
      <w:r>
        <w:t xml:space="preserve"> </w:t>
      </w:r>
      <w:r>
        <w:t xml:space="preserve">outcome: at zero</w:t>
      </w:r>
      <w:r>
        <w:t xml:space="preserve"> </w:t>
      </w:r>
      <w:r>
        <w:t xml:space="preserve">operating cost and the locked tiered APR schedule, even the worst</w:t>
      </w:r>
      <w:r>
        <w:t xml:space="preserve"> </w:t>
      </w:r>
      <w:r>
        <w:t xml:space="preserve">account in the population (Expected Profit +$264.30) is profitable. A</w:t>
      </w:r>
      <w:r>
        <w:t xml:space="preserve"> </w:t>
      </w:r>
      <w:r>
        <w:t xml:space="preserve">profit-optimal cut-off applied to this base scenario therefore</w:t>
      </w:r>
      <w:r>
        <w:t xml:space="preserve"> </w:t>
      </w:r>
      <w:r>
        <w:rPr>
          <w:i/>
          <w:iCs/>
        </w:rPr>
        <w:t xml:space="preserve">degenerates</w:t>
      </w:r>
      <w:r>
        <w:t xml:space="preserve"> </w:t>
      </w:r>
      <w:r>
        <w:t xml:space="preserve">to</w:t>
      </w:r>
      <w:r>
        <w:t xml:space="preserve"> </w:t>
      </w:r>
      <w:r>
        <w:t xml:space="preserve">“approve everyone”</w:t>
      </w:r>
      <w:r>
        <w:t xml:space="preserve"> </w:t>
      </w:r>
      <w:r>
        <w:t xml:space="preserve">— there is no interior optimum</w:t>
      </w:r>
      <w:r>
        <w:t xml:space="preserve"> </w:t>
      </w:r>
      <w:r>
        <w:t xml:space="preserve">because the cumulative profit curve is monotonically increasing.</w:t>
      </w:r>
    </w:p>
    <w:p>
      <w:pPr>
        <w:pStyle w:val="BodyText"/>
      </w:pPr>
      <w:r>
        <w:t xml:space="preserve">Why does this saturated outcome still matter for the thesis? Because it</w:t>
      </w:r>
      <w:r>
        <w:t xml:space="preserve"> </w:t>
      </w:r>
      <w:r>
        <w:t xml:space="preserve">establishes the</w:t>
      </w:r>
      <w:r>
        <w:t xml:space="preserve"> </w:t>
      </w:r>
      <w:r>
        <w:rPr>
          <w:i/>
          <w:iCs/>
        </w:rPr>
        <w:t xml:space="preserve">upper bound</w:t>
      </w:r>
      <w:r>
        <w:t xml:space="preserve"> </w:t>
      </w:r>
      <w:r>
        <w:t xml:space="preserve">of the framework’s value — the ceiling</w:t>
      </w:r>
      <w:r>
        <w:t xml:space="preserve"> </w:t>
      </w:r>
      <w:r>
        <w:t xml:space="preserve">case in which costs are zero, APR is risk-priced at the locked tiers,</w:t>
      </w:r>
      <w:r>
        <w:t xml:space="preserve"> </w:t>
      </w:r>
      <w:r>
        <w:t xml:space="preserve">and PD is the as-calibrated PRIMARY model. Subsequent sections push</w:t>
      </w:r>
      <w:r>
        <w:t xml:space="preserve"> </w:t>
      </w:r>
      <w:r>
        <w:t xml:space="preserve">each of these dimensions away from the ceiling and observe how the</w:t>
      </w:r>
      <w:r>
        <w:t xml:space="preserve"> </w:t>
      </w:r>
      <w:r>
        <w:t xml:space="preserve">profit-driven cut-off responds; the comparison against the saturated</w:t>
      </w:r>
      <w:r>
        <w:t xml:space="preserve"> </w:t>
      </w:r>
      <w:r>
        <w:t xml:space="preserve">base case is what gives the stress-test results their interpretive</w:t>
      </w:r>
      <w:r>
        <w:t xml:space="preserve"> </w:t>
      </w:r>
      <w:r>
        <w:t xml:space="preserve">anchor. The 100% profitability also rules out an alternative</w:t>
      </w:r>
      <w:r>
        <w:t xml:space="preserve"> </w:t>
      </w:r>
      <w:r>
        <w:t xml:space="preserve">explanation for the eventual finding that profit cut-off beats Youden:</w:t>
      </w:r>
      <w:r>
        <w:t xml:space="preserve"> </w:t>
      </w:r>
      <w:r>
        <w:t xml:space="preserve">that explanation cannot be</w:t>
      </w:r>
      <w:r>
        <w:t xml:space="preserve"> </w:t>
      </w:r>
      <w:r>
        <w:t xml:space="preserve">“Youden rejects profitable accounts that</w:t>
      </w:r>
      <w:r>
        <w:t xml:space="preserve"> </w:t>
      </w:r>
      <w:r>
        <w:t xml:space="preserve">would have been kept by profit”</w:t>
      </w:r>
      <w:r>
        <w:t xml:space="preserve">. Under the saturated base case Youden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reject ~20% of the population (Section 4.4 reports Youden’s J</w:t>
      </w:r>
      <w:r>
        <w:t xml:space="preserve"> </w:t>
      </w:r>
      <w:r>
        <w:t xml:space="preserve">approval rate ≈ 79.6% on the eco-OOT subset across all anchors), and</w:t>
      </w:r>
      <w:r>
        <w:t xml:space="preserve"> </w:t>
      </w:r>
      <w:r>
        <w:t xml:space="preserve">those 20% are uniformly profit-positive. The framework’s first piece of</w:t>
      </w:r>
      <w:r>
        <w:t xml:space="preserve"> </w:t>
      </w:r>
      <w:r>
        <w:t xml:space="preserve">evidence is therefore that the discrimination-driven cut-off leaves</w:t>
      </w:r>
      <w:r>
        <w:t xml:space="preserve"> </w:t>
      </w:r>
      <w:r>
        <w:t xml:space="preserve">unambiguously profitable business on the table.</w:t>
      </w:r>
    </w:p>
    <w:p>
      <w:pPr>
        <w:pStyle w:val="BodyText"/>
      </w:pPr>
      <w:r>
        <w:t xml:space="preserve">The ASB benchmark gap is the second base-case observation that matters.</w:t>
      </w:r>
      <w:r>
        <w:t xml:space="preserve"> </w:t>
      </w:r>
      <w:r>
        <w:t xml:space="preserve">The 9% understatement on 24-month loans and 40% understatement on</w:t>
      </w:r>
      <w:r>
        <w:t xml:space="preserve"> </w:t>
      </w:r>
      <w:r>
        <w:t xml:space="preserve">36-month loans are not noise; they reflect a structural difference</w:t>
      </w:r>
      <w:r>
        <w:t xml:space="preserve"> </w:t>
      </w:r>
      <w:r>
        <w:t xml:space="preserve">between a single-period formula that ignores amortization and a</w:t>
      </w:r>
      <w:r>
        <w:t xml:space="preserve"> </w:t>
      </w:r>
      <w:r>
        <w:t xml:space="preserve">tenor-aware formula that applies declining-balance interest over the</w:t>
      </w:r>
      <w:r>
        <w:t xml:space="preserve"> </w:t>
      </w:r>
      <w:r>
        <w:t xml:space="preserve">full loan life. A thesis that adopted ASB as its main economic measure</w:t>
      </w:r>
      <w:r>
        <w:t xml:space="preserve"> </w:t>
      </w:r>
      <w:r>
        <w:t xml:space="preserve">would systematically prefer shorter-tenor portfolios for arithmetic</w:t>
      </w:r>
      <w:r>
        <w:t xml:space="preserve"> </w:t>
      </w:r>
      <w:r>
        <w:t xml:space="preserve">reasons rather than economic ones, because the relative understatement</w:t>
      </w:r>
      <w:r>
        <w:t xml:space="preserve"> </w:t>
      </w:r>
      <w:r>
        <w:t xml:space="preserve">shrinks as tenor approaches one year. By committing to the tenor-aware</w:t>
      </w:r>
      <w:r>
        <w:t xml:space="preserve"> </w:t>
      </w:r>
      <w:r>
        <w:t xml:space="preserve">Lifetime formula the thesis avoids importing this bias into the cut-off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The next section pushes the framework off the saturated base by varying</w:t>
      </w:r>
      <w:r>
        <w:t xml:space="preserve"> </w:t>
      </w:r>
      <w:r>
        <w:t xml:space="preserve">five economic dimensions across a 576-cell stress grid, observing where</w:t>
      </w:r>
      <w:r>
        <w:t xml:space="preserve"> </w:t>
      </w:r>
      <w:r>
        <w:t xml:space="preserve">the profit-optimal cut-off becomes interior.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stress-test-results-phase-3.2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 Stress Test Results (Phase 3.2)</w:t>
      </w:r>
    </w:p>
    <w:bookmarkStart w:id="70" w:name="setup-2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3.2 stress grid evaluates 576 cells crossing five dimensions:</w:t>
      </w:r>
      <w:r>
        <w:t xml:space="preserve"> </w:t>
      </w:r>
      <w:r>
        <w:t xml:space="preserve">PD multiplier</w:t>
      </w:r>
      <w:r>
        <w:t xml:space="preserve"> </w:t>
      </w:r>
      <w:r>
        <w:rPr>
          <w:rStyle w:val="VerbatimChar"/>
        </w:rPr>
        <w:t xml:space="preserve">{1, 2, 3, 5}</w:t>
      </w:r>
      <w:r>
        <w:t xml:space="preserve"> </w:t>
      </w:r>
      <w:r>
        <w:t xml:space="preserve">(which acts as a portfolio-level risk</w:t>
      </w:r>
      <w:r>
        <w:t xml:space="preserve"> </w:t>
      </w:r>
      <w:r>
        <w:t xml:space="preserve">amplifier on the calibrated PD), cost of funds</w:t>
      </w:r>
      <w:r>
        <w:t xml:space="preserve"> </w:t>
      </w:r>
      <w:r>
        <w:rPr>
          <w:rStyle w:val="VerbatimChar"/>
        </w:rPr>
        <w:t xml:space="preserve">{0.00, 0.03, 0.06}</w:t>
      </w:r>
      <w:r>
        <w:t xml:space="preserve">,</w:t>
      </w:r>
      <w:r>
        <w:t xml:space="preserve"> </w:t>
      </w:r>
      <w:r>
        <w:t xml:space="preserve">acquisition cost</w:t>
      </w:r>
      <w:r>
        <w:t xml:space="preserve"> </w:t>
      </w:r>
      <w:r>
        <w:rPr>
          <w:rStyle w:val="VerbatimChar"/>
        </w:rPr>
        <w:t xml:space="preserve">{$0, $250, $500}</w:t>
      </w:r>
      <w:r>
        <w:t xml:space="preserve">, LGD</w:t>
      </w:r>
      <w:r>
        <w:t xml:space="preserve"> </w:t>
      </w:r>
      <w:r>
        <w:rPr>
          <w:rStyle w:val="VerbatimChar"/>
        </w:rPr>
        <w:t xml:space="preserve">{0.55, 0.65, 0.75, 0.85}</w:t>
      </w:r>
      <w:r>
        <w:t xml:space="preserve">,</w:t>
      </w:r>
      <w:r>
        <w:t xml:space="preserve"> </w:t>
      </w:r>
      <w:r>
        <w:t xml:space="preserve">and APR strategy</w:t>
      </w:r>
      <w:r>
        <w:t xml:space="preserve"> </w:t>
      </w:r>
      <w:r>
        <w:rPr>
          <w:rStyle w:val="VerbatimChar"/>
        </w:rPr>
        <w:t xml:space="preserve">{tiered_uncapped, tiered_cap_24, flat_18, flat_24}</w:t>
      </w:r>
      <w:r>
        <w:t xml:space="preserve">.</w:t>
      </w:r>
      <w:r>
        <w:t xml:space="preserve"> </w:t>
      </w:r>
      <w:r>
        <w:t xml:space="preserve">Operating cost is held at zero throughout this grid (it is treated as a</w:t>
      </w:r>
      <w:r>
        <w:t xml:space="preserve"> </w:t>
      </w:r>
      <w:r>
        <w:t xml:space="preserve">separate primary lever in §4.6 below). Each cell produces a</w:t>
      </w:r>
      <w:r>
        <w:t xml:space="preserve"> </w:t>
      </w:r>
      <w:r>
        <w:t xml:space="preserve">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a profit-optimal PD threshold, the</w:t>
      </w:r>
      <w:r>
        <w:t xml:space="preserve"> </w:t>
      </w:r>
      <w:r>
        <w:t xml:space="preserve">total Expected Profit at</w:t>
      </w:r>
      <w:r>
        <w:t xml:space="preserve"> </w:t>
      </w:r>
      <w:r>
        <w:rPr>
          <w:rStyle w:val="VerbatimChar"/>
        </w:rPr>
        <w:t xml:space="preserve">k*</w:t>
      </w:r>
      <w:r>
        <w:t xml:space="preserve">, the corresponding Youden’s J approval</w:t>
      </w:r>
      <w:r>
        <w:t xml:space="preserve"> </w:t>
      </w:r>
      <w:r>
        <w:t xml:space="preserve">rate, and the cut-off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minus Youden’s J approval rate</w:t>
      </w:r>
      <w:r>
        <w:t xml:space="preserve"> </w:t>
      </w:r>
      <w:r>
        <w:t xml:space="preserve">in percentage points). Cells are classified into</w:t>
      </w:r>
      <w:r>
        <w:t xml:space="preserve"> </w:t>
      </w:r>
      <w:r>
        <w:rPr>
          <w:i/>
          <w:iCs/>
        </w:rPr>
        <w:t xml:space="preserve">approve-all</w:t>
      </w:r>
      <w:r>
        <w:t xml:space="preserve"> </w:t>
      </w:r>
      <w:r>
        <w:t xml:space="preserve">(</w:t>
      </w:r>
      <w:r>
        <w:rPr>
          <w:rStyle w:val="VerbatimChar"/>
        </w:rPr>
        <w:t xml:space="preserve">k* ≥ 99%</w:t>
      </w:r>
      <w:r>
        <w:t xml:space="preserve">),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(</w:t>
      </w:r>
      <w:r>
        <w:rPr>
          <w:rStyle w:val="VerbatimChar"/>
        </w:rPr>
        <w:t xml:space="preserve">50% ≤ k* &lt; 99%</w:t>
      </w:r>
      <w:r>
        <w:t xml:space="preserve">), and</w:t>
      </w:r>
      <w:r>
        <w:t xml:space="preserve"> </w:t>
      </w:r>
      <w:r>
        <w:rPr>
          <w:i/>
          <w:iCs/>
        </w:rPr>
        <w:t xml:space="preserve">reject-most</w:t>
      </w:r>
      <w:r>
        <w:t xml:space="preserve"> </w:t>
      </w:r>
      <w:r>
        <w:t xml:space="preserve">(</w:t>
      </w:r>
      <w:r>
        <w:rPr>
          <w:rStyle w:val="VerbatimChar"/>
        </w:rPr>
        <w:t xml:space="preserve">k* &lt; 50%</w:t>
      </w:r>
      <w:r>
        <w:t xml:space="preserve">).</w:t>
      </w:r>
    </w:p>
    <w:bookmarkEnd w:id="70"/>
    <w:bookmarkStart w:id="71" w:name="results-2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Results</w:t>
      </w:r>
    </w:p>
    <w:p>
      <w:pPr>
        <w:pStyle w:val="FirstParagraph"/>
      </w:pPr>
      <w:r>
        <w:t xml:space="preserve">The 576-cell distribution is summarised in Table 4.4. The stress grid</w:t>
      </w:r>
      <w:r>
        <w:t xml:space="preserve"> </w:t>
      </w:r>
      <w:r>
        <w:t xml:space="preserve">contains 220 approve-all cells (38.2%), 356 interior cells (61.8%), and</w:t>
      </w:r>
      <w:r>
        <w:t xml:space="preserve"> </w:t>
      </w:r>
      <w:r>
        <w:t xml:space="preserve">zero reject-most cells. The fact that the majority class is</w:t>
      </w:r>
      <w:r>
        <w:t xml:space="preserve"> </w:t>
      </w:r>
      <w:r>
        <w:rPr>
          <w:i/>
          <w:iCs/>
        </w:rPr>
        <w:t xml:space="preserve">interior</w:t>
      </w:r>
      <w:r>
        <w:t xml:space="preserve"> </w:t>
      </w:r>
      <w:r>
        <w:t xml:space="preserve">rather than approve-all is the key contrast with the saturated base</w:t>
      </w:r>
      <w:r>
        <w:t xml:space="preserve"> </w:t>
      </w:r>
      <w:r>
        <w:t xml:space="preserve">scenario: realistic stress on the economic dimensions reliably moves</w:t>
      </w:r>
      <w:r>
        <w:t xml:space="preserve"> </w:t>
      </w:r>
      <w:r>
        <w:t xml:space="preserve">the framework off the ceiling, producing genuine cut-off optimisation</w:t>
      </w:r>
      <w:r>
        <w:t xml:space="preserve"> </w:t>
      </w:r>
      <w:r>
        <w:t xml:space="preserve">problems. The driver hierarchy (Figure 9) shows that PD multiplier and</w:t>
      </w:r>
      <w:r>
        <w:t xml:space="preserve"> </w:t>
      </w:r>
      <w:r>
        <w:t xml:space="preserve">APR strategy together account for the bulk of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movement, while LGD,</w:t>
      </w:r>
      <w:r>
        <w:t xml:space="preserve"> </w:t>
      </w:r>
      <w:r>
        <w:t xml:space="preserve">acquisition cost, and cost of funds play smaller marginal roles within</w:t>
      </w:r>
      <w:r>
        <w:t xml:space="preserve"> </w:t>
      </w:r>
      <w:r>
        <w:t xml:space="preserve">the tested grid.</w:t>
      </w:r>
    </w:p>
    <w:p>
      <w:pPr>
        <w:pStyle w:val="BodyText"/>
      </w:pPr>
      <w:r>
        <w:rPr>
          <w:b/>
          <w:bCs/>
        </w:rPr>
        <w:t xml:space="preserve">Table 4.4 — Phase 3.2 576-cell stress grid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approve-all cells (</w:t>
            </w:r>
            <w:r>
              <w:rPr>
                <w:rStyle w:val="VerbatimChar"/>
              </w:rPr>
              <w:t xml:space="preserve">k* ≥ 99%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 (38.2%)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 cells (</w:t>
            </w:r>
            <w:r>
              <w:rPr>
                <w:rStyle w:val="VerbatimChar"/>
                <w:b/>
                <w:bCs/>
              </w:rPr>
              <w:t xml:space="preserve">50% ≤ k* &lt; 99%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356 (61.8%)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reject-most cells (</w:t>
            </w:r>
            <w:r>
              <w:rPr>
                <w:rStyle w:val="VerbatimChar"/>
              </w:rPr>
              <w:t xml:space="preserve">k* &lt; 50%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84.73% (adverse anchor cell)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Cells with profit cut-off &gt; Youden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576 / 576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cut-off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+18.83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Cut-off gap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[+5.33 pp, +20.59 pp]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artifacts/economic_framework/economic_stress_grid.parquet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4.5 — Driver hierarchy (single-dimension spread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k*</w:t>
      </w:r>
      <w:r>
        <w:rPr>
          <w:b/>
          <w:b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Spread on</w:t>
            </w:r>
            <w:r>
              <w:t xml:space="preserve"> </w:t>
            </w: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(pp)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multiplier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strategy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LGD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 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of funds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</w:tbl>
    <w:p>
      <w:pPr>
        <w:pStyle w:val="BodyText"/>
      </w:pPr>
      <w:r>
        <w:t xml:space="preserve">Source: Phase 3.2 driver analysis; visualised in Figure 9.</w:t>
      </w:r>
    </w:p>
    <w:p>
      <w:pPr>
        <w:pStyle w:val="BodyText"/>
      </w:pPr>
      <w:r>
        <w:t xml:space="preserve">The four anchor scenarios introduced in Section 3.5 (Table 3.6) are</w:t>
      </w:r>
      <w:r>
        <w:t xml:space="preserve"> </w:t>
      </w:r>
      <w:r>
        <w:t xml:space="preserve">chosen from the grid to span its classification range: the</w:t>
      </w:r>
      <w:r>
        <w:t xml:space="preserve"> </w:t>
      </w:r>
      <w:r>
        <w:t xml:space="preserve">optimistic_base anchor reproduces the saturated base case (</w:t>
      </w:r>
      <w:r>
        <w:rPr>
          <w:rStyle w:val="VerbatimChar"/>
        </w:rPr>
        <w:t xml:space="preserve">k* = 100%</w:t>
      </w:r>
      <w:r>
        <w:t xml:space="preserve">),</w:t>
      </w:r>
      <w:r>
        <w:t xml:space="preserve"> </w:t>
      </w:r>
      <w:r>
        <w:t xml:space="preserve">the realistic_central_boundary anchor sits at</w:t>
      </w:r>
      <w:r>
        <w:t xml:space="preserve"> </w:t>
      </w:r>
      <w:r>
        <w:rPr>
          <w:rStyle w:val="VerbatimChar"/>
        </w:rPr>
        <w:t xml:space="preserve">k* = 99.25%</w:t>
      </w:r>
      <w:r>
        <w:t xml:space="preserve"> </w:t>
      </w:r>
      <w:r>
        <w:t xml:space="preserve">— exactly</w:t>
      </w:r>
      <w:r>
        <w:t xml:space="preserve"> </w:t>
      </w:r>
      <w:r>
        <w:t xml:space="preserve">on the approve-all/interior boundary, the moderate_interior anchor at</w:t>
      </w:r>
      <w:r>
        <w:t xml:space="preserve"> </w:t>
      </w:r>
      <w:r>
        <w:rPr>
          <w:rStyle w:val="VerbatimChar"/>
        </w:rPr>
        <w:t xml:space="preserve">k* = 95.31%</w:t>
      </w:r>
      <w:r>
        <w:t xml:space="preserve"> </w:t>
      </w:r>
      <w:r>
        <w:t xml:space="preserve">(a clean interior representative), and the adverse_stress</w:t>
      </w:r>
      <w:r>
        <w:t xml:space="preserve"> </w:t>
      </w:r>
      <w:r>
        <w:t xml:space="preserve">anchor at</w:t>
      </w:r>
      <w:r>
        <w:t xml:space="preserve"> </w:t>
      </w:r>
      <w:r>
        <w:rPr>
          <w:rStyle w:val="VerbatimChar"/>
        </w:rPr>
        <w:t xml:space="preserve">k* = 84.73%</w:t>
      </w:r>
      <w:r>
        <w:t xml:space="preserve"> </w:t>
      </w:r>
      <w:r>
        <w:t xml:space="preserve">(the minimum of the grid). All 576 cells —</w:t>
      </w:r>
      <w:r>
        <w:t xml:space="preserve"> </w:t>
      </w:r>
      <w:r>
        <w:t xml:space="preserve">including the harshest configuration of the grid — produce a profit</w:t>
      </w:r>
      <w:r>
        <w:t xml:space="preserve"> </w:t>
      </w:r>
      <w:r>
        <w:t xml:space="preserve">cut-off that is more permissive in approval-rate terms than Youden’s J,</w:t>
      </w:r>
      <w:r>
        <w:t xml:space="preserve"> </w:t>
      </w:r>
      <w:r>
        <w:t xml:space="preserve">with cut-off gaps ranging from +5.33 percentage points (the most</w:t>
      </w:r>
      <w:r>
        <w:t xml:space="preserve"> </w:t>
      </w:r>
      <w:r>
        <w:t xml:space="preserve">adverse cell) to +20.59 percentage points (the optimistic cells), and a</w:t>
      </w:r>
      <w:r>
        <w:t xml:space="preserve"> </w:t>
      </w:r>
      <w:r>
        <w:t xml:space="preserve">median of +18.83 percentage points across the grid.</w:t>
      </w:r>
    </w:p>
    <w:bookmarkEnd w:id="71"/>
    <w:bookmarkStart w:id="72" w:name="interpretation-2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The 38/62 split between approve-all and interior cells matters because</w:t>
      </w:r>
      <w:r>
        <w:t xml:space="preserve"> </w:t>
      </w:r>
      <w:r>
        <w:t xml:space="preserve">it answers the natural sceptical reaction to the §4.2 saturated base:</w:t>
      </w:r>
      <w:r>
        <w:t xml:space="preserve"> </w:t>
      </w:r>
      <w:r>
        <w:rPr>
          <w:i/>
          <w:iCs/>
        </w:rPr>
        <w:t xml:space="preserve">does this framework only ever say</w:t>
      </w:r>
      <w:r>
        <w:rPr>
          <w:i/>
          <w:iCs/>
        </w:rPr>
        <w:t xml:space="preserve"> </w:t>
      </w:r>
      <w:r>
        <w:rPr>
          <w:i/>
          <w:iCs/>
        </w:rPr>
        <w:t xml:space="preserve">“approve everyone”</w:t>
      </w:r>
      <w:r>
        <w:rPr>
          <w:i/>
          <w:iCs/>
        </w:rPr>
        <w:t xml:space="preserve">?</w:t>
      </w:r>
      <w:r>
        <w:t xml:space="preserve"> </w:t>
      </w:r>
      <w:r>
        <w:t xml:space="preserve">The empirical</w:t>
      </w:r>
      <w:r>
        <w:t xml:space="preserve"> </w:t>
      </w:r>
      <w:r>
        <w:t xml:space="preserve">answer is no — once realistic costs are introduced (PD multiplier</w:t>
      </w:r>
      <w:r>
        <w:t xml:space="preserve"> </w:t>
      </w:r>
      <w:r>
        <w:t xml:space="preserve">above 1, non-zero cost of funds, non-zero acquisition cost), the</w:t>
      </w:r>
      <w:r>
        <w:t xml:space="preserve"> </w:t>
      </w:r>
      <w:r>
        <w:t xml:space="preserve">profit-optimal cut-off moves interior in the majority of tested</w:t>
      </w:r>
      <w:r>
        <w:t xml:space="preserve"> </w:t>
      </w:r>
      <w:r>
        <w:t xml:space="preserve">configurations. The framework therefore performs genuine optimisation</w:t>
      </w:r>
      <w:r>
        <w:t xml:space="preserve"> </w:t>
      </w:r>
      <w:r>
        <w:t xml:space="preserve">in the regime that matches the practical reality of unsecured consumer</w:t>
      </w:r>
      <w:r>
        <w:t xml:space="preserve"> </w:t>
      </w:r>
      <w:r>
        <w:t xml:space="preserve">lending economics; it is not a degenerate</w:t>
      </w:r>
      <w:r>
        <w:t xml:space="preserve"> </w:t>
      </w:r>
      <w:r>
        <w:t xml:space="preserve">“always approve”</w:t>
      </w:r>
      <w:r>
        <w:t xml:space="preserve"> </w:t>
      </w:r>
      <w:r>
        <w:t xml:space="preserve">rule</w:t>
      </w:r>
      <w:r>
        <w:t xml:space="preserve"> </w:t>
      </w:r>
      <w:r>
        <w:t xml:space="preserve">disguised as optimisation.</w:t>
      </w:r>
    </w:p>
    <w:p>
      <w:pPr>
        <w:pStyle w:val="BodyText"/>
      </w:pPr>
      <w:r>
        <w:t xml:space="preserve">The driver hierarchy carries a complementary message. The 3.54 pp</w:t>
      </w:r>
      <w:r>
        <w:t xml:space="preserve"> </w:t>
      </w:r>
      <w:r>
        <w:t xml:space="preserve">spread attributable to PD multiplier and the 2.32 pp spread</w:t>
      </w:r>
      <w:r>
        <w:t xml:space="preserve"> </w:t>
      </w:r>
      <w:r>
        <w:t xml:space="preserve">attributable to APR strategy together dominate the per-loan and</w:t>
      </w:r>
      <w:r>
        <w:t xml:space="preserve"> </w:t>
      </w:r>
      <w:r>
        <w:t xml:space="preserve">per-period cost dimensions (LGD 1.28 pp, acquisition cost 0.43 pp,</w:t>
      </w:r>
      <w:r>
        <w:t xml:space="preserve"> </w:t>
      </w:r>
      <w:r>
        <w:t xml:space="preserve">cost of funds 0.43 pp). For a thesis whose central question is</w:t>
      </w:r>
      <w:r>
        <w:t xml:space="preserve"> </w:t>
      </w:r>
      <w:r>
        <w:t xml:space="preserve">profit-driven cut-off selection, this means the</w:t>
      </w:r>
      <w:r>
        <w:t xml:space="preserve"> </w:t>
      </w:r>
      <w:r>
        <w:rPr>
          <w:i/>
          <w:iCs/>
        </w:rPr>
        <w:t xml:space="preserve">portfolio risk level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pricing strategy</w:t>
      </w:r>
      <w:r>
        <w:t xml:space="preserve"> </w:t>
      </w:r>
      <w:r>
        <w:t xml:space="preserve">are the dominant levers, not the marginal</w:t>
      </w:r>
      <w:r>
        <w:t xml:space="preserve"> </w:t>
      </w:r>
      <w:r>
        <w:t xml:space="preserve">costs. This finding is robust within the tested scenario space and</w:t>
      </w:r>
      <w:r>
        <w:t xml:space="preserve"> </w:t>
      </w:r>
      <w:r>
        <w:t xml:space="preserve">reinforces the value of the PD-multiplier sensitivity that Phase 3 and</w:t>
      </w:r>
      <w:r>
        <w:t xml:space="preserve"> </w:t>
      </w:r>
      <w:r>
        <w:t xml:space="preserve">4 use as a primary stress dimension.</w:t>
      </w:r>
    </w:p>
    <w:p>
      <w:pPr>
        <w:pStyle w:val="BodyText"/>
      </w:pPr>
      <w:r>
        <w:t xml:space="preserve">Finally, the 576/576 cells in which profit cut-off exceeds Youden’s J</w:t>
      </w:r>
      <w:r>
        <w:t xml:space="preserve"> </w:t>
      </w:r>
      <w:r>
        <w:t xml:space="preserve">in approval-rate terms is a strong signal — but it is a signal about</w:t>
      </w:r>
      <w:r>
        <w:t xml:space="preserve"> </w:t>
      </w:r>
      <w:r>
        <w:rPr>
          <w:i/>
          <w:iCs/>
        </w:rPr>
        <w:t xml:space="preserve">direction</w:t>
      </w:r>
      <w:r>
        <w:t xml:space="preserve">, not about</w:t>
      </w:r>
      <w:r>
        <w:t xml:space="preserve"> </w:t>
      </w:r>
      <w:r>
        <w:rPr>
          <w:i/>
          <w:iCs/>
        </w:rPr>
        <w:t xml:space="preserve">dollar value</w:t>
      </w:r>
      <w:r>
        <w:t xml:space="preserve">. §4.7 shows that direction can</w:t>
      </w:r>
      <w:r>
        <w:t xml:space="preserve"> </w:t>
      </w:r>
      <w:r>
        <w:t xml:space="preserve">flip in extreme stress while dollar value remains positive; the</w:t>
      </w:r>
      <w:r>
        <w:t xml:space="preserve"> </w:t>
      </w:r>
      <w:r>
        <w:t xml:space="preserve">relationship between direction and value is the central refinement that</w:t>
      </w:r>
      <w:r>
        <w:t xml:space="preserve"> </w:t>
      </w:r>
      <w:r>
        <w:t xml:space="preserve">the chapter accumulates toward.</w:t>
      </w:r>
    </w:p>
    <w:p>
      <w:pPr>
        <w:pStyle w:val="BodyText"/>
      </w:pPr>
      <w:r>
        <w:t xml:space="preserve">The next section moves from the 576-cell point estimates to the</w:t>
      </w:r>
      <w:r>
        <w:t xml:space="preserve"> </w:t>
      </w:r>
      <w:r>
        <w:t xml:space="preserve">bootstrap CIs that quantify the within-OOT sampling uncertainty around</w:t>
      </w:r>
      <w:r>
        <w:t xml:space="preserve"> </w:t>
      </w:r>
      <w:r>
        <w:t xml:space="preserve">the four anchor scenarios.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bootstrap-ci-results-phase-4.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 Bootstrap CI Results (Phase 4.1)</w:t>
      </w:r>
    </w:p>
    <w:bookmarkStart w:id="74" w:name="setup-3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4.1 bootstrap quantifies sampling uncertainty in the cut-off</w:t>
      </w:r>
      <w:r>
        <w:t xml:space="preserve"> </w:t>
      </w:r>
      <w:r>
        <w:t xml:space="preserve">metrics within the OOT economics population (n = 64,027). One thousand</w:t>
      </w:r>
      <w:r>
        <w:t xml:space="preserve"> </w:t>
      </w:r>
      <w:r>
        <w:t xml:space="preserve">resamples are drawn with replacement,</w:t>
      </w:r>
      <w:r>
        <w:t xml:space="preserve"> </w:t>
      </w:r>
      <w:r>
        <w:rPr>
          <w:i/>
          <w:iCs/>
        </w:rPr>
        <w:t xml:space="preserve">stratified by tenor</w:t>
      </w:r>
      <w:r>
        <w:t xml:space="preserve"> </w:t>
      </w:r>
      <w:r>
        <w:t xml:space="preserve">(the 24-month</w:t>
      </w:r>
      <w:r>
        <w:t xml:space="preserve"> </w:t>
      </w:r>
      <w:r>
        <w:t xml:space="preserve">and 36-month proportions are preserved exactly in every resample), with</w:t>
      </w:r>
      <w:r>
        <w:t xml:space="preserve"> </w:t>
      </w:r>
      <w:r>
        <w:rPr>
          <w:rStyle w:val="VerbatimChar"/>
        </w:rPr>
        <w:t xml:space="preserve">random_state = 42</w:t>
      </w:r>
      <w:r>
        <w:t xml:space="preserve">. For each (resample × anchor) pair the framework</w:t>
      </w:r>
      <w:r>
        <w:t xml:space="preserve"> </w:t>
      </w:r>
      <w:r>
        <w:t xml:space="preserve">recomputes the full economic pipeline and records eight metrics:</w:t>
      </w:r>
      <w:r>
        <w:t xml:space="preserve"> </w:t>
      </w:r>
      <w:r>
        <w:t xml:space="preserve">profit at the profit-optimal cut-off, the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the profit-optimal PD threshold, profit at the Youden’s J cut-off,</w:t>
      </w:r>
      <w:r>
        <w:t xml:space="preserve"> </w:t>
      </w:r>
      <w:r>
        <w:t xml:space="preserve">the Youden approval rate, the cut-off gap in percentage points, the</w:t>
      </w:r>
      <w:r>
        <w:t xml:space="preserve"> </w:t>
      </w:r>
      <w:r>
        <w:t xml:space="preserve">dollar profit uplift, and the percentage profit uplift. Across the four</w:t>
      </w:r>
      <w:r>
        <w:t xml:space="preserve"> </w:t>
      </w:r>
      <w:r>
        <w:t xml:space="preserve">anchor scenarios this produces 4,000 (anchor × resample) records, all</w:t>
      </w:r>
      <w:r>
        <w:t xml:space="preserve"> </w:t>
      </w:r>
      <w:r>
        <w:t xml:space="preserve">materialised at</w:t>
      </w:r>
      <w:r>
        <w:t xml:space="preserve"> </w:t>
      </w:r>
      <w:r>
        <w:rPr>
          <w:rStyle w:val="VerbatimChar"/>
        </w:rPr>
        <w:t xml:space="preserve">artifacts/economic_framework/bootstrap_anchor_results.parquet</w:t>
      </w:r>
      <w:r>
        <w:t xml:space="preserve">.</w:t>
      </w:r>
    </w:p>
    <w:bookmarkEnd w:id="74"/>
    <w:bookmarkStart w:id="75" w:name="results-3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4.6 expands Table 3.7 (Chapter 3) with the dollar-uplift CIs</w:t>
      </w:r>
      <w:r>
        <w:t xml:space="preserve"> </w:t>
      </w:r>
      <w:r>
        <w:t xml:space="preserve">alongside the approval-rate CIs.</w:t>
      </w:r>
    </w:p>
    <w:p>
      <w:pPr>
        <w:pStyle w:val="BodyText"/>
      </w:pPr>
      <w:r>
        <w:rPr>
          <w:b/>
          <w:bCs/>
        </w:rPr>
        <w:t xml:space="preserve">Table 4.6 — Bootstrap 95% CIs for cut-off metrics (1,000 stratified</w:t>
      </w:r>
      <w:r>
        <w:rPr>
          <w:b/>
          <w:bCs/>
        </w:rPr>
        <w:t xml:space="preserve"> </w:t>
      </w:r>
      <w:r>
        <w:rPr>
          <w:b/>
          <w:bCs/>
        </w:rPr>
        <w:t xml:space="preserve">resamples × 4 anchors, OOT n = 64,027)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942"/>
        <w:gridCol w:w="2017"/>
        <w:gridCol w:w="2092"/>
        <w:gridCol w:w="12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approve % (95%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Cut-off gap (pp,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Profit uplift ($M, 95% CI)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Uplift % (mean)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optimistic_base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 [100.00, 100.00]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+20.41 [+20.10, +20.71]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$30.75 [$30.17, $31.31]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99.25 [99.16, 99.36]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+19.66 [+19.36, +19.97]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$17.75 [$17.39, $18.13]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95.31 [94.99, 95.50]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+15.72 [+15.35, +16.02]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$5.46 [$5.29, $5.63]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84.83 [84.31, 85.27]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+5.24 [+4.79, +5.64]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$0.46 [$0.41, $0.51]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1.51%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artifacts/economic_framework/bootstrap_ci_summary.csv</w:t>
      </w:r>
      <w:r>
        <w:t xml:space="preserve">.</w:t>
      </w:r>
      <w:r>
        <w:t xml:space="preserve"> </w:t>
      </w:r>
      <w:r>
        <w:t xml:space="preserve">The underlying cumulative profit curves for the four anchors —</w:t>
      </w:r>
      <w:r>
        <w:t xml:space="preserve"> </w:t>
      </w:r>
      <w:r>
        <w:t xml:space="preserve">with the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(○) and Youden’s J (×) markers</w:t>
      </w:r>
      <w:r>
        <w:t xml:space="preserve"> </w:t>
      </w:r>
      <w:r>
        <w:t xml:space="preserve">identifying the two cut-off rules — are shown in Figure 1, and</w:t>
      </w:r>
      <w:r>
        <w:t xml:space="preserve"> </w:t>
      </w:r>
      <w:r>
        <w:t xml:space="preserve">the per-anchor density of profit uplift with the 2.5%, 50%, and</w:t>
      </w:r>
      <w:r>
        <w:t xml:space="preserve"> </w:t>
      </w:r>
      <w:r>
        <w:t xml:space="preserve">97.5% percentile lines is visualised in Figure 5.</w:t>
      </w:r>
    </w:p>
    <w:p>
      <w:pPr>
        <w:pStyle w:val="BodyText"/>
      </w:pPr>
      <w:r>
        <w:t xml:space="preserve">Three observations are immediate. First, the per-anchor confidence</w:t>
      </w:r>
      <w:r>
        <w:t xml:space="preserve"> </w:t>
      </w:r>
      <w:r>
        <w:t xml:space="preserve">intervals are tight relative to the inter-anchor gaps: the</w:t>
      </w:r>
      <w:r>
        <w:t xml:space="preserve"> </w:t>
      </w:r>
      <w:r>
        <w:t xml:space="preserve">moderate_interior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[94.99%, 95.50%] does not approach the</w:t>
      </w:r>
      <w:r>
        <w:t xml:space="preserve"> </w:t>
      </w:r>
      <w:r>
        <w:t xml:space="preserve">99% boundary, and the adverse_stress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[84.31%, 85.27%] is</w:t>
      </w:r>
      <w:r>
        <w:t xml:space="preserve"> </w:t>
      </w:r>
      <w:r>
        <w:t xml:space="preserve">a full 14 percentage points below it. The categorical classifications</w:t>
      </w:r>
      <w:r>
        <w:t xml:space="preserve"> </w:t>
      </w:r>
      <w:r>
        <w:t xml:space="preserve">(approve-all vs interior) are therefore robust to within-OOT sampling</w:t>
      </w:r>
      <w:r>
        <w:t xml:space="preserve"> </w:t>
      </w:r>
      <w:r>
        <w:t xml:space="preserve">uncertainty rather than being knife-edge artefacts. Second, the</w:t>
      </w:r>
      <w:r>
        <w:t xml:space="preserve"> </w:t>
      </w:r>
      <w:r>
        <w:t xml:space="preserve">realistic_central_boundary anchor’s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interval [99.16%, 99.36%]</w:t>
      </w:r>
      <w:r>
        <w:t xml:space="preserve"> </w:t>
      </w:r>
      <w:r>
        <w:t xml:space="preserve">sits</w:t>
      </w:r>
      <w:r>
        <w:t xml:space="preserve"> </w:t>
      </w:r>
      <w:r>
        <w:rPr>
          <w:i/>
          <w:iCs/>
        </w:rPr>
        <w:t xml:space="preserve">entirely above</w:t>
      </w:r>
      <w:r>
        <w:t xml:space="preserve"> </w:t>
      </w:r>
      <w:r>
        <w:t xml:space="preserve">the 99% threshold, so the boundary classification</w:t>
      </w:r>
      <w:r>
        <w:t xml:space="preserve"> </w:t>
      </w:r>
      <w:r>
        <w:t xml:space="preserve">is statistically tight rather than the result of a 50/50 coin flip</w:t>
      </w:r>
      <w:r>
        <w:t xml:space="preserve"> </w:t>
      </w:r>
      <w:r>
        <w:t xml:space="preserve">across the threshold. Third, every dollar-uplift CI is strictly</w:t>
      </w:r>
      <w:r>
        <w:t xml:space="preserve"> </w:t>
      </w:r>
      <w:r>
        <w:t xml:space="preserve">positive, with the lower bounds ranging from $0.41M (adverse stress)</w:t>
      </w:r>
      <w:r>
        <w:t xml:space="preserve"> </w:t>
      </w:r>
      <w:r>
        <w:t xml:space="preserve">to $30.17M (optimistic base).</w:t>
      </w:r>
    </w:p>
    <w:p>
      <w:pPr>
        <w:pStyle w:val="BodyText"/>
      </w:pPr>
      <w:r>
        <w:t xml:space="preserve">Across the 4,000 (anchor × resample) combinations, profit uplift</w:t>
      </w:r>
      <w:r>
        <w:t xml:space="preserve"> </w:t>
      </w:r>
      <w:r>
        <w:t xml:space="preserve">remained strictly greater than zero in 4,000 of 4,000 combinations.</w:t>
      </w:r>
      <w:r>
        <w:t xml:space="preserve"> </w:t>
      </w:r>
      <w:r>
        <w:t xml:space="preserve">This is the strongest within-OOT sampling-based evidence the bootstrap</w:t>
      </w:r>
      <w:r>
        <w:t xml:space="preserve"> </w:t>
      </w:r>
      <w:r>
        <w:t xml:space="preserve">framework can generate for the central thesis hypothesis [TODO: cite</w:t>
      </w:r>
      <w:r>
        <w:t xml:space="preserve"> </w:t>
      </w:r>
      <w:r>
        <w:t xml:space="preserve">Efron &amp; Tibshirani 1993 percentile bootstrap method].</w:t>
      </w:r>
    </w:p>
    <w:bookmarkEnd w:id="75"/>
    <w:bookmarkStart w:id="76" w:name="interpretation-3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Why does CI tightness matter for thesis-claim defence? Because the</w:t>
      </w:r>
      <w:r>
        <w:t xml:space="preserve"> </w:t>
      </w:r>
      <w:r>
        <w:t xml:space="preserve">chapter’s eventual claim — that profit-driven cut-offs strictly beat</w:t>
      </w:r>
      <w:r>
        <w:t xml:space="preserve"> </w:t>
      </w:r>
      <w:r>
        <w:t xml:space="preserve">Youden’s J in dollar terms — must be defensible against the obvious</w:t>
      </w:r>
      <w:r>
        <w:t xml:space="preserve"> </w:t>
      </w:r>
      <w:r>
        <w:t xml:space="preserve">counter-argument that the observed margin is sampling noise. The CIs</w:t>
      </w:r>
      <w:r>
        <w:t xml:space="preserve"> </w:t>
      </w:r>
      <w:r>
        <w:t xml:space="preserve">in Table 4.6 rule out that counter-argument within the OOT population:</w:t>
      </w:r>
      <w:r>
        <w:t xml:space="preserve"> </w:t>
      </w:r>
      <w:r>
        <w:t xml:space="preserve">the lower bound of the dollar uplift never crosses zero, and the</w:t>
      </w:r>
      <w:r>
        <w:t xml:space="preserve"> </w:t>
      </w:r>
      <w:r>
        <w:t xml:space="preserve">classification of each anchor is preserved across all 1,000 of its</w:t>
      </w:r>
      <w:r>
        <w:t xml:space="preserve"> </w:t>
      </w:r>
      <w:r>
        <w:t xml:space="preserve">resamples. The thesis can therefore make the statistical claim</w:t>
      </w:r>
      <w:r>
        <w:t xml:space="preserve"> </w:t>
      </w:r>
      <w:r>
        <w:rPr>
          <w:i/>
          <w:iCs/>
        </w:rPr>
        <w:t xml:space="preserve">“across 1,000 stratified bootstrap resamples of the OOT economics</w:t>
      </w:r>
      <w:r>
        <w:rPr>
          <w:i/>
          <w:iCs/>
        </w:rPr>
        <w:t xml:space="preserve"> </w:t>
      </w:r>
      <w:r>
        <w:rPr>
          <w:i/>
          <w:iCs/>
        </w:rPr>
        <w:t xml:space="preserve">population, profit uplift over Youden’s J held strictly positive in</w:t>
      </w:r>
      <w:r>
        <w:rPr>
          <w:i/>
          <w:iCs/>
        </w:rPr>
        <w:t xml:space="preserve"> </w:t>
      </w:r>
      <w:r>
        <w:rPr>
          <w:i/>
          <w:iCs/>
        </w:rPr>
        <w:t xml:space="preserve">1,000 of 1,000 resamples for each of the four anchor scenarios,”</w:t>
      </w:r>
      <w:r>
        <w:t xml:space="preserve"> </w:t>
      </w:r>
      <w:r>
        <w:t xml:space="preserve">and</w:t>
      </w:r>
      <w:r>
        <w:t xml:space="preserve"> </w:t>
      </w:r>
      <w:r>
        <w:t xml:space="preserve">this claim is empirical rather than asymptotic.</w:t>
      </w:r>
    </w:p>
    <w:p>
      <w:pPr>
        <w:pStyle w:val="BodyText"/>
      </w:pPr>
      <w:r>
        <w:t xml:space="preserve">The CI tightness also enables a refinement of the framing. A weaker</w:t>
      </w:r>
      <w:r>
        <w:t xml:space="preserve"> </w:t>
      </w:r>
      <w:r>
        <w:t xml:space="preserve">formulation —</w:t>
      </w:r>
      <w:r>
        <w:t xml:space="preserve"> </w:t>
      </w:r>
      <w:r>
        <w:t xml:space="preserve">“profit cut-off is more permissive than Youden”</w:t>
      </w:r>
      <w:r>
        <w:t xml:space="preserve"> </w:t>
      </w:r>
      <w:r>
        <w:t xml:space="preserve">— is</w:t>
      </w:r>
      <w:r>
        <w:t xml:space="preserve"> </w:t>
      </w:r>
      <w:r>
        <w:t xml:space="preserve">directionally correct for these four anchors but vulnerable to the</w:t>
      </w:r>
      <w:r>
        <w:t xml:space="preserve"> </w:t>
      </w:r>
      <w:r>
        <w:t xml:space="preserve">counter-example finding in §4.7 where direction flips in five extreme</w:t>
      </w:r>
      <w:r>
        <w:t xml:space="preserve"> </w:t>
      </w:r>
      <w:r>
        <w:t xml:space="preserve">cells. The stronger formulation —</w:t>
      </w:r>
      <w:r>
        <w:t xml:space="preserve"> </w:t>
      </w:r>
      <w:r>
        <w:t xml:space="preserve">“profit cut-off strictly beats</w:t>
      </w:r>
      <w:r>
        <w:t xml:space="preserve"> </w:t>
      </w:r>
      <w:r>
        <w:t xml:space="preserve">Youden in dollar terms”</w:t>
      </w:r>
      <w:r>
        <w:t xml:space="preserve"> </w:t>
      </w:r>
      <w:r>
        <w:t xml:space="preserve">— survives both the bootstrap evidence here</w:t>
      </w:r>
      <w:r>
        <w:t xml:space="preserve"> </w:t>
      </w:r>
      <w:r>
        <w:t xml:space="preserve">and the stress-direction evidence in §4.7. Choosing the stronger</w:t>
      </w:r>
      <w:r>
        <w:t xml:space="preserve"> </w:t>
      </w:r>
      <w:r>
        <w:t xml:space="preserve">formulation is what permits the chapter’s refined claim in §4.7 to be</w:t>
      </w:r>
      <w:r>
        <w:t xml:space="preserve"> </w:t>
      </w:r>
      <w:r>
        <w:t xml:space="preserve">both more accurate and more robust than a direction-only claim.</w:t>
      </w:r>
    </w:p>
    <w:p>
      <w:pPr>
        <w:pStyle w:val="BodyText"/>
      </w:pPr>
      <w:r>
        <w:t xml:space="preserve">The bootstrap quantifies sampling uncertainty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OOT</w:t>
      </w:r>
      <w:r>
        <w:t xml:space="preserve"> </w:t>
      </w:r>
      <w:r>
        <w:t xml:space="preserve">population only and does not capture (i) PD model uncertainty across</w:t>
      </w:r>
      <w:r>
        <w:t xml:space="preserve"> </w:t>
      </w:r>
      <w:r>
        <w:t xml:space="preserve">alternative hyperparameters, (ii) calibration drift across cohorts</w:t>
      </w:r>
      <w:r>
        <w:t xml:space="preserve"> </w:t>
      </w:r>
      <w:r>
        <w:t xml:space="preserve">beyond 202706, (iii) APR / LGD / cost-of-funds assumption uncertainty,</w:t>
      </w:r>
      <w:r>
        <w:t xml:space="preserve"> </w:t>
      </w:r>
      <w:r>
        <w:t xml:space="preserve">or (iv) formula choice uncertainty. These four omitted uncertainty</w:t>
      </w:r>
      <w:r>
        <w:t xml:space="preserve"> </w:t>
      </w:r>
      <w:r>
        <w:t xml:space="preserve">sources are documented in §3.6 and in Limitations §10. The bootstrap</w:t>
      </w:r>
      <w:r>
        <w:t xml:space="preserve"> </w:t>
      </w:r>
      <w:r>
        <w:t xml:space="preserve">component is necessary for thesis-claim defence but not sufficient on</w:t>
      </w:r>
      <w:r>
        <w:t xml:space="preserve"> </w:t>
      </w:r>
      <w:r>
        <w:t xml:space="preserve">its own; the stress tests in §4.5, §4.6, and §4.7 cover the assumption</w:t>
      </w:r>
      <w:r>
        <w:t xml:space="preserve"> </w:t>
      </w:r>
      <w:r>
        <w:t xml:space="preserve">and PD-quality components in turn.</w:t>
      </w:r>
    </w:p>
    <w:p>
      <w:pPr>
        <w:pStyle w:val="BodyText"/>
      </w:pPr>
      <w:r>
        <w:t xml:space="preserve">The next section turns to one of those omitted components — PD</w:t>
      </w:r>
      <w:r>
        <w:t xml:space="preserve"> </w:t>
      </w:r>
      <w:r>
        <w:t xml:space="preserve">discrimination quality — and tests whether the profit-vs-Youden finding</w:t>
      </w:r>
      <w:r>
        <w:t xml:space="preserve"> </w:t>
      </w:r>
      <w:r>
        <w:t xml:space="preserve">holds when the PD signal is degraded.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pd-quality-stress-phase-4.2-part-a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4.5 PD Quality Stress (Phase 4.2 PART A)</w:t>
      </w:r>
    </w:p>
    <w:bookmarkStart w:id="78" w:name="setup-4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4.2 PART A study tests whether the profit-vs-Youden finding</w:t>
      </w:r>
      <w:r>
        <w:t xml:space="preserve"> </w:t>
      </w:r>
      <w:r>
        <w:t xml:space="preserve">survives a degraded PD signal. The PRIMARY LightGBM Platt-calibrated</w:t>
      </w:r>
      <w:r>
        <w:t xml:space="preserve"> </w:t>
      </w:r>
      <w:r>
        <w:t xml:space="preserve">PD is perturbed using</w:t>
      </w:r>
      <w:r>
        <w:t xml:space="preserve"> </w:t>
      </w:r>
      <w:r>
        <w:rPr>
          <w:rStyle w:val="VerbatimChar"/>
        </w:rPr>
        <w:t xml:space="preserve">src/calibration.py:perturb_to_target_gini</w:t>
      </w:r>
      <w:r>
        <w:t xml:space="preserve">,</w:t>
      </w:r>
      <w:r>
        <w:t xml:space="preserve"> </w:t>
      </w:r>
      <w:r>
        <w:t xml:space="preserve">which adds Gaussian noise to the logit-space score and binary-searches</w:t>
      </w:r>
      <w:r>
        <w:t xml:space="preserve"> </w:t>
      </w:r>
      <w:r>
        <w:t xml:space="preserve">the noise standard deviation to hit a specified target Gini, then</w:t>
      </w:r>
      <w:r>
        <w:t xml:space="preserve"> </w:t>
      </w:r>
      <w:r>
        <w:t xml:space="preserve">re-anchors the mean back to the empirical base rate so that the</w:t>
      </w:r>
      <w:r>
        <w:t xml:space="preserve"> </w:t>
      </w:r>
      <w:r>
        <w:t xml:space="preserve">comparison isolates discrimination drift rather than mean drift. Three</w:t>
      </w:r>
      <w:r>
        <w:t xml:space="preserve"> </w:t>
      </w:r>
      <w:r>
        <w:t xml:space="preserve">target Ginis are tested — 0.30, 0.45, 0.60 — covering a range from</w:t>
      </w:r>
      <w:r>
        <w:t xml:space="preserve"> </w:t>
      </w:r>
      <w:r>
        <w:t xml:space="preserve">“materially degraded”</w:t>
      </w:r>
      <w:r>
        <w:t xml:space="preserve"> </w:t>
      </w:r>
      <w:r>
        <w:t xml:space="preserve">(0.60) to</w:t>
      </w:r>
      <w:r>
        <w:t xml:space="preserve"> </w:t>
      </w:r>
      <w:r>
        <w:t xml:space="preserve">“barely informative”</w:t>
      </w:r>
      <w:r>
        <w:t xml:space="preserve"> </w:t>
      </w:r>
      <w:r>
        <w:t xml:space="preserve">(0.30). The raw</w:t>
      </w:r>
      <w:r>
        <w:t xml:space="preserve"> </w:t>
      </w:r>
      <w:r>
        <w:t xml:space="preserve">LightGBM Platt PD has Gini ≈ 0.80 on the OOT subset. Each perturbed PD</w:t>
      </w:r>
      <w:r>
        <w:t xml:space="preserve"> </w:t>
      </w:r>
      <w:r>
        <w:t xml:space="preserve">variant is then run through all four anchor scenarios, producing a</w:t>
      </w:r>
      <w:r>
        <w:t xml:space="preserve"> </w:t>
      </w:r>
      <w:r>
        <w:t xml:space="preserve">16-cell sub-grid.</w:t>
      </w:r>
    </w:p>
    <w:bookmarkEnd w:id="78"/>
    <w:bookmarkStart w:id="79" w:name="results-4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4.7 reports the mean cut-off gap by Gini level across the four</w:t>
      </w:r>
      <w:r>
        <w:t xml:space="preserve"> </w:t>
      </w:r>
      <w:r>
        <w:t xml:space="preserve">anchors. The cut-off gap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monotonically as Gini falls — from a</w:t>
      </w:r>
      <w:r>
        <w:t xml:space="preserve"> </w:t>
      </w:r>
      <w:r>
        <w:t xml:space="preserve">mean +15.5 pp at the raw Gini of 0.80 to +35.7 pp at the most degraded</w:t>
      </w:r>
      <w:r>
        <w:t xml:space="preserve"> </w:t>
      </w:r>
      <w:r>
        <w:t xml:space="preserve">Gini of 0.30. Profit uplift over Youden remains strictly positive in</w:t>
      </w:r>
      <w:r>
        <w:t xml:space="preserve"> </w:t>
      </w:r>
      <w:r>
        <w:t xml:space="preserve">16 of 16 cells.</w:t>
      </w:r>
    </w:p>
    <w:p>
      <w:pPr>
        <w:pStyle w:val="BodyText"/>
      </w:pPr>
      <w:r>
        <w:rPr>
          <w:b/>
          <w:bCs/>
        </w:rPr>
        <w:t xml:space="preserve">Table 4.7 — Cut-off gap by PD discrimination Gini (16-cell PART A</w:t>
      </w:r>
      <w:r>
        <w:rPr>
          <w:b/>
          <w:bCs/>
        </w:rPr>
        <w:t xml:space="preserve"> </w:t>
      </w:r>
      <w:r>
        <w:rPr>
          <w:b/>
          <w:bCs/>
        </w:rPr>
        <w:t xml:space="preserve">sub-grid, n = 64,027 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523"/>
        <w:gridCol w:w="2335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 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Achieved 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cut-off gap (pp)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 with profit &gt; Youden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LightGBM Platt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Stressed Gini 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/ 4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artifacts/pd_quality_stress/cutoffs_by_gini.csv</w:t>
      </w:r>
      <w:r>
        <w:t xml:space="preserve">. Visualised</w:t>
      </w:r>
      <w:r>
        <w:t xml:space="preserve"> </w:t>
      </w:r>
      <w:r>
        <w:t xml:space="preserve">in Figure 2.</w:t>
      </w:r>
    </w:p>
    <w:p>
      <w:pPr>
        <w:pStyle w:val="BodyText"/>
      </w:pPr>
      <w:r>
        <w:t xml:space="preserve">The widening pattern is monotonic in PD-discrimination Gini and</w:t>
      </w:r>
      <w:r>
        <w:t xml:space="preserve"> </w:t>
      </w:r>
      <w:r>
        <w:t xml:space="preserve">consistent across all four anchor scenarios. The gap at Gini 0.30 is</w:t>
      </w:r>
      <w:r>
        <w:t xml:space="preserve"> </w:t>
      </w:r>
      <w:r>
        <w:t xml:space="preserve">more than twice the gap at the raw Gini.</w:t>
      </w:r>
    </w:p>
    <w:bookmarkEnd w:id="79"/>
    <w:bookmarkStart w:id="80" w:name="interpretation-4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This finding inverts a piece of conventional wisdom that is rarely</w:t>
      </w:r>
      <w:r>
        <w:t xml:space="preserve"> </w:t>
      </w:r>
      <w:r>
        <w:t xml:space="preserve">stated explicitly but is implicit in standard banking practice: the</w:t>
      </w:r>
      <w:r>
        <w:t xml:space="preserve"> </w:t>
      </w:r>
      <w:r>
        <w:t xml:space="preserve">common assumption that the value of a profit-driven cut-off framework</w:t>
      </w:r>
      <w:r>
        <w:t xml:space="preserve"> </w:t>
      </w:r>
      <w:r>
        <w:t xml:space="preserve">is largest when the PD model is best, because a strong PD permits</w:t>
      </w:r>
      <w:r>
        <w:t xml:space="preserve"> </w:t>
      </w:r>
      <w:r>
        <w:t xml:space="preserve">finer discrimination and therefore tighter optimisation. The Phase</w:t>
      </w:r>
      <w:r>
        <w:t xml:space="preserve"> </w:t>
      </w:r>
      <w:r>
        <w:t xml:space="preserve">4.2 PART A evidence shows the opposite. The cut-off gap — the gap</w:t>
      </w:r>
      <w:r>
        <w:t xml:space="preserve"> </w:t>
      </w:r>
      <w:r>
        <w:t xml:space="preserve">between the profit-optimal approval rate and the Youden’s J approval</w:t>
      </w:r>
      <w:r>
        <w:t xml:space="preserve"> </w:t>
      </w:r>
      <w:r>
        <w:t xml:space="preserve">rate —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as PD discrimination falls, and the dollar uplift is</w:t>
      </w:r>
      <w:r>
        <w:t xml:space="preserve"> </w:t>
      </w:r>
      <w:r>
        <w:t xml:space="preserve">positive across the entire tested Gini range.</w:t>
      </w:r>
    </w:p>
    <w:p>
      <w:pPr>
        <w:pStyle w:val="BodyText"/>
      </w:pPr>
      <w:r>
        <w:t xml:space="preserve">The mechanism is straightforward when stated explicitly. Youden’s J</w:t>
      </w:r>
      <w:r>
        <w:t xml:space="preserve"> </w:t>
      </w:r>
      <w:r>
        <w:t xml:space="preserve">maximises TPR − FPR; as the PD score’s discrimination falls, the ROC</w:t>
      </w:r>
      <w:r>
        <w:t xml:space="preserve"> </w:t>
      </w:r>
      <w:r>
        <w:t xml:space="preserve">curve flattens, and the maximising point of TPR − FPR migrates toward</w:t>
      </w:r>
      <w:r>
        <w:t xml:space="preserve"> </w:t>
      </w:r>
      <w:r>
        <w:t xml:space="preserve">the centre of the score distribution (a cut-off that approves</w:t>
      </w:r>
      <w:r>
        <w:t xml:space="preserve"> </w:t>
      </w:r>
      <w:r>
        <w:t xml:space="preserve">approximately the unconditional non-default share of the population).</w:t>
      </w:r>
      <w:r>
        <w:t xml:space="preserve"> </w:t>
      </w:r>
      <w:r>
        <w:t xml:space="preserve">The profit-optimal cut-off, by contrast, is anchored to the</w:t>
      </w:r>
      <w:r>
        <w:t xml:space="preserve"> </w:t>
      </w:r>
      <w:r>
        <w:rPr>
          <w:i/>
          <w:iCs/>
        </w:rPr>
        <w:t xml:space="preserve">economics</w:t>
      </w:r>
      <w:r>
        <w:t xml:space="preserve"> </w:t>
      </w:r>
      <w:r>
        <w:t xml:space="preserve">of the loan: as long as the average remaining account is</w:t>
      </w:r>
      <w:r>
        <w:t xml:space="preserve"> </w:t>
      </w:r>
      <w:r>
        <w:t xml:space="preserve">profit-positive, the optimal cut-off stays close to the full</w:t>
      </w:r>
      <w:r>
        <w:t xml:space="preserve"> </w:t>
      </w:r>
      <w:r>
        <w:t xml:space="preserve">population. Degrading the PD therefore moves the Youden cut-off</w:t>
      </w:r>
      <w:r>
        <w:t xml:space="preserve"> </w:t>
      </w:r>
      <w:r>
        <w:t xml:space="preserve">inward (more conservative) without much effect on the profit cut-off</w:t>
      </w:r>
      <w:r>
        <w:t xml:space="preserve"> </w:t>
      </w:r>
      <w:r>
        <w:t xml:space="preserve">(stable near the population), so the gap between them widens.</w:t>
      </w:r>
    </w:p>
    <w:p>
      <w:pPr>
        <w:pStyle w:val="BodyText"/>
      </w:pPr>
      <w:r>
        <w:t xml:space="preserve">This framing is important for the thesis’s contribution to the</w:t>
      </w:r>
      <w:r>
        <w:t xml:space="preserve"> </w:t>
      </w:r>
      <w:r>
        <w:t xml:space="preserve">profit-driven credit scoring literature. The framing in the chapter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portfolio risk stress expressed through a degraded PD signal</w:t>
      </w:r>
      <w:r>
        <w:t xml:space="preserve"> </w:t>
      </w:r>
      <w:r>
        <w:t xml:space="preserve">—</w:t>
      </w:r>
      <w:r>
        <w:t xml:space="preserve"> </w:t>
      </w:r>
      <w:r>
        <w:t xml:space="preserve">not</w:t>
      </w:r>
      <w:r>
        <w:t xml:space="preserve"> </w:t>
      </w:r>
      <w:r>
        <w:rPr>
          <w:i/>
          <w:iCs/>
        </w:rPr>
        <w:t xml:space="preserve">PD model quality dominates</w:t>
      </w:r>
      <w:r>
        <w:t xml:space="preserve">. The two phrases would mean</w:t>
      </w:r>
      <w:r>
        <w:t xml:space="preserve"> </w:t>
      </w:r>
      <w:r>
        <w:t xml:space="preserve">different things:</w:t>
      </w:r>
      <w:r>
        <w:t xml:space="preserve"> </w:t>
      </w:r>
      <w:r>
        <w:t xml:space="preserve">“PD model quality”</w:t>
      </w:r>
      <w:r>
        <w:t xml:space="preserve"> </w:t>
      </w:r>
      <w:r>
        <w:t xml:space="preserve">suggests an architectural</w:t>
      </w:r>
      <w:r>
        <w:t xml:space="preserve"> </w:t>
      </w:r>
      <w:r>
        <w:t xml:space="preserve">comparison (e.g., logistic vs gradient boosted) which this study does</w:t>
      </w:r>
      <w:r>
        <w:t xml:space="preserve"> </w:t>
      </w:r>
      <w:r>
        <w:t xml:space="preserve">not perform, while</w:t>
      </w:r>
      <w:r>
        <w:t xml:space="preserve"> </w:t>
      </w:r>
      <w:r>
        <w:t xml:space="preserve">“portfolio risk stress through a degraded signal”</w:t>
      </w:r>
      <w:r>
        <w:t xml:space="preserve"> </w:t>
      </w:r>
      <w:r>
        <w:t xml:space="preserve">captures the actual experimental design (the same primary model, with</w:t>
      </w:r>
      <w:r>
        <w:t xml:space="preserve"> </w:t>
      </w:r>
      <w:r>
        <w:t xml:space="preserve">its discriminative content artificially attenuated). The novel thesis</w:t>
      </w:r>
      <w:r>
        <w:t xml:space="preserve"> </w:t>
      </w:r>
      <w:r>
        <w:t xml:space="preserve">contribution is therefore the demonstration that</w:t>
      </w:r>
      <w:r>
        <w:t xml:space="preserve"> </w:t>
      </w:r>
      <w:r>
        <w:rPr>
          <w:i/>
          <w:iCs/>
        </w:rPr>
        <w:t xml:space="preserve">the lower the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informativeness of the PD signal a bank holds, the larger the dollar</w:t>
      </w:r>
      <w:r>
        <w:rPr>
          <w:i/>
          <w:iCs/>
        </w:rPr>
        <w:t xml:space="preserve"> </w:t>
      </w:r>
      <w:r>
        <w:rPr>
          <w:i/>
          <w:iCs/>
        </w:rPr>
        <w:t xml:space="preserve">opportunity from switching from a discrimination-anchored cut-off to</w:t>
      </w:r>
      <w:r>
        <w:rPr>
          <w:i/>
          <w:iCs/>
        </w:rPr>
        <w:t xml:space="preserve"> </w:t>
      </w:r>
      <w:r>
        <w:rPr>
          <w:i/>
          <w:iCs/>
        </w:rPr>
        <w:t xml:space="preserve">a profit-anchored cut-off</w:t>
      </w:r>
      <w:r>
        <w:t xml:space="preserve">. Within the tested scenario space, banks</w:t>
      </w:r>
      <w:r>
        <w:t xml:space="preserve"> </w:t>
      </w:r>
      <w:r>
        <w:t xml:space="preserve">operating with weaker PDs leave proportionally more value on the table</w:t>
      </w:r>
      <w:r>
        <w:t xml:space="preserve"> </w:t>
      </w:r>
      <w:r>
        <w:t xml:space="preserve">by using Youden than banks with stronger PDs.</w:t>
      </w:r>
    </w:p>
    <w:p>
      <w:pPr>
        <w:pStyle w:val="BodyText"/>
      </w:pPr>
      <w:r>
        <w:t xml:space="preserve">The next section turns from PD-quality stress (signal informativeness)</w:t>
      </w:r>
      <w:r>
        <w:t xml:space="preserve"> </w:t>
      </w:r>
      <w:r>
        <w:t xml:space="preserve">to operating-cost stress (a different category of stress entirely)</w:t>
      </w:r>
      <w:r>
        <w:t xml:space="preserve"> </w:t>
      </w:r>
      <w:r>
        <w:t xml:space="preserve">and tests whether the profit framework retains its sophistication</w:t>
      </w:r>
      <w:r>
        <w:t xml:space="preserve"> </w:t>
      </w:r>
      <w:r>
        <w:t xml:space="preserve">under severe cost regimes.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X36bc79048c76f4279145582019aa29de7114d69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4.6 Operating-cost Robustness (Phase 4.2 PART B)</w:t>
      </w:r>
    </w:p>
    <w:bookmarkStart w:id="82" w:name="setup-5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4.2 PART B study varies operating cost across the four-level</w:t>
      </w:r>
      <w:r>
        <w:t xml:space="preserve"> </w:t>
      </w:r>
      <w:r>
        <w:t xml:space="preserve">grid</w:t>
      </w:r>
      <w:r>
        <w:t xml:space="preserve"> </w:t>
      </w:r>
      <w:r>
        <w:rPr>
          <w:rStyle w:val="VerbatimChar"/>
        </w:rPr>
        <w:t xml:space="preserve">{0.00, 0.01, 0.02, 0.04}</w:t>
      </w:r>
      <w:r>
        <w:t xml:space="preserve"> </w:t>
      </w:r>
      <w:r>
        <w:t xml:space="preserve">for three of the four anchor scenarios</w:t>
      </w:r>
      <w:r>
        <w:t xml:space="preserve"> </w:t>
      </w:r>
      <w:r>
        <w:t xml:space="preserve">(realistic_central_boundary, moderate_interior, adverse_stress). The</w:t>
      </w:r>
      <w:r>
        <w:t xml:space="preserve"> </w:t>
      </w:r>
      <w:r>
        <w:t xml:space="preserve">optimistic_base anchor is omitted from this PART because at zero costs</w:t>
      </w:r>
      <w:r>
        <w:t xml:space="preserve"> </w:t>
      </w:r>
      <w:r>
        <w:t xml:space="preserve">across all dimensions it is invariant under operating cost in a</w:t>
      </w:r>
      <w:r>
        <w:t xml:space="preserve"> </w:t>
      </w:r>
      <w:r>
        <w:t xml:space="preserve">trivial sense. For each (anchor × op_cost) cell the framework records</w:t>
      </w:r>
      <w:r>
        <w:t xml:space="preserve"> </w:t>
      </w:r>
      <w:r>
        <w:t xml:space="preserve">mean profit per account, total profit, share of accounts with positive</w:t>
      </w:r>
      <w:r>
        <w:t xml:space="preserve"> </w:t>
      </w:r>
      <w:r>
        <w:t xml:space="preserve">expected profit, the 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, and the cut-off</w:t>
      </w:r>
      <w:r>
        <w:t xml:space="preserve"> </w:t>
      </w:r>
      <w:r>
        <w:t xml:space="preserve">gap relative to Youden’s J. Op_cost levels were chosen to span the</w:t>
      </w:r>
      <w:r>
        <w:t xml:space="preserve"> </w:t>
      </w:r>
      <w:r>
        <w:t xml:space="preserve">practical range of consumer-lending operations (1-4% of outstanding per</w:t>
      </w:r>
      <w:r>
        <w:t xml:space="preserve"> </w:t>
      </w:r>
      <w:r>
        <w:t xml:space="preserve">year is a common range cited in industry literature [TODO: cite</w:t>
      </w:r>
      <w:r>
        <w:t xml:space="preserve"> </w:t>
      </w:r>
      <w:r>
        <w:t xml:space="preserve">banking operating-cost benchmarks — HIGH PRIORITY: a defensible</w:t>
      </w:r>
      <w:r>
        <w:t xml:space="preserve"> </w:t>
      </w:r>
      <w:r>
        <w:t xml:space="preserve">citation here is required because reviewers may ask whether the 4%</w:t>
      </w:r>
      <w:r>
        <w:t xml:space="preserve"> </w:t>
      </w:r>
      <w:r>
        <w:t xml:space="preserve">upper bound is realistic or artificially chosen to force the</w:t>
      </w:r>
      <w:r>
        <w:t xml:space="preserve"> </w:t>
      </w:r>
      <w:r>
        <w:t xml:space="preserve">reject-most regime; candidate sources include consumer-finance</w:t>
      </w:r>
      <w:r>
        <w:t xml:space="preserve"> </w:t>
      </w:r>
      <w:r>
        <w:t xml:space="preserve">operational expense ratios, unsecured-lending servicing-cost</w:t>
      </w:r>
      <w:r>
        <w:t xml:space="preserve"> </w:t>
      </w:r>
      <w:r>
        <w:t xml:space="preserve">literature, fintech-vs-traditional-lender cost-structure comparisons,</w:t>
      </w:r>
      <w:r>
        <w:t xml:space="preserve"> </w:t>
      </w:r>
      <w:r>
        <w:t xml:space="preserve">and annual-report benchmarks from Discover, Capital One, or</w:t>
      </w:r>
      <w:r>
        <w:t xml:space="preserve"> </w:t>
      </w:r>
      <w:r>
        <w:t xml:space="preserve">equivalent issuers]).</w:t>
      </w:r>
    </w:p>
    <w:bookmarkEnd w:id="82"/>
    <w:bookmarkStart w:id="83" w:name="results-5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Results</w:t>
      </w:r>
    </w:p>
    <w:p>
      <w:pPr>
        <w:pStyle w:val="FirstParagraph"/>
      </w:pPr>
      <w:r>
        <w:t xml:space="preserve">Table 4.8 reports the per-cell results for the 12-cell op_cost grid.</w:t>
      </w:r>
      <w:r>
        <w:t xml:space="preserve"> </w:t>
      </w:r>
      <w:r>
        <w:t xml:space="preserve">Op_cost has substantial impact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and on mean profit, with the</w:t>
      </w:r>
      <w:r>
        <w:t xml:space="preserve"> </w:t>
      </w:r>
      <w:r>
        <w:t xml:space="preserve">strongest effects in the adverse_stress anchor.</w:t>
      </w:r>
    </w:p>
    <w:p>
      <w:pPr>
        <w:pStyle w:val="BodyText"/>
      </w:pPr>
      <w:r>
        <w:rPr>
          <w:b/>
          <w:bCs/>
        </w:rPr>
        <w:t xml:space="preserve">Table 4.8 — Op_cost robustness (12-cell PART B sub-grid, n = 64,027 OOT)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950"/>
        <w:gridCol w:w="1056"/>
        <w:gridCol w:w="1372"/>
        <w:gridCol w:w="1478"/>
        <w:gridCol w:w="1161"/>
        <w:gridCol w:w="1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op_cost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k*</w:t>
            </w:r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profit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&gt; 0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$63.9M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96.8%</w:t>
            </w:r>
          </w:p>
        </w:tc>
        <w:tc>
          <w:tcPr/>
          <w:p>
            <w:pPr>
              <w:pStyle w:val="Compact"/>
            </w:pPr>
            <w:r>
              <w:t xml:space="preserve">approve-all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$52.4M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realistic_central_boundary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$18.1M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$68.0M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$56.6M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94.6%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$45.3M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92.8%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moderate_interior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$22.7M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$19.5M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67.3%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$8.4M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59.2%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-$2.6M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48.2%</w:t>
            </w:r>
          </w:p>
        </w:tc>
        <w:tc>
          <w:tcPr/>
          <w:p>
            <w:pPr>
              <w:pStyle w:val="Compact"/>
            </w:pPr>
            <w:r>
              <w:t xml:space="preserve">interior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adverse_stress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-$387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-$24.8M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REJECT-MOST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artifacts/op_cost_robustness/cutoffs_by_op_cost.csv</w:t>
      </w:r>
      <w:r>
        <w:t xml:space="preserve">. Visualised</w:t>
      </w:r>
      <w:r>
        <w:t xml:space="preserve"> </w:t>
      </w:r>
      <w:r>
        <w:t xml:space="preserve">in Figure 3.</w:t>
      </w:r>
    </w:p>
    <w:p>
      <w:pPr>
        <w:pStyle w:val="BodyText"/>
      </w:pPr>
      <w:r>
        <w:t xml:space="preserve">The tipping points in Table 4.8 quantify how each anchor responds to</w:t>
      </w:r>
      <w:r>
        <w:t xml:space="preserve"> </w:t>
      </w:r>
      <w:r>
        <w:t xml:space="preserve">operating cost. The realistic_central_boundary anchor crosses the</w:t>
      </w:r>
      <w:r>
        <w:t xml:space="preserve"> </w:t>
      </w:r>
      <w:r>
        <w:t xml:space="preserve">approve-all/interior boundary at op_cost = 0.01, and the</w:t>
      </w:r>
      <w:r>
        <w:t xml:space="preserve"> </w:t>
      </w:r>
      <w:r>
        <w:t xml:space="preserve">adverse_stress anchor crosses into the reject-most regime at</w:t>
      </w:r>
      <w:r>
        <w:t xml:space="preserve"> </w:t>
      </w:r>
      <w:r>
        <w:t xml:space="preserve">op_cost = 0.04. The reject-most cell (adverse_stress at op_cost = 0.04,</w:t>
      </w:r>
      <w:r>
        <w:t xml:space="preserve"> </w:t>
      </w:r>
      <w:r>
        <w:rPr>
          <w:rStyle w:val="VerbatimChar"/>
        </w:rPr>
        <w:t xml:space="preserve">k* = 0.31%</w:t>
      </w:r>
      <w:r>
        <w:t xml:space="preserve">, mean profit −$387, total profit −$24.8M) is the only</w:t>
      </w:r>
      <w:r>
        <w:t xml:space="preserve"> </w:t>
      </w:r>
      <w:r>
        <w:t xml:space="preserve">reject-most cell observed in the entire 64-cell stress space tested in</w:t>
      </w:r>
      <w:r>
        <w:t xml:space="preserve"> </w:t>
      </w:r>
      <w:r>
        <w:t xml:space="preserve">Phase 4.2.</w:t>
      </w:r>
    </w:p>
    <w:bookmarkEnd w:id="83"/>
    <w:bookmarkStart w:id="84" w:name="interpretation-5"/>
    <w:p>
      <w:pPr>
        <w:pStyle w:val="Heading3"/>
      </w:pPr>
      <w:r>
        <w:rPr>
          <w:rStyle w:val="SectionNumber"/>
        </w:rPr>
        <w:t xml:space="preserve">5.6.3</w:t>
      </w:r>
      <w:r>
        <w:tab/>
      </w:r>
      <w:r>
        <w:t xml:space="preserve">Interpretation</w:t>
      </w:r>
    </w:p>
    <w:p>
      <w:pPr>
        <w:pStyle w:val="FirstParagraph"/>
      </w:pPr>
      <w:r>
        <w:t xml:space="preserve">Why does the reject-most regime under adverse stress + op_cost = 0.04</w:t>
      </w:r>
      <w:r>
        <w:t xml:space="preserve"> </w:t>
      </w:r>
      <w:r>
        <w:t xml:space="preserve">matter for the thesis? Because it provides the framework’s</w:t>
      </w:r>
      <w:r>
        <w:t xml:space="preserve"> </w:t>
      </w:r>
      <w:r>
        <w:t xml:space="preserve">self-falsification test. A profit-driven cut-off framework that always</w:t>
      </w:r>
      <w:r>
        <w:t xml:space="preserve"> </w:t>
      </w:r>
      <w:r>
        <w:t xml:space="preserve">prescribed</w:t>
      </w:r>
      <w:r>
        <w:t xml:space="preserve"> </w:t>
      </w:r>
      <w:r>
        <w:t xml:space="preserve">“approve more than Youden”</w:t>
      </w:r>
      <w:r>
        <w:t xml:space="preserve"> </w:t>
      </w:r>
      <w:r>
        <w:t xml:space="preserve">regardless of conditions would</w:t>
      </w:r>
      <w:r>
        <w:t xml:space="preserve"> </w:t>
      </w:r>
      <w:r>
        <w:t xml:space="preserve">be either trivial (a constant rule disguised as optimisation) or</w:t>
      </w:r>
      <w:r>
        <w:t xml:space="preserve"> </w:t>
      </w:r>
      <w:r>
        <w:t xml:space="preserve">suspect (a systematic artefact rather than an economic finding). The</w:t>
      </w:r>
      <w:r>
        <w:t xml:space="preserve"> </w:t>
      </w:r>
      <w:r>
        <w:t xml:space="preserve">reject-most cell shows that the framework can and does prescribe</w:t>
      </w:r>
      <w:r>
        <w:t xml:space="preserve"> </w:t>
      </w:r>
      <w:r>
        <w:t xml:space="preserve">near-rejection when the underlying economics make most accounts</w:t>
      </w:r>
      <w:r>
        <w:t xml:space="preserve"> </w:t>
      </w:r>
      <w:r>
        <w:t xml:space="preserve">loss-making — and it does so at the right point in parameter space:</w:t>
      </w:r>
      <w:r>
        <w:t xml:space="preserve"> </w:t>
      </w:r>
      <w:r>
        <w:t xml:space="preserve">high PD multiplier, high LGD, low APR, high acquisition cost,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high operating cost. The framework is therefore a genuine adaptive</w:t>
      </w:r>
      <w:r>
        <w:t xml:space="preserve"> </w:t>
      </w:r>
      <w:r>
        <w:t xml:space="preserve">optimisation rule rather than a cosmetic re-parameterisation of</w:t>
      </w:r>
      <w:r>
        <w:t xml:space="preserve"> </w:t>
      </w:r>
      <w:r>
        <w:t xml:space="preserve">“approve-all”</w:t>
      </w:r>
      <w:r>
        <w:t xml:space="preserve">.</w:t>
      </w:r>
    </w:p>
    <w:p>
      <w:pPr>
        <w:pStyle w:val="BodyText"/>
      </w:pPr>
      <w:r>
        <w:t xml:space="preserve">A second interpretive note: the only reject-most cell in 64 stress</w:t>
      </w:r>
      <w:r>
        <w:t xml:space="preserve"> </w:t>
      </w:r>
      <w:r>
        <w:t xml:space="preserve">cells appears at the simultaneous extreme of all six stress</w:t>
      </w:r>
      <w:r>
        <w:t xml:space="preserve"> </w:t>
      </w:r>
      <w:r>
        <w:t xml:space="preserve">dimensions (PD multiplier, LGD, APR strategy, acquisition cost, cost</w:t>
      </w:r>
      <w:r>
        <w:t xml:space="preserve"> </w:t>
      </w:r>
      <w:r>
        <w:t xml:space="preserve">of funds, and operating cost). This is informative about the boundary of the framework’s</w:t>
      </w:r>
      <w:r>
        <w:t xml:space="preserve"> </w:t>
      </w:r>
      <w:r>
        <w:t xml:space="preserve">“keep some borrowers”</w:t>
      </w:r>
      <w:r>
        <w:t xml:space="preserve"> </w:t>
      </w:r>
      <w:r>
        <w:t xml:space="preserve">regime: severe operational cost is a necessary</w:t>
      </w:r>
      <w:r>
        <w:t xml:space="preserve"> </w:t>
      </w:r>
      <w:r>
        <w:t xml:space="preserve">ingredient, but not on its own sufficient (the moderate_interior</w:t>
      </w:r>
      <w:r>
        <w:t xml:space="preserve"> </w:t>
      </w:r>
      <w:r>
        <w:t xml:space="preserve">anchor at op_cost = 0.04 still sits at</w:t>
      </w:r>
      <w:r>
        <w:t xml:space="preserve"> </w:t>
      </w:r>
      <w:r>
        <w:rPr>
          <w:rStyle w:val="VerbatimChar"/>
        </w:rPr>
        <w:t xml:space="preserve">k* = 90.97%</w:t>
      </w:r>
      <w:r>
        <w:t xml:space="preserve">). The</w:t>
      </w:r>
      <w:r>
        <w:t xml:space="preserve"> </w:t>
      </w:r>
      <w:r>
        <w:t xml:space="preserve">combination of severe portfolio-risk stress (PD × 5, LGD 0.85),</w:t>
      </w:r>
      <w:r>
        <w:t xml:space="preserve"> </w:t>
      </w:r>
      <w:r>
        <w:t xml:space="preserve">adverse pricing (flat 18% APR, no risk premium), high acquisition</w:t>
      </w:r>
      <w:r>
        <w:t xml:space="preserve"> </w:t>
      </w:r>
      <w:r>
        <w:t xml:space="preserve">cost ($500), high cost of funds (6%),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operating cost at 4% is</w:t>
      </w:r>
      <w:r>
        <w:t xml:space="preserve"> </w:t>
      </w:r>
      <w:r>
        <w:t xml:space="preserve">what produces the reject-most outcome. Real institutions in</w:t>
      </w:r>
      <w:r>
        <w:t xml:space="preserve"> </w:t>
      </w:r>
      <w:r>
        <w:t xml:space="preserve">sub-prime lending typically operate under one or two of these</w:t>
      </w:r>
      <w:r>
        <w:t xml:space="preserve"> </w:t>
      </w:r>
      <w:r>
        <w:t xml:space="preserve">extremes at a time, not all five.</w:t>
      </w:r>
    </w:p>
    <w:p>
      <w:pPr>
        <w:pStyle w:val="BodyText"/>
      </w:pPr>
      <w:r>
        <w:t xml:space="preserve">A third interpretive note: the adverse_stress + op_cost = 0.02 cell</w:t>
      </w:r>
      <w:r>
        <w:t xml:space="preserve"> </w:t>
      </w:r>
      <w:r>
        <w:t xml:space="preserve">sits at</w:t>
      </w:r>
      <w:r>
        <w:t xml:space="preserve"> </w:t>
      </w:r>
      <w:r>
        <w:rPr>
          <w:rStyle w:val="VerbatimChar"/>
        </w:rPr>
        <w:t xml:space="preserve">k* = 74.72%</w:t>
      </w:r>
      <w:r>
        <w:t xml:space="preserve"> </w:t>
      </w:r>
      <w:r>
        <w:t xml:space="preserve">with mean profit −$41 per account and total</w:t>
      </w:r>
      <w:r>
        <w:t xml:space="preserve"> </w:t>
      </w:r>
      <w:r>
        <w:t xml:space="preserve">profit −$2.6M on the OOT economics population. This is an</w:t>
      </w:r>
      <w:r>
        <w:t xml:space="preserve"> </w:t>
      </w:r>
      <w:r>
        <w:t xml:space="preserve">“interior + loss-making”</w:t>
      </w:r>
      <w:r>
        <w:t xml:space="preserve"> </w:t>
      </w:r>
      <w:r>
        <w:t xml:space="preserve">regime — the framework correctly identifies</w:t>
      </w:r>
      <w:r>
        <w:t xml:space="preserve"> </w:t>
      </w:r>
      <w:r>
        <w:t xml:space="preserve">an interior cut-off rather than collapsing to either approve-all or</w:t>
      </w:r>
      <w:r>
        <w:t xml:space="preserve"> </w:t>
      </w:r>
      <w:r>
        <w:t xml:space="preserve">reject-most, but the optimum still has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aggregate profit.</w:t>
      </w:r>
      <w:r>
        <w:t xml:space="preserve"> </w:t>
      </w:r>
      <w:r>
        <w:t xml:space="preserve">The interior classification therefore indicates that the cut-off is</w:t>
      </w:r>
      <w:r>
        <w:t xml:space="preserve"> </w:t>
      </w:r>
      <w:r>
        <w:t xml:space="preserve">non-trivial (the cumulative profit curve has a strict maximum away</w:t>
      </w:r>
      <w:r>
        <w:t xml:space="preserve"> </w:t>
      </w:r>
      <w:r>
        <w:t xml:space="preserve">from the population endpoints), not that the resulting portfolio is</w:t>
      </w:r>
      <w:r>
        <w:t xml:space="preserve"> </w:t>
      </w:r>
      <w:r>
        <w:t xml:space="preserve">profitable. This nuance reinforces that the framework’s output is an</w:t>
      </w:r>
      <w:r>
        <w:t xml:space="preserve"> </w:t>
      </w:r>
      <w:r>
        <w:t xml:space="preserve">optimisation recommendation under specified economic constraints, not</w:t>
      </w:r>
      <w:r>
        <w:t xml:space="preserve"> </w:t>
      </w:r>
      <w:r>
        <w:t xml:space="preserve">a guarantee of profitable lending: when the underlying economics are</w:t>
      </w:r>
      <w:r>
        <w:t xml:space="preserve"> </w:t>
      </w:r>
      <w:r>
        <w:t xml:space="preserve">loss-making, the profit-optimal cut-off minimises the loss without</w:t>
      </w:r>
      <w:r>
        <w:t xml:space="preserve"> </w:t>
      </w:r>
      <w:r>
        <w:t xml:space="preserve">necessarily eliminating it.</w:t>
      </w:r>
    </w:p>
    <w:p>
      <w:pPr>
        <w:pStyle w:val="BodyText"/>
      </w:pPr>
      <w:r>
        <w:t xml:space="preserve">The next section combines the PD-quality stress dimension of §4.5 with</w:t>
      </w:r>
      <w:r>
        <w:t xml:space="preserve"> </w:t>
      </w:r>
      <w:r>
        <w:t xml:space="preserve">the operating-cost dimension of §4.6 to assemble the chapter’s refined</w:t>
      </w:r>
      <w:r>
        <w:t xml:space="preserve"> </w:t>
      </w:r>
      <w:r>
        <w:t xml:space="preserve">thesis claim.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combined-stress-phase-4.2-part-c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4.7 Combined Stress (Phase 4.2 PART C)</w:t>
      </w:r>
    </w:p>
    <w:bookmarkStart w:id="86" w:name="setup-6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Setup</w:t>
      </w:r>
    </w:p>
    <w:p>
      <w:pPr>
        <w:pStyle w:val="FirstParagraph"/>
      </w:pPr>
      <w:r>
        <w:t xml:space="preserve">The Phase 4.2 PART C combined grid crosses three Gini perturbations</w:t>
      </w:r>
      <w:r>
        <w:t xml:space="preserve"> </w:t>
      </w:r>
      <w:r>
        <w:t xml:space="preserve">(targets 0.60, 0.45, 0.30 plus the raw 0.80) with three operating-cost</w:t>
      </w:r>
      <w:r>
        <w:t xml:space="preserve"> </w:t>
      </w:r>
      <w:r>
        <w:t xml:space="preserve">levels (</w:t>
      </w:r>
      <w:r>
        <w:rPr>
          <w:rStyle w:val="VerbatimChar"/>
        </w:rPr>
        <w:t xml:space="preserve">{0.00, 0.02, 0.04}</w:t>
      </w:r>
      <w:r>
        <w:t xml:space="preserve">) for three anchor scenarios</w:t>
      </w:r>
      <w:r>
        <w:t xml:space="preserve"> </w:t>
      </w:r>
      <w:r>
        <w:t xml:space="preserve">(realistic_central_boundary, moderate_interior, adverse_stress) — a 36-cell</w:t>
      </w:r>
      <w:r>
        <w:t xml:space="preserve"> </w:t>
      </w:r>
      <w:r>
        <w:t xml:space="preserve">combined grid that, together with the 16-cell PART A sub-grid (§4.5)</w:t>
      </w:r>
      <w:r>
        <w:t xml:space="preserve"> </w:t>
      </w:r>
      <w:r>
        <w:t xml:space="preserve">and the 12-cell PART B sub-grid (§4.6), yields the 64-cell Phase 4.2</w:t>
      </w:r>
      <w:r>
        <w:t xml:space="preserve"> </w:t>
      </w:r>
      <w:r>
        <w:t xml:space="preserve">stress space referenced throughout the chapter. The combined grid is</w:t>
      </w:r>
      <w:r>
        <w:t xml:space="preserve"> </w:t>
      </w:r>
      <w:r>
        <w:t xml:space="preserve">the only place in the analysis where PD-quality stress and</w:t>
      </w:r>
      <w:r>
        <w:t xml:space="preserve"> </w:t>
      </w:r>
      <w:r>
        <w:t xml:space="preserve">operating-cost stress are simultaneously varied; it therefore tests</w:t>
      </w:r>
      <w:r>
        <w:t xml:space="preserve"> </w:t>
      </w:r>
      <w:r>
        <w:t xml:space="preserve">whether their effects compound or partially cancel.</w:t>
      </w:r>
    </w:p>
    <w:p>
      <w:pPr>
        <w:pStyle w:val="BodyText"/>
      </w:pPr>
      <w:r>
        <w:t xml:space="preserve">The PART C grid is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from the Phase 3.2 576-cell grid of §4.3</w:t>
      </w:r>
      <w:r>
        <w:t xml:space="preserve"> </w:t>
      </w:r>
      <w:r>
        <w:t xml:space="preserve">in two ways: §4.3 holds PD multiplier as the sole risk-side stress</w:t>
      </w:r>
      <w:r>
        <w:t xml:space="preserve"> </w:t>
      </w:r>
      <w:r>
        <w:t xml:space="preserve">lever and varies five economic dimensions (cost of funds, acquisition</w:t>
      </w:r>
      <w:r>
        <w:t xml:space="preserve"> </w:t>
      </w:r>
      <w:r>
        <w:t xml:space="preserve">cost, LGD, APR strategy, PD multiplier), while PART C holds the</w:t>
      </w:r>
      <w:r>
        <w:t xml:space="preserve"> </w:t>
      </w:r>
      <w:r>
        <w:t xml:space="preserve">economic dimensions at their per-anchor values and varies only PD</w:t>
      </w:r>
      <w:r>
        <w:t xml:space="preserve"> </w:t>
      </w:r>
      <w:r>
        <w:t xml:space="preserve">discrimination Gini and operating cost. The two grids therefore probe</w:t>
      </w:r>
      <w:r>
        <w:t xml:space="preserve"> </w:t>
      </w:r>
      <w:r>
        <w:t xml:space="preserve">different parts of the stress space and are deliberately</w:t>
      </w:r>
      <w:r>
        <w:t xml:space="preserve"> </w:t>
      </w:r>
      <w:r>
        <w:t xml:space="preserve">non-overlapping.</w:t>
      </w:r>
    </w:p>
    <w:bookmarkEnd w:id="86"/>
    <w:bookmarkStart w:id="87" w:name="results-6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Results</w:t>
      </w:r>
    </w:p>
    <w:p>
      <w:pPr>
        <w:pStyle w:val="FirstParagraph"/>
      </w:pPr>
      <w:r>
        <w:t xml:space="preserve">The PART C grid produces one approve-all cell, 31 interior cells, and</w:t>
      </w:r>
      <w:r>
        <w:t xml:space="preserve"> </w:t>
      </w:r>
      <w:r>
        <w:t xml:space="preserve">four reject-most cells. The four reject-most cells are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in the</w:t>
      </w:r>
      <w:r>
        <w:t xml:space="preserve"> </w:t>
      </w:r>
      <w:r>
        <w:t xml:space="preserve">adverse_stress anchor at op_cost = 0.04, regardless of Gini level —</w:t>
      </w:r>
      <w:r>
        <w:t xml:space="preserve"> </w:t>
      </w:r>
      <w:r>
        <w:t xml:space="preserve">consistent with the PART B finding that operating cost is the lever</w:t>
      </w:r>
      <w:r>
        <w:t xml:space="preserve"> </w:t>
      </w:r>
      <w:r>
        <w:t xml:space="preserve">that triggers reject-most under sufficiently adverse conditions, and</w:t>
      </w:r>
      <w:r>
        <w:t xml:space="preserve"> </w:t>
      </w:r>
      <w:r>
        <w:t xml:space="preserve">that the tipping is largely insensitive to PD-quality stress. Five</w:t>
      </w:r>
      <w:r>
        <w:t xml:space="preserve"> </w:t>
      </w:r>
      <w:r>
        <w:t xml:space="preserve">cells in PART C have a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cut-off gap (profit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lower than</w:t>
      </w:r>
      <w:r>
        <w:t xml:space="preserve"> </w:t>
      </w:r>
      <w:r>
        <w:t xml:space="preserve">Youden’s J approval rate); these are the four reject-most cells plus</w:t>
      </w:r>
      <w:r>
        <w:t xml:space="preserve"> </w:t>
      </w:r>
      <w:r>
        <w:t xml:space="preserve">one interior cell (adverse_stress at op_cost = 0.02 with the raw PD).</w:t>
      </w:r>
    </w:p>
    <w:p>
      <w:pPr>
        <w:pStyle w:val="BodyText"/>
      </w:pPr>
      <w:r>
        <w:rPr>
          <w:b/>
          <w:bCs/>
        </w:rPr>
        <w:t xml:space="preserve">Table 4.9 — Phase 4.2 combined PART C grid (36 cells)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approve-all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interior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reject-most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Cells with profit cut-off direction</w:t>
            </w:r>
            <w:r>
              <w:t xml:space="preserve"> </w:t>
            </w:r>
            <w:r>
              <w:rPr>
                <w:i/>
                <w:iCs/>
              </w:rPr>
              <w:t xml:space="preserve">more</w:t>
            </w:r>
            <w:r>
              <w:t xml:space="preserve"> </w:t>
            </w:r>
            <w:r>
              <w:t xml:space="preserve">permissive than Youden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/ 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Cells with profit cut-off direction</w:t>
            </w:r>
            <w:r>
              <w:t xml:space="preserve"> </w:t>
            </w:r>
            <w:r>
              <w:rPr>
                <w:i/>
                <w:iCs/>
              </w:rPr>
              <w:t xml:space="preserve">less</w:t>
            </w:r>
            <w:r>
              <w:t xml:space="preserve"> </w:t>
            </w:r>
            <w:r>
              <w:t xml:space="preserve">permissive than Youden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/ 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Cells with profit uplift &gt; 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36 / 36</w:t>
            </w:r>
          </w:p>
        </w:tc>
      </w:tr>
    </w:tbl>
    <w:p>
      <w:pPr>
        <w:pStyle w:val="BodyText"/>
      </w:pPr>
      <w:r>
        <w:t xml:space="preserve">Across the full 64-cell Phase 4.2 stress space (PART A + PART B + PART</w:t>
      </w:r>
      <w:r>
        <w:t xml:space="preserve"> </w:t>
      </w:r>
      <w:r>
        <w:t xml:space="preserve">C), profit uplift over Youden’s J is strictly positive in 64 of 64</w:t>
      </w:r>
      <w:r>
        <w:t xml:space="preserve"> </w:t>
      </w:r>
      <w:r>
        <w:t xml:space="preserve">cells. Source:</w:t>
      </w:r>
      <w:r>
        <w:t xml:space="preserve"> </w:t>
      </w:r>
      <w:r>
        <w:rPr>
          <w:rStyle w:val="VerbatimChar"/>
        </w:rPr>
        <w:t xml:space="preserve">artifacts/economic_framework/phase4_2_combined_grid.csv</w:t>
      </w:r>
      <w:r>
        <w:t xml:space="preserve">,</w:t>
      </w:r>
      <w:r>
        <w:t xml:space="preserve"> </w:t>
      </w:r>
      <w:r>
        <w:t xml:space="preserve">visualised in Figure 8.</w:t>
      </w:r>
    </w:p>
    <w:p>
      <w:pPr>
        <w:pStyle w:val="BodyText"/>
      </w:pPr>
      <w:r>
        <w:t xml:space="preserve">The five cells with negative cut-off gap deserve a brief examination.</w:t>
      </w:r>
      <w:r>
        <w:t xml:space="preserve"> </w:t>
      </w:r>
      <w:r>
        <w:t xml:space="preserve">In the four reject-most cells the profit-optimal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is below 1%</w:t>
      </w:r>
      <w:r>
        <w:t xml:space="preserve"> </w:t>
      </w:r>
      <w:r>
        <w:t xml:space="preserve">(near-rejection of the entire portfolio), while Youden’s J approval</w:t>
      </w:r>
      <w:r>
        <w:t xml:space="preserve"> </w:t>
      </w:r>
      <w:r>
        <w:t xml:space="preserve">rate stays around 80% because Youden has no view of profit and</w:t>
      </w:r>
      <w:r>
        <w:t xml:space="preserve"> </w:t>
      </w:r>
      <w:r>
        <w:t xml:space="preserve">continues to base its threshold on TPR − FPR. The Youden cut-off in</w:t>
      </w:r>
      <w:r>
        <w:t xml:space="preserve"> </w:t>
      </w:r>
      <w:r>
        <w:t xml:space="preserve">these cells therefore approves a large slice of the portfolio whose</w:t>
      </w:r>
      <w:r>
        <w:t xml:space="preserve"> </w:t>
      </w:r>
      <w:r>
        <w:t xml:space="preserve">average expected profit is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(after operating cost), so the</w:t>
      </w:r>
      <w:r>
        <w:t xml:space="preserve"> </w:t>
      </w:r>
      <w:r>
        <w:t xml:space="preserve">profit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Youden’s cut-off is heavily negative. The profit-optimal</w:t>
      </w:r>
      <w:r>
        <w:t xml:space="preserve"> </w:t>
      </w:r>
      <w:r>
        <w:t xml:space="preserve">cut-off avoids most of those losses by approving very few accounts;</w:t>
      </w:r>
      <w:r>
        <w:t xml:space="preserve"> </w:t>
      </w:r>
      <w:r>
        <w:t xml:space="preserve">the dollar profit at the profit-optimal cut-off is therefore close to</w:t>
      </w:r>
      <w:r>
        <w:t xml:space="preserve"> </w:t>
      </w:r>
      <w:r>
        <w:t xml:space="preserve">zero (and positive), substantially better than the negative profit at</w:t>
      </w:r>
      <w:r>
        <w:t xml:space="preserve"> </w:t>
      </w:r>
      <w:r>
        <w:t xml:space="preserve">Youden’s cut-off, and the dollar uplift is positive even though the</w:t>
      </w:r>
      <w:r>
        <w:t xml:space="preserve"> </w:t>
      </w:r>
      <w:r>
        <w:t xml:space="preserve">approval-rate direction is reversed.</w:t>
      </w:r>
    </w:p>
    <w:bookmarkEnd w:id="87"/>
    <w:bookmarkStart w:id="88" w:name="interpretation-refined-thesis-claim"/>
    <w:p>
      <w:pPr>
        <w:pStyle w:val="Heading3"/>
      </w:pPr>
      <w:r>
        <w:rPr>
          <w:rStyle w:val="SectionNumber"/>
        </w:rPr>
        <w:t xml:space="preserve">5.7.3</w:t>
      </w:r>
      <w:r>
        <w:tab/>
      </w:r>
      <w:r>
        <w:t xml:space="preserve">Interpretation: refined thesis claim</w:t>
      </w:r>
    </w:p>
    <w:p>
      <w:pPr>
        <w:pStyle w:val="FirstParagraph"/>
      </w:pPr>
      <w:r>
        <w:t xml:space="preserve">The 36-cell combined grid produces the chapter’s refined thesis claim.</w:t>
      </w:r>
      <w:r>
        <w:t xml:space="preserve"> </w:t>
      </w:r>
      <w:r>
        <w:t xml:space="preserve">A direction-anchored claim —</w:t>
      </w:r>
      <w:r>
        <w:t xml:space="preserve"> </w:t>
      </w:r>
      <w:r>
        <w:rPr>
          <w:i/>
          <w:iCs/>
        </w:rPr>
        <w:t xml:space="preserve">“profit cut-off is more permissive than</w:t>
      </w:r>
      <w:r>
        <w:rPr>
          <w:i/>
          <w:iCs/>
        </w:rPr>
        <w:t xml:space="preserve"> </w:t>
      </w:r>
      <w:r>
        <w:rPr>
          <w:i/>
          <w:iCs/>
        </w:rPr>
        <w:t xml:space="preserve">Youden”</w:t>
      </w:r>
      <w:r>
        <w:t xml:space="preserve"> </w:t>
      </w:r>
      <w:r>
        <w:t xml:space="preserve">— is empirically true in 31 of 36 PART C cells but false in</w:t>
      </w:r>
      <w:r>
        <w:t xml:space="preserve"> </w:t>
      </w:r>
      <w:r>
        <w:t xml:space="preserve">five. A dollar-anchored claim —</w:t>
      </w:r>
      <w:r>
        <w:t xml:space="preserve"> </w:t>
      </w:r>
      <w:r>
        <w:rPr>
          <w:i/>
          <w:iCs/>
        </w:rPr>
        <w:t xml:space="preserve">“profit cut-off strictly beats Youden</w:t>
      </w:r>
      <w:r>
        <w:rPr>
          <w:i/>
          <w:iCs/>
        </w:rPr>
        <w:t xml:space="preserve"> </w:t>
      </w:r>
      <w:r>
        <w:rPr>
          <w:i/>
          <w:iCs/>
        </w:rPr>
        <w:t xml:space="preserve">in dollar terms”</w:t>
      </w:r>
      <w:r>
        <w:t xml:space="preserve"> </w:t>
      </w:r>
      <w:r>
        <w:t xml:space="preserve">— is empirically true in 36 of 36 PART C cells, in</w:t>
      </w:r>
      <w:r>
        <w:t xml:space="preserve"> </w:t>
      </w:r>
      <w:r>
        <w:t xml:space="preserve">all 64 cells of the Phase 4.2 stress space, and across all 4,000</w:t>
      </w:r>
      <w:r>
        <w:t xml:space="preserve"> </w:t>
      </w:r>
      <w:r>
        <w:t xml:space="preserve">bootstrap × anchor combinations of §4.4. The dollar-anchored claim is</w:t>
      </w:r>
      <w:r>
        <w:t xml:space="preserve"> </w:t>
      </w:r>
      <w:r>
        <w:t xml:space="preserve">both more accurate and methodologically cleaner because it does not</w:t>
      </w:r>
      <w:r>
        <w:t xml:space="preserve"> </w:t>
      </w:r>
      <w:r>
        <w:t xml:space="preserve">require a sub-clause to handle the five reject-most cells.</w:t>
      </w:r>
    </w:p>
    <w:p>
      <w:pPr>
        <w:pStyle w:val="BlockText"/>
      </w:pPr>
      <w:r>
        <w:rPr>
          <w:b/>
          <w:bCs/>
        </w:rPr>
        <w:t xml:space="preserve">Refined thesis claim (chapter conclusion):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space, profit-driven cut-offs strictly beat Youden’s J in</w:t>
      </w:r>
      <w:r>
        <w:rPr>
          <w:i/>
          <w:iCs/>
        </w:rPr>
        <w:t xml:space="preserve"> </w:t>
      </w:r>
      <w:r>
        <w:rPr>
          <w:i/>
          <w:iCs/>
        </w:rPr>
        <w:t xml:space="preserve">dollar terms, regardless of whether the profit-optimal cut-off is</w:t>
      </w:r>
      <w:r>
        <w:rPr>
          <w:i/>
          <w:iCs/>
        </w:rPr>
        <w:t xml:space="preserve"> </w:t>
      </w:r>
      <w:r>
        <w:rPr>
          <w:i/>
          <w:iCs/>
        </w:rPr>
        <w:t xml:space="preserve">more or less permissive than Youden’s in approval-rate terms. The</w:t>
      </w:r>
      <w:r>
        <w:rPr>
          <w:i/>
          <w:iCs/>
        </w:rPr>
        <w:t xml:space="preserve"> </w:t>
      </w:r>
      <w:r>
        <w:rPr>
          <w:i/>
          <w:iCs/>
        </w:rPr>
        <w:t xml:space="preserve">magnitude of the dollar advantage shrinks under adverse-stress</w:t>
      </w:r>
      <w:r>
        <w:rPr>
          <w:i/>
          <w:iCs/>
        </w:rPr>
        <w:t xml:space="preserve"> </w:t>
      </w:r>
      <w:r>
        <w:rPr>
          <w:i/>
          <w:iCs/>
        </w:rPr>
        <w:t xml:space="preserve">conditions but does not change sign across the 64-cell Phase 4.2</w:t>
      </w:r>
      <w:r>
        <w:rPr>
          <w:i/>
          <w:iCs/>
        </w:rPr>
        <w:t xml:space="preserve"> </w:t>
      </w:r>
      <w:r>
        <w:rPr>
          <w:i/>
          <w:iCs/>
        </w:rPr>
        <w:t xml:space="preserve">stress space and across the 4,000 OOT bootstrap × anchor combinations</w:t>
      </w:r>
      <w:r>
        <w:rPr>
          <w:i/>
          <w:iCs/>
        </w:rPr>
        <w:t xml:space="preserve"> </w:t>
      </w:r>
      <w:r>
        <w:rPr>
          <w:i/>
          <w:iCs/>
        </w:rPr>
        <w:t xml:space="preserve">evaluated.</w:t>
      </w:r>
    </w:p>
    <w:p>
      <w:pPr>
        <w:pStyle w:val="FirstParagraph"/>
      </w:pPr>
      <w:r>
        <w:t xml:space="preserve">This refined formulation is what enables the thesis’s central</w:t>
      </w:r>
      <w:r>
        <w:t xml:space="preserve"> </w:t>
      </w:r>
      <w:r>
        <w:t xml:space="preserve">contribution: the demonstration that profit-driven cut-off selection</w:t>
      </w:r>
      <w:r>
        <w:t xml:space="preserve"> </w:t>
      </w:r>
      <w:r>
        <w:t xml:space="preserve">produces strictly higher dollar profit than discrimination-driven</w:t>
      </w:r>
      <w:r>
        <w:t xml:space="preserve"> </w:t>
      </w:r>
      <w:r>
        <w:t xml:space="preserve">cut-off selection across a stress space that includes (i) a 576-cell</w:t>
      </w:r>
      <w:r>
        <w:t xml:space="preserve"> </w:t>
      </w:r>
      <w:r>
        <w:t xml:space="preserve">economic stress grid (§4.3), (ii) a 16-cell PD-quality stress grid</w:t>
      </w:r>
      <w:r>
        <w:t xml:space="preserve"> </w:t>
      </w:r>
      <w:r>
        <w:t xml:space="preserve">(§4.5), (iii) a 12-cell operating-cost stress grid (§4.6), and (iv)</w:t>
      </w:r>
      <w:r>
        <w:t xml:space="preserve"> </w:t>
      </w:r>
      <w:r>
        <w:t xml:space="preserve">4,000 bootstrap × anchor combinations on the OOT population (§4.4).</w:t>
      </w:r>
      <w:r>
        <w:t xml:space="preserve"> </w:t>
      </w:r>
      <w:r>
        <w:t xml:space="preserve">The boundary conditions are explicit: the bootstrap captures only</w:t>
      </w:r>
      <w:r>
        <w:t xml:space="preserve"> </w:t>
      </w:r>
      <w:r>
        <w:t xml:space="preserve">sampling uncertainty within OOT, the stress space is locked, the PD</w:t>
      </w:r>
      <w:r>
        <w:t xml:space="preserve"> </w:t>
      </w:r>
      <w:r>
        <w:t xml:space="preserve">calibration is mean-anchored to the calibration slice rather than to</w:t>
      </w:r>
      <w:r>
        <w:t xml:space="preserve"> </w:t>
      </w:r>
      <w:r>
        <w:t xml:space="preserve">the eco-OOT subset, and the simulator itself is synthetic. Within</w:t>
      </w:r>
      <w:r>
        <w:t xml:space="preserve"> </w:t>
      </w:r>
      <w:r>
        <w:t xml:space="preserve">those bounds, the evidence is consistent in direction (profit &gt; Youden</w:t>
      </w:r>
      <w:r>
        <w:t xml:space="preserve"> </w:t>
      </w:r>
      <w:r>
        <w:t xml:space="preserve">in dollar terms) and stable in magnitude (the dollar uplift varies</w:t>
      </w:r>
      <w:r>
        <w:t xml:space="preserve"> </w:t>
      </w:r>
      <w:r>
        <w:t xml:space="preserve">from $0.46M at adverse stress to $30.75M at the optimistic base on</w:t>
      </w:r>
      <w:r>
        <w:t xml:space="preserve"> </w:t>
      </w:r>
      <w:r>
        <w:t xml:space="preserve">the OOT economics population, with the per-anchor 95% CIs reported in</w:t>
      </w:r>
      <w:r>
        <w:t xml:space="preserve"> </w:t>
      </w:r>
      <w:r>
        <w:t xml:space="preserve">Table 4.6).</w:t>
      </w:r>
    </w:p>
    <w:p>
      <w:pPr>
        <w:pStyle w:val="BodyText"/>
      </w:pPr>
      <w:r>
        <w:t xml:space="preserve">The chapter has therefore traced the thesis hypothesis from its PD</w:t>
      </w:r>
      <w:r>
        <w:t xml:space="preserve"> </w:t>
      </w:r>
      <w:r>
        <w:t xml:space="preserve">modelling foundations (§4.1), through the base economic measurement</w:t>
      </w:r>
      <w:r>
        <w:t xml:space="preserve"> </w:t>
      </w:r>
      <w:r>
        <w:t xml:space="preserve">that established the framework’s saturated upper bound (§4.2), the</w:t>
      </w:r>
      <w:r>
        <w:t xml:space="preserve"> </w:t>
      </w:r>
      <w:r>
        <w:t xml:space="preserve">576-cell economic stress grid that established its interior optima</w:t>
      </w:r>
      <w:r>
        <w:t xml:space="preserve"> </w:t>
      </w:r>
      <w:r>
        <w:t xml:space="preserve">(§4.3), the bootstrap CIs that established its statistical robustness</w:t>
      </w:r>
      <w:r>
        <w:t xml:space="preserve"> </w:t>
      </w:r>
      <w:r>
        <w:t xml:space="preserve">(§4.4), the PD-quality stress that established its widening value</w:t>
      </w:r>
      <w:r>
        <w:t xml:space="preserve"> </w:t>
      </w:r>
      <w:r>
        <w:t xml:space="preserve">under signal degradation (§4.5), the operating-cost stress that</w:t>
      </w:r>
      <w:r>
        <w:t xml:space="preserve"> </w:t>
      </w:r>
      <w:r>
        <w:t xml:space="preserve">established its self-falsifying capacity to prescribe rejection</w:t>
      </w:r>
      <w:r>
        <w:t xml:space="preserve"> </w:t>
      </w:r>
      <w:r>
        <w:t xml:space="preserve">(§4.6), and finally the combined stress that produced the refined</w:t>
      </w:r>
      <w:r>
        <w:t xml:space="preserve"> </w:t>
      </w:r>
      <w:r>
        <w:t xml:space="preserve">dollar-anchored claim. Chapter 5 (Discussion) examines what these</w:t>
      </w:r>
      <w:r>
        <w:t xml:space="preserve"> </w:t>
      </w:r>
      <w:r>
        <w:t xml:space="preserve">findings imply for credit-risk practice and for the broader literature</w:t>
      </w:r>
      <w:r>
        <w:t xml:space="preserve"> </w:t>
      </w:r>
      <w:r>
        <w:t xml:space="preserve">on profit-driven credit scoring; Chapter 6 (Limitations) records the</w:t>
      </w:r>
      <w:r>
        <w:t xml:space="preserve"> </w:t>
      </w:r>
      <w:r>
        <w:t xml:space="preserve">boundary conditions explicitly and identifies future work directions.</w:t>
      </w:r>
    </w:p>
    <w:bookmarkEnd w:id="88"/>
    <w:bookmarkEnd w:id="89"/>
    <w:bookmarkEnd w:id="90"/>
    <w:bookmarkStart w:id="119" w:name="chapter-5-discus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Chapter 5 — Discussion</w:t>
      </w:r>
    </w:p>
    <w:p>
      <w:pPr>
        <w:pStyle w:val="FirstParagraph"/>
      </w:pPr>
      <w:r>
        <w:t xml:space="preserve">This chapter synthesises the empirical findings of Chapter 4 into the</w:t>
      </w:r>
      <w:r>
        <w:t xml:space="preserve"> </w:t>
      </w:r>
      <w:r>
        <w:t xml:space="preserve">thesis’s substantive contribution and positions that contribution</w:t>
      </w:r>
      <w:r>
        <w:t xml:space="preserve"> </w:t>
      </w:r>
      <w:r>
        <w:t xml:space="preserve">against the existing literature on profit-driven credit scoring. It</w:t>
      </w:r>
      <w:r>
        <w:t xml:space="preserve"> </w:t>
      </w:r>
      <w:r>
        <w:t xml:space="preserve">contains no new analysis: every numerical claim is sourced from</w:t>
      </w:r>
      <w:r>
        <w:t xml:space="preserve"> </w:t>
      </w:r>
      <w:r>
        <w:t xml:space="preserve">Chapters 3 or 4 and every figure or table reference points back to</w:t>
      </w:r>
      <w:r>
        <w:t xml:space="preserve"> </w:t>
      </w:r>
      <w:r>
        <w:t xml:space="preserve">artifacts already documented. The chapter is organised in six sections.</w:t>
      </w:r>
      <w:r>
        <w:t xml:space="preserve"> </w:t>
      </w:r>
      <w:r>
        <w:t xml:space="preserve">§5.1 distils the four headline findings; §5.2 translates them into</w:t>
      </w:r>
      <w:r>
        <w:t xml:space="preserve"> </w:t>
      </w:r>
      <w:r>
        <w:t xml:space="preserve">implications for credit-risk practice under the locked thesis</w:t>
      </w:r>
      <w:r>
        <w:t xml:space="preserve"> </w:t>
      </w:r>
      <w:r>
        <w:t xml:space="preserve">assumptions; §5.3 places the work in dialogue with prior literature</w:t>
      </w:r>
      <w:r>
        <w:t xml:space="preserve"> </w:t>
      </w:r>
      <w:r>
        <w:t xml:space="preserve">and identifies the novel methodological contribution; §5.4 articulates</w:t>
      </w:r>
      <w:r>
        <w:t xml:space="preserve"> </w:t>
      </w:r>
      <w:r>
        <w:t xml:space="preserve">the methodological positioning of the synthetic-data design choice and</w:t>
      </w:r>
      <w:r>
        <w:t xml:space="preserve"> </w:t>
      </w:r>
      <w:r>
        <w:t xml:space="preserve">the discipline used in stress testing, bootstrap, and validation gates;</w:t>
      </w:r>
      <w:r>
        <w:t xml:space="preserve"> </w:t>
      </w:r>
      <w:r>
        <w:t xml:space="preserve">§5.5 records the boundary conditions that limit the scope of the</w:t>
      </w:r>
      <w:r>
        <w:t xml:space="preserve"> </w:t>
      </w:r>
      <w:r>
        <w:t xml:space="preserve">findings (forward-linking to the formal Limitations chapter); and §5.6</w:t>
      </w:r>
      <w:r>
        <w:t xml:space="preserve"> </w:t>
      </w:r>
      <w:r>
        <w:t xml:space="preserve">outlines the future-research directions that arise naturally from</w:t>
      </w:r>
      <w:r>
        <w:t xml:space="preserve"> </w:t>
      </w:r>
      <w:r>
        <w:t xml:space="preserve">those boundary conditions (forward-linking to the Future Work section</w:t>
      </w:r>
      <w:r>
        <w:t xml:space="preserve"> </w:t>
      </w:r>
      <w:r>
        <w:t xml:space="preserve">of Chapter 6).</w:t>
      </w:r>
    </w:p>
    <w:p>
      <w:pPr>
        <w:pStyle w:val="BodyText"/>
      </w:pPr>
      <w:r>
        <w:t xml:space="preserve">The wording rules of Chapters 3 and 4 are observed throughout:</w:t>
      </w:r>
      <w:r>
        <w:t xml:space="preserve"> </w:t>
      </w:r>
      <w:r>
        <w:rPr>
          <w:i/>
          <w:iCs/>
        </w:rPr>
        <w:t xml:space="preserve">across</w:t>
      </w:r>
      <w:r>
        <w:rPr>
          <w:i/>
          <w:iCs/>
        </w:rPr>
        <w:t xml:space="preserve"> </w:t>
      </w:r>
      <w:r>
        <w:rPr>
          <w:i/>
          <w:iCs/>
        </w:rPr>
        <w:t xml:space="preserve">N resamples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in place of true</w:t>
      </w:r>
      <w:r>
        <w:t xml:space="preserve"> </w:t>
      </w:r>
      <w:r>
        <w:t xml:space="preserve">probability statements,</w:t>
      </w:r>
      <w:r>
        <w:t xml:space="preserve"> </w:t>
      </w:r>
      <w:r>
        <w:rPr>
          <w:i/>
          <w:iCs/>
        </w:rPr>
        <w:t xml:space="preserve">portfolio risk stress</w:t>
      </w:r>
      <w:r>
        <w:t xml:space="preserve"> </w:t>
      </w:r>
      <w:r>
        <w:t xml:space="preserve">in preference to</w:t>
      </w:r>
      <w:r>
        <w:t xml:space="preserve"> </w:t>
      </w:r>
      <w:r>
        <w:rPr>
          <w:i/>
          <w:iCs/>
        </w:rPr>
        <w:t xml:space="preserve">PD</w:t>
      </w:r>
      <w:r>
        <w:rPr>
          <w:i/>
          <w:iCs/>
        </w:rPr>
        <w:t xml:space="preserve"> </w:t>
      </w:r>
      <w:r>
        <w:rPr>
          <w:i/>
          <w:iCs/>
        </w:rPr>
        <w:t xml:space="preserve">model quality</w:t>
      </w:r>
      <w:r>
        <w:t xml:space="preserve">, the consistent</w:t>
      </w:r>
      <w:r>
        <w:t xml:space="preserve"> </w:t>
      </w:r>
      <w:r>
        <w:t xml:space="preserve">“12-month”</w:t>
      </w:r>
      <w:r>
        <w:t xml:space="preserve"> </w:t>
      </w:r>
      <w:r>
        <w:t xml:space="preserve">form, and explicit boundary</w:t>
      </w:r>
      <w:r>
        <w:t xml:space="preserve"> </w:t>
      </w:r>
      <w:r>
        <w:t xml:space="preserve">conditions wherever a claim might otherwise be over-generalised.</w:t>
      </w:r>
    </w:p>
    <w:p>
      <w:r>
        <w:pict>
          <v:rect style="width:0;height:1.5pt" o:hralign="center" o:hrstd="t" o:hr="t"/>
        </w:pict>
      </w:r>
    </w:p>
    <w:bookmarkStart w:id="95" w:name="synthesis-of-empirical-finding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 Synthesis of Empirical Findings</w:t>
      </w:r>
    </w:p>
    <w:p>
      <w:pPr>
        <w:pStyle w:val="FirstParagraph"/>
      </w:pPr>
      <w:r>
        <w:t xml:space="preserve">The thesis’s empirical chain produced four headline findings, each</w:t>
      </w:r>
      <w:r>
        <w:t xml:space="preserve"> </w:t>
      </w:r>
      <w:r>
        <w:t xml:space="preserve">derived from a distinct phase of the analysis pipeline. They are</w:t>
      </w:r>
      <w:r>
        <w:t xml:space="preserve"> </w:t>
      </w:r>
      <w:r>
        <w:t xml:space="preserve">restated here in compact form so that the implications discussion in</w:t>
      </w:r>
      <w:r>
        <w:t xml:space="preserve"> </w:t>
      </w:r>
      <w:r>
        <w:t xml:space="preserve">§5.2 has a single reference point.</w:t>
      </w:r>
    </w:p>
    <w:bookmarkStart w:id="91" w:name="Xf1fb0e586656e7074d2450a4098c328844eb7ca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Finding 1 — Profit cut-off strictly beats Youden’s J in dollar terms</w:t>
      </w:r>
    </w:p>
    <w:p>
      <w:pPr>
        <w:pStyle w:val="FirstParagraph"/>
      </w:pPr>
      <w:r>
        <w:t xml:space="preserve">Across the 64 cells of the Phase 4.2 stress space and across the</w:t>
      </w:r>
      <w:r>
        <w:t xml:space="preserve"> </w:t>
      </w:r>
      <w:r>
        <w:t xml:space="preserve">4,000 (anchor × resample) combinations of the OOT bootstrap, the</w:t>
      </w:r>
      <w:r>
        <w:t xml:space="preserve"> </w:t>
      </w:r>
      <w:r>
        <w:t xml:space="preserve">profit-driven cut-off produced strictly higher dollar Expected Profit</w:t>
      </w:r>
      <w:r>
        <w:t xml:space="preserve"> </w:t>
      </w:r>
      <w:r>
        <w:t xml:space="preserve">than the Youden’s J cut-off in 64 of 64 cells and 4,000 of 4,000</w:t>
      </w:r>
      <w:r>
        <w:t xml:space="preserve"> </w:t>
      </w:r>
      <w:r>
        <w:t xml:space="preserve">bootstrap-anchor combinations (§4.4, §4.7). The dollar magnitude of</w:t>
      </w:r>
      <w:r>
        <w:t xml:space="preserve"> </w:t>
      </w:r>
      <w:r>
        <w:t xml:space="preserve">the advantage ranges from $0.46M at the adverse_stress anchor on the</w:t>
      </w:r>
      <w:r>
        <w:t xml:space="preserve"> </w:t>
      </w:r>
      <w:r>
        <w:t xml:space="preserve">OOT economics population to $30.75M at the optimistic_base anchor</w:t>
      </w:r>
      <w:r>
        <w:t xml:space="preserve"> </w:t>
      </w:r>
      <w:r>
        <w:t xml:space="preserve">(Table 4.6); per-anchor 95% CIs do not cross zero in any of the four</w:t>
      </w:r>
      <w:r>
        <w:t xml:space="preserve"> </w:t>
      </w:r>
      <w:r>
        <w:t xml:space="preserve">scenarios. The refined chapter-conclusion claim was therefore</w:t>
      </w:r>
      <w:r>
        <w:t xml:space="preserve"> </w:t>
      </w:r>
      <w:r>
        <w:t xml:space="preserve">formulated in dollar-anchored rather than direction-anchored terms:</w:t>
      </w:r>
      <w:r>
        <w:t xml:space="preserve"> </w:t>
      </w:r>
      <w:r>
        <w:t xml:space="preserve">“profit-driven cut-offs strictly beat Youden’s J in dollar terms,</w:t>
      </w:r>
      <w:r>
        <w:t xml:space="preserve"> </w:t>
      </w:r>
      <w:r>
        <w:t xml:space="preserve">regardless of whether the profit-optimal cut-off is more or less</w:t>
      </w:r>
      <w:r>
        <w:t xml:space="preserve"> </w:t>
      </w:r>
      <w:r>
        <w:t xml:space="preserve">permissive than Youden’s in approval-rate terms”</w:t>
      </w:r>
      <w:r>
        <w:t xml:space="preserve"> </w:t>
      </w:r>
      <w:r>
        <w:t xml:space="preserve">(§4.7).</w:t>
      </w:r>
    </w:p>
    <w:bookmarkEnd w:id="91"/>
    <w:bookmarkStart w:id="92" w:name="X1841fea71e808d377bcca146bc5ed394603a742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Finding 2 — The cut-off gap widens as the PD signal weakens</w:t>
      </w:r>
    </w:p>
    <w:p>
      <w:pPr>
        <w:pStyle w:val="FirstParagraph"/>
      </w:pPr>
      <w:r>
        <w:t xml:space="preserve">The Phase 4.2 PART A study (§4.5) perturbed the LightGBM Platt PD to</w:t>
      </w:r>
      <w:r>
        <w:t xml:space="preserve"> </w:t>
      </w:r>
      <w:r>
        <w:t xml:space="preserve">target Ginis of 0.30, 0.45, and 0.60 (compared to a raw Gini ≈ 0.80)</w:t>
      </w:r>
      <w:r>
        <w:t xml:space="preserve"> </w:t>
      </w:r>
      <w:r>
        <w:t xml:space="preserve">and observed that the mean cut-off gap</w:t>
      </w:r>
      <w:r>
        <w:t xml:space="preserve"> </w:t>
      </w:r>
      <w:r>
        <w:rPr>
          <w:i/>
          <w:iCs/>
        </w:rPr>
        <w:t xml:space="preserve">widens monotonically</w:t>
      </w:r>
      <w:r>
        <w:t xml:space="preserve"> </w:t>
      </w:r>
      <w:r>
        <w:t xml:space="preserve">as Gini</w:t>
      </w:r>
      <w:r>
        <w:t xml:space="preserve"> </w:t>
      </w:r>
      <w:r>
        <w:t xml:space="preserve">falls — from +15.5 percentage points at the raw Gini to +35.7 pp at</w:t>
      </w:r>
      <w:r>
        <w:t xml:space="preserve"> </w:t>
      </w:r>
      <w:r>
        <w:t xml:space="preserve">Gini 0.30 (Table 4.7, Figure 2). The mechanism is that Youden’s J</w:t>
      </w:r>
      <w:r>
        <w:t xml:space="preserve"> </w:t>
      </w:r>
      <w:r>
        <w:t xml:space="preserve">maximises TPR − FPR; as the score’s discrimination falls the ROC</w:t>
      </w:r>
      <w:r>
        <w:t xml:space="preserve"> </w:t>
      </w:r>
      <w:r>
        <w:t xml:space="preserve">curve flattens and the J-maximising threshold migrates inward, while</w:t>
      </w:r>
      <w:r>
        <w:t xml:space="preserve"> </w:t>
      </w:r>
      <w:r>
        <w:t xml:space="preserve">the profit-optimal threshold stays anchored to the underlying</w:t>
      </w:r>
      <w:r>
        <w:t xml:space="preserve"> </w:t>
      </w:r>
      <w:r>
        <w:t xml:space="preserve">economics and remains close to the full-population point. The gap</w:t>
      </w:r>
      <w:r>
        <w:t xml:space="preserve"> </w:t>
      </w:r>
      <w:r>
        <w:t xml:space="preserve">between the two therefore widens as the PD becomes less informative.</w:t>
      </w:r>
      <w:r>
        <w:t xml:space="preserve"> </w:t>
      </w:r>
      <w:r>
        <w:t xml:space="preserve">Within the tested scenario space, the framework’s dollar advantage</w:t>
      </w:r>
      <w:r>
        <w:t xml:space="preserve"> </w:t>
      </w:r>
      <w:r>
        <w:t xml:space="preserve">grows precisely where the underlying PD signal is weakest.</w:t>
      </w:r>
    </w:p>
    <w:bookmarkEnd w:id="92"/>
    <w:bookmarkStart w:id="93" w:name="X36ba630d0b6426169e737087db3a4b79420e5db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Finding 3 — The framework adapts to severe stress (reject-most as self-falsification)</w:t>
      </w:r>
    </w:p>
    <w:p>
      <w:pPr>
        <w:pStyle w:val="FirstParagraph"/>
      </w:pPr>
      <w:r>
        <w:t xml:space="preserve">The Phase 4.2 PART B + PART C op_cost robustness studies (§4.6, §4.7)</w:t>
      </w:r>
      <w:r>
        <w:t xml:space="preserve"> </w:t>
      </w:r>
      <w:r>
        <w:t xml:space="preserve">identified one cell — adverse_stress at op_cost = 0.04 — in which the</w:t>
      </w:r>
      <w:r>
        <w:t xml:space="preserve"> </w:t>
      </w:r>
      <w:r>
        <w:t xml:space="preserve">profit-optimal approval rate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collapses to 0.31% on the OOT</w:t>
      </w:r>
      <w:r>
        <w:t xml:space="preserve"> </w:t>
      </w:r>
      <w:r>
        <w:t xml:space="preserve">economics population, with mean profit −$387 per account and total</w:t>
      </w:r>
      <w:r>
        <w:t xml:space="preserve"> </w:t>
      </w:r>
      <w:r>
        <w:t xml:space="preserve">profit −$24.8M. This is the only reject-most cell in the entire 64-cell</w:t>
      </w:r>
      <w:r>
        <w:t xml:space="preserve"> </w:t>
      </w:r>
      <w:r>
        <w:t xml:space="preserve">Phase 4.2 stress space. Its existence is interpretively important: a</w:t>
      </w:r>
      <w:r>
        <w:t xml:space="preserve"> </w:t>
      </w:r>
      <w:r>
        <w:t xml:space="preserve">profit-driven framework that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prescribed</w:t>
      </w:r>
      <w:r>
        <w:t xml:space="preserve"> </w:t>
      </w:r>
      <w:r>
        <w:t xml:space="preserve">“approve more than</w:t>
      </w:r>
      <w:r>
        <w:t xml:space="preserve"> </w:t>
      </w:r>
      <w:r>
        <w:t xml:space="preserve">Youden”</w:t>
      </w:r>
      <w:r>
        <w:t xml:space="preserve"> </w:t>
      </w:r>
      <w:r>
        <w:t xml:space="preserve">regardless of conditions would be either trivial (a constant</w:t>
      </w:r>
      <w:r>
        <w:t xml:space="preserve"> </w:t>
      </w:r>
      <w:r>
        <w:t xml:space="preserve">rule disguised as optimisation) or suspect (a systematic artefact</w:t>
      </w:r>
      <w:r>
        <w:t xml:space="preserve"> </w:t>
      </w:r>
      <w:r>
        <w:t xml:space="preserve">rather than a substantive economic finding). The reject-most cell</w:t>
      </w:r>
      <w:r>
        <w:t xml:space="preserve"> </w:t>
      </w:r>
      <w:r>
        <w:t xml:space="preserve">shows that the framework can and does prescribe near-rejection when</w:t>
      </w:r>
      <w:r>
        <w:t xml:space="preserve"> </w:t>
      </w:r>
      <w:r>
        <w:t xml:space="preserve">the underlying economics make most accounts loss-making, and it does</w:t>
      </w:r>
      <w:r>
        <w:t xml:space="preserve"> </w:t>
      </w:r>
      <w:r>
        <w:t xml:space="preserve">so at the simultaneous extreme of all six stress dimensions</w:t>
      </w:r>
      <w:r>
        <w:t xml:space="preserve"> </w:t>
      </w:r>
      <w:r>
        <w:t xml:space="preserve">(PD × 5, LGD 0.85, flat 18% APR, $500 acquisition cost, 6% cost of</w:t>
      </w:r>
      <w:r>
        <w:t xml:space="preserve"> </w:t>
      </w:r>
      <w:r>
        <w:t xml:space="preserve">funds, 4% operating cost). The framework is therefore an adaptive</w:t>
      </w:r>
      <w:r>
        <w:t xml:space="preserve"> </w:t>
      </w:r>
      <w:r>
        <w:t xml:space="preserve">optimisation rule rather than a one-sided</w:t>
      </w:r>
      <w:r>
        <w:t xml:space="preserve"> </w:t>
      </w:r>
      <w:r>
        <w:t xml:space="preserve">“approve-all”</w:t>
      </w:r>
      <w:r>
        <w:t xml:space="preserve"> </w:t>
      </w:r>
      <w:r>
        <w:t xml:space="preserve">recommendation.</w:t>
      </w:r>
    </w:p>
    <w:bookmarkEnd w:id="93"/>
    <w:bookmarkStart w:id="94" w:name="X21ecfa507c79899de4e6b518cf74b1f9c440c39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Finding 4 — Tenor-aware lifetime framework outperforms ASB by ~40% on 36-month loans</w:t>
      </w:r>
    </w:p>
    <w:p>
      <w:pPr>
        <w:pStyle w:val="FirstParagraph"/>
      </w:pPr>
      <w:r>
        <w:t xml:space="preserve">The Phase 3.1B base economic comparison (§4.2, Figure 4) showed that</w:t>
      </w:r>
      <w:r>
        <w:t xml:space="preserve"> </w:t>
      </w:r>
      <w:r>
        <w:t xml:space="preserve">the locked tenor-aware Lifetime Net Margin formula produces</w:t>
      </w:r>
      <w:r>
        <w:t xml:space="preserve"> </w:t>
      </w:r>
      <w:r>
        <w:t xml:space="preserve">substantially higher portfolio profit estimates than the simpler ASB</w:t>
      </w:r>
      <w:r>
        <w:t xml:space="preserve"> </w:t>
      </w:r>
      <w:r>
        <w:t xml:space="preserve">single-period benchmark. On the 235,968-row economics-eligible</w:t>
      </w:r>
      <w:r>
        <w:t xml:space="preserve"> </w:t>
      </w:r>
      <w:r>
        <w:t xml:space="preserve">population, the ASB total of $250.9M is 71% of the Lifetime total of</w:t>
      </w:r>
      <w:r>
        <w:t xml:space="preserve"> </w:t>
      </w:r>
      <w:r>
        <w:t xml:space="preserve">$352.3M; the gap grows with tenor (ASB / Lifetime ratio = 0.91 on</w:t>
      </w:r>
      <w:r>
        <w:t xml:space="preserve"> </w:t>
      </w:r>
      <w:r>
        <w:t xml:space="preserve">24-month loans, 0.60 on 36-month loans). The structural mechanism is</w:t>
      </w:r>
      <w:r>
        <w:t xml:space="preserve"> </w:t>
      </w:r>
      <w:r>
        <w:t xml:space="preserve">that ASB assumes one full year of interest at the full loan amount</w:t>
      </w:r>
      <w:r>
        <w:t xml:space="preserve"> </w:t>
      </w:r>
      <w:r>
        <w:t xml:space="preserve">and ignores both amortization and survival weighting, while the</w:t>
      </w:r>
      <w:r>
        <w:t xml:space="preserve"> </w:t>
      </w:r>
      <w:r>
        <w:t xml:space="preserve">Lifetime formula applies declining-balance interest over the full</w:t>
      </w:r>
      <w:r>
        <w:t xml:space="preserve"> </w:t>
      </w:r>
      <w:r>
        <w:t xml:space="preserve">loan life and survival-weights every period. The ~40% understatement</w:t>
      </w:r>
      <w:r>
        <w:t xml:space="preserve"> </w:t>
      </w:r>
      <w:r>
        <w:t xml:space="preserve">on 36-month loans is not a numerical anomaly; it is a definitional</w:t>
      </w:r>
      <w:r>
        <w:t xml:space="preserve"> </w:t>
      </w:r>
      <w:r>
        <w:t xml:space="preserve">property of the simpler formula. A thesis that adopted ASB as its main</w:t>
      </w:r>
      <w:r>
        <w:t xml:space="preserve"> </w:t>
      </w:r>
      <w:r>
        <w:t xml:space="preserve">economic measure would systematically under-weight long-tenor loans</w:t>
      </w:r>
      <w:r>
        <w:t xml:space="preserve"> </w:t>
      </w:r>
      <w:r>
        <w:t xml:space="preserve">in the cut-off optimisation for arithmetic reasons rather than</w:t>
      </w:r>
      <w:r>
        <w:t xml:space="preserve"> </w:t>
      </w:r>
      <w:r>
        <w:t xml:space="preserve">economic ones.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implications-for-credit-risk-practic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 Implications for Credit Risk Practice</w:t>
      </w:r>
    </w:p>
    <w:p>
      <w:pPr>
        <w:pStyle w:val="FirstParagraph"/>
      </w:pPr>
      <w:r>
        <w:t xml:space="preserve">The four findings translate into practical implications for credit</w:t>
      </w:r>
      <w:r>
        <w:t xml:space="preserve"> </w:t>
      </w:r>
      <w:r>
        <w:t xml:space="preserve">risk management — but those implications are conditioned on the</w:t>
      </w:r>
      <w:r>
        <w:t xml:space="preserve"> </w:t>
      </w:r>
      <w:r>
        <w:t xml:space="preserve">thesis assumptions (synthetic simulator data, exogenous APR and LGD,</w:t>
      </w:r>
      <w:r>
        <w:t xml:space="preserve"> </w:t>
      </w:r>
      <w:r>
        <w:t xml:space="preserve">locked formulas, single seed) and should not be interpreted as</w:t>
      </w:r>
      <w:r>
        <w:t xml:space="preserve"> </w:t>
      </w:r>
      <w:r>
        <w:t xml:space="preserve">market-validated prescriptions. With that caveat foregrounded, the</w:t>
      </w:r>
      <w:r>
        <w:t xml:space="preserve"> </w:t>
      </w:r>
      <w:r>
        <w:t xml:space="preserve">following practical inferences are supported by the empirical chain.</w:t>
      </w:r>
    </w:p>
    <w:bookmarkStart w:id="96" w:name="X373a280d294f3a606ae70b1dd97ecb7336187ee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Implication 1 — Profit-driven cut-offs add value across PD-signal regimes, with larger cut-off gaps under weaker PD signals</w:t>
      </w:r>
    </w:p>
    <w:p>
      <w:pPr>
        <w:pStyle w:val="FirstParagraph"/>
      </w:pPr>
      <w:r>
        <w:t xml:space="preserve">For institutions whose PD models achieve high discrimination,</w:t>
      </w:r>
      <w:r>
        <w:t xml:space="preserve"> </w:t>
      </w:r>
      <w:r>
        <w:t xml:space="preserve">profit-driven cut-offs still generate material uplift in the tested</w:t>
      </w:r>
      <w:r>
        <w:t xml:space="preserve"> </w:t>
      </w:r>
      <w:r>
        <w:t xml:space="preserve">scenario space. However, the incremental cut-off gap relative to</w:t>
      </w:r>
      <w:r>
        <w:t xml:space="preserve"> </w:t>
      </w:r>
      <w:r>
        <w:t xml:space="preserve">Youden’s J is smaller than under degraded PD signals. At a Gini</w:t>
      </w:r>
      <w:r>
        <w:t xml:space="preserve"> </w:t>
      </w:r>
      <w:r>
        <w:t xml:space="preserve">above approximately 0.70 within the simulator’s behavioural</w:t>
      </w:r>
      <w:r>
        <w:t xml:space="preserve"> </w:t>
      </w:r>
      <w:r>
        <w:t xml:space="preserve">envelope (§4.5), the cut-off gap relative to Youden’s J in the</w:t>
      </w:r>
      <w:r>
        <w:t xml:space="preserve"> </w:t>
      </w:r>
      <w:r>
        <w:t xml:space="preserve">tested scenario space is around 15-20 percentage points and the</w:t>
      </w:r>
      <w:r>
        <w:t xml:space="preserve"> </w:t>
      </w:r>
      <w:r>
        <w:t xml:space="preserve">dollar uplift on the 64,027-row OOT economics population ranges</w:t>
      </w:r>
      <w:r>
        <w:t xml:space="preserve"> </w:t>
      </w:r>
      <w:r>
        <w:t xml:space="preserve">from approximately $5M (moderate_interior anchor) to $30M</w:t>
      </w:r>
      <w:r>
        <w:t xml:space="preserve"> </w:t>
      </w:r>
      <w:r>
        <w:t xml:space="preserve">(optimistic_base anchor) — approximately 11-47% relative profit</w:t>
      </w:r>
      <w:r>
        <w:t xml:space="preserve"> </w:t>
      </w:r>
      <w:r>
        <w:t xml:space="preserve">gain across the optimistic-to-moderate-interior anchors, depending</w:t>
      </w:r>
      <w:r>
        <w:t xml:space="preserve"> </w:t>
      </w:r>
      <w:r>
        <w:t xml:space="preserve">on the cost regime (§4.4, Table 4.6). For institutions whose PD</w:t>
      </w:r>
      <w:r>
        <w:t xml:space="preserve"> </w:t>
      </w:r>
      <w:r>
        <w:t xml:space="preserve">signal is materially weaker (Gini 0.45-0.60), the cut-off gap</w:t>
      </w:r>
      <w:r>
        <w:t xml:space="preserve"> </w:t>
      </w:r>
      <w:r>
        <w:t xml:space="preserve">widens to 20-35 pp (§4.5, Table 4.7). The wider cut-off gap</w:t>
      </w:r>
      <w:r>
        <w:t xml:space="preserve"> </w:t>
      </w:r>
      <w:r>
        <w:t xml:space="preserve">suggests a larger strategic opportunity, although the PART A grid</w:t>
      </w:r>
      <w:r>
        <w:t xml:space="preserve"> </w:t>
      </w:r>
      <w:r>
        <w:t xml:space="preserve">reports approval-rate gaps rather than directly tabulated relative</w:t>
      </w:r>
      <w:r>
        <w:t xml:space="preserve"> </w:t>
      </w:r>
      <w:r>
        <w:t xml:space="preserve">profit uplift. The practical inference is that</w:t>
      </w:r>
      <w:r>
        <w:t xml:space="preserve"> </w:t>
      </w:r>
      <w:r>
        <w:rPr>
          <w:i/>
          <w:iCs/>
        </w:rPr>
        <w:t xml:space="preserve">banks with weaker</w:t>
      </w:r>
      <w:r>
        <w:rPr>
          <w:i/>
          <w:iCs/>
        </w:rPr>
        <w:t xml:space="preserve"> </w:t>
      </w:r>
      <w:r>
        <w:rPr>
          <w:i/>
          <w:iCs/>
        </w:rPr>
        <w:t xml:space="preserve">scoring infrastructure may have proportionally more to gain from</w:t>
      </w:r>
      <w:r>
        <w:rPr>
          <w:i/>
          <w:iCs/>
        </w:rPr>
        <w:t xml:space="preserve"> </w:t>
      </w:r>
      <w:r>
        <w:rPr>
          <w:i/>
          <w:iCs/>
        </w:rPr>
        <w:t xml:space="preserve">adopting profit-driven cut-off selection than banks with stronger</w:t>
      </w:r>
      <w:r>
        <w:rPr>
          <w:i/>
          <w:iCs/>
        </w:rP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— the opposite of what conventional wisdom would suggest.</w:t>
      </w:r>
    </w:p>
    <w:bookmarkEnd w:id="96"/>
    <w:bookmarkStart w:id="97" w:name="Xdbc1f3e6b162799cb219f7abadbef2dd9369dbe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Implication 2 — Operational cost management is critical</w:t>
      </w:r>
    </w:p>
    <w:p>
      <w:pPr>
        <w:pStyle w:val="FirstParagraph"/>
      </w:pPr>
      <w:r>
        <w:t xml:space="preserve">The Phase 4.2 PART B finding (§4.6) — that operating cost = 4%</w:t>
      </w:r>
      <w:r>
        <w:t xml:space="preserve"> </w:t>
      </w:r>
      <w:r>
        <w:t xml:space="preserve">combined with adverse-stress economic conditions tips the framework</w:t>
      </w:r>
      <w:r>
        <w:t xml:space="preserve"> </w:t>
      </w:r>
      <w:r>
        <w:t xml:space="preserve">into the reject-most regime — implies that operational cost</w:t>
      </w:r>
      <w:r>
        <w:t xml:space="preserve"> </w:t>
      </w:r>
      <w:r>
        <w:t xml:space="preserve">discipline is a precondition for the framework’s continued positive</w:t>
      </w:r>
      <w:r>
        <w:t xml:space="preserve"> </w:t>
      </w:r>
      <w:r>
        <w:t xml:space="preserve">guidance. In the tested scenario space, the framework remains in</w:t>
      </w:r>
      <w:r>
        <w:t xml:space="preserve"> </w:t>
      </w:r>
      <w:r>
        <w:t xml:space="preserve">the interior or approve-all classification at op_cost ≤ 2% across</w:t>
      </w:r>
      <w:r>
        <w:t xml:space="preserve"> </w:t>
      </w:r>
      <w:r>
        <w:t xml:space="preserve">all anchor scenarios; at op_cost = 4% it remains interior for the</w:t>
      </w:r>
      <w:r>
        <w:t xml:space="preserve"> </w:t>
      </w:r>
      <w:r>
        <w:t xml:space="preserve">realistic and moderate anchors but collapses to reject-most for the</w:t>
      </w:r>
      <w:r>
        <w:t xml:space="preserve"> </w:t>
      </w:r>
      <w:r>
        <w:t xml:space="preserve">adverse_stress anchor. The implication is that institutions</w:t>
      </w:r>
      <w:r>
        <w:t xml:space="preserve"> </w:t>
      </w:r>
      <w:r>
        <w:t xml:space="preserve">operating with op_cost above approximately 2% should expect the</w:t>
      </w:r>
      <w:r>
        <w:t xml:space="preserve"> </w:t>
      </w:r>
      <w:r>
        <w:t xml:space="preserve">profit-driven cut-off to recommend</w:t>
      </w:r>
      <w:r>
        <w:t xml:space="preserve"> </w:t>
      </w:r>
      <w:r>
        <w:rPr>
          <w:i/>
          <w:iCs/>
        </w:rPr>
        <w:t xml:space="preserve">materially tighter</w:t>
      </w:r>
      <w:r>
        <w:t xml:space="preserve"> </w:t>
      </w:r>
      <w:r>
        <w:t xml:space="preserve">approval</w:t>
      </w:r>
      <w:r>
        <w:t xml:space="preserve"> </w:t>
      </w:r>
      <w:r>
        <w:t xml:space="preserve">than at lower op_cost levels, and at op_cost approaching 4% may face</w:t>
      </w:r>
      <w:r>
        <w:t xml:space="preserve"> </w:t>
      </w:r>
      <w:r>
        <w:t xml:space="preserve">a regime in which most accounts are loss-making after operating</w:t>
      </w:r>
      <w:r>
        <w:t xml:space="preserve"> </w:t>
      </w:r>
      <w:r>
        <w:t xml:space="preserve">expense — at which point the framework correctly recommends</w:t>
      </w:r>
      <w:r>
        <w:t xml:space="preserve"> </w:t>
      </w:r>
      <w:r>
        <w:t xml:space="preserve">near-rejection.</w:t>
      </w:r>
    </w:p>
    <w:bookmarkEnd w:id="97"/>
    <w:bookmarkStart w:id="98" w:name="Xd270467833135a912b936a6269d7ba47470d156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Implication 3 — APR pricing strategy is the second-most important driver</w:t>
      </w:r>
    </w:p>
    <w:p>
      <w:pPr>
        <w:pStyle w:val="FirstParagraph"/>
      </w:pPr>
      <w:r>
        <w:t xml:space="preserve">The Phase 3.2 driver hierarchy (§4.3, Table 4.5, Figure 9) ranked</w:t>
      </w:r>
      <w:r>
        <w:t xml:space="preserve"> </w:t>
      </w:r>
      <w:r>
        <w:t xml:space="preserve">APR strategy second only to PD multiplier in influence on the</w:t>
      </w:r>
      <w:r>
        <w:t xml:space="preserve"> </w:t>
      </w:r>
      <w:r>
        <w:t xml:space="preserve">profit-optimal cut-off, with a 2.32 pp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across the</w:t>
      </w:r>
      <w:r>
        <w:t xml:space="preserve"> </w:t>
      </w:r>
      <w:r>
        <w:t xml:space="preserve">tested APR strategies (tiered_uncapped, tiered_cap_24, flat_18,</w:t>
      </w:r>
      <w:r>
        <w:t xml:space="preserve"> </w:t>
      </w:r>
      <w:r>
        <w:t xml:space="preserve">flat_24). The implication is that the choice of pricing scheme — in</w:t>
      </w:r>
      <w:r>
        <w:t xml:space="preserve"> </w:t>
      </w:r>
      <w:r>
        <w:t xml:space="preserve">particular, whether the institution prices risk through tiered APR or</w:t>
      </w:r>
      <w:r>
        <w:t xml:space="preserve"> </w:t>
      </w:r>
      <w:r>
        <w:t xml:space="preserve">applies a flat APR across the portfolio — has measurable consequences</w:t>
      </w:r>
      <w:r>
        <w:t xml:space="preserve"> </w:t>
      </w:r>
      <w:r>
        <w:t xml:space="preserve">for the cut-off optimum. Within the tested scenario space, tiered</w:t>
      </w:r>
      <w:r>
        <w:t xml:space="preserve"> </w:t>
      </w:r>
      <w:r>
        <w:t xml:space="preserve">risk-priced APR generates higher portfolio profit than flat pricing</w:t>
      </w:r>
      <w:r>
        <w:t xml:space="preserve"> </w:t>
      </w:r>
      <w:r>
        <w:t xml:space="preserve">at comparable nominal APR levels because the tiered scheme charges</w:t>
      </w:r>
      <w:r>
        <w:t xml:space="preserve"> </w:t>
      </w:r>
      <w:r>
        <w:t xml:space="preserve">higher APR on higher-PD borrowers. This finding is directionally</w:t>
      </w:r>
      <w:r>
        <w:t xml:space="preserve"> </w:t>
      </w:r>
      <w:r>
        <w:t xml:space="preserve">consistent with conventional risk-based pricing literature [TODO:</w:t>
      </w:r>
      <w:r>
        <w:t xml:space="preserve"> </w:t>
      </w:r>
      <w:r>
        <w:t xml:space="preserve">cite risk-based pricing literature, e.g., Edelberg 2006 or</w:t>
      </w:r>
      <w:r>
        <w:t xml:space="preserve"> </w:t>
      </w:r>
      <w:r>
        <w:t xml:space="preserve">Phillips 2018] but is here quantified within the thesis’s</w:t>
      </w:r>
      <w:r>
        <w:t xml:space="preserve"> </w:t>
      </w:r>
      <w:r>
        <w:t xml:space="preserve">synthetic-data and locked-formula context rather than across a real</w:t>
      </w:r>
      <w:r>
        <w:t xml:space="preserve"> </w:t>
      </w:r>
      <w:r>
        <w:t xml:space="preserve">market.</w:t>
      </w:r>
    </w:p>
    <w:bookmarkEnd w:id="98"/>
    <w:bookmarkStart w:id="99" w:name="Xdab6c57f5a0660d79d0c230863b60bf97f3d1e7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Implication 4 — These implications are conditioned, not market-validated</w:t>
      </w:r>
    </w:p>
    <w:p>
      <w:pPr>
        <w:pStyle w:val="FirstParagraph"/>
      </w:pPr>
      <w:r>
        <w:t xml:space="preserve">The implications above are derived strictly</w:t>
      </w:r>
      <w:r>
        <w:t xml:space="preserve"> </w:t>
      </w:r>
      <w:r>
        <w:rPr>
          <w:i/>
          <w:iCs/>
        </w:rPr>
        <w:t xml:space="preserve">within the tested</w:t>
      </w:r>
      <w:r>
        <w:rPr>
          <w:i/>
          <w:iCs/>
        </w:rPr>
        <w:t xml:space="preserve"> </w:t>
      </w:r>
      <w:r>
        <w:rPr>
          <w:i/>
          <w:iCs/>
        </w:rPr>
        <w:t xml:space="preserve">scenario space</w:t>
      </w:r>
      <w:r>
        <w:t xml:space="preserve"> </w:t>
      </w:r>
      <w:r>
        <w:t xml:space="preserve">— the locked APR tier table (Section 3.4), the</w:t>
      </w:r>
      <w:r>
        <w:t xml:space="preserve"> </w:t>
      </w:r>
      <w:r>
        <w:t xml:space="preserve">exogenous LGD assumption of 0.65 base with sensitivity grid</w:t>
      </w:r>
      <w:r>
        <w:t xml:space="preserve"> </w:t>
      </w:r>
      <w:r>
        <w:t xml:space="preserve">{0.45, 0.55, 0.65, 0.75, 0.85}, the constant-hazard extrapolation</w:t>
      </w:r>
      <w:r>
        <w:t xml:space="preserve"> </w:t>
      </w:r>
      <w:r>
        <w:t xml:space="preserve">from PD₁₂ₘ to lifetime horizon (§3.4), the single simulator seed,</w:t>
      </w:r>
      <w:r>
        <w:t xml:space="preserve"> </w:t>
      </w:r>
      <w:r>
        <w:t xml:space="preserve">and the synthetic-data origin of every input. None of the</w:t>
      </w:r>
      <w:r>
        <w:t xml:space="preserve"> </w:t>
      </w:r>
      <w:r>
        <w:t xml:space="preserve">implications are statements about real market behaviour. The thesis</w:t>
      </w:r>
      <w:r>
        <w:t xml:space="preserve"> </w:t>
      </w:r>
      <w:r>
        <w:t xml:space="preserve">does not claim that profit-driven cut-off selection will produce a</w:t>
      </w:r>
      <w:r>
        <w:t xml:space="preserve"> </w:t>
      </w:r>
      <w:r>
        <w:t xml:space="preserve">30% dollar uplift in any real bank’s loan book; it claims that</w:t>
      </w:r>
      <w:r>
        <w:t xml:space="preserve"> </w:t>
      </w:r>
      <w:r>
        <w:t xml:space="preserve">within the tested scenario space, on a synthetic portfolio of</w:t>
      </w:r>
      <w:r>
        <w:t xml:space="preserve"> </w:t>
      </w:r>
      <w:r>
        <w:t xml:space="preserve">235,968 loans, the dollar uplift falls within a quantified range</w:t>
      </w:r>
      <w:r>
        <w:t xml:space="preserve"> </w:t>
      </w:r>
      <w:r>
        <w:t xml:space="preserve">with quantified per-anchor confidence intervals.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comparison-with-existing-literatur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 Comparison with Existing Literature</w:t>
      </w:r>
    </w:p>
    <w:p>
      <w:pPr>
        <w:pStyle w:val="FirstParagraph"/>
      </w:pPr>
      <w:r>
        <w:t xml:space="preserve">The thesis contributes to four overlapping bodies of literature:</w:t>
      </w:r>
      <w:r>
        <w:t xml:space="preserve"> </w:t>
      </w:r>
      <w:r>
        <w:t xml:space="preserve">(i) profit-driven cut-off selection in credit scoring, (ii) lifetime</w:t>
      </w:r>
      <w:r>
        <w:t xml:space="preserve"> </w:t>
      </w:r>
      <w:r>
        <w:t xml:space="preserve">expected loss measurement and IFRS 9 staging, (iii) stress testing</w:t>
      </w:r>
      <w:r>
        <w:t xml:space="preserve"> </w:t>
      </w:r>
      <w:r>
        <w:t xml:space="preserve">methodology in retail credit, and (iv) the use of synthetic data for</w:t>
      </w:r>
      <w:r>
        <w:t xml:space="preserve"> </w:t>
      </w:r>
      <w:r>
        <w:t xml:space="preserve">methodological research. This section locates the work in each.</w:t>
      </w:r>
    </w:p>
    <w:bookmarkStart w:id="101" w:name="X9be34dfeee9c83c340c591b3adba509548ea087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Confirmation of established profit-cut-off literature</w:t>
      </w:r>
    </w:p>
    <w:p>
      <w:pPr>
        <w:pStyle w:val="FirstParagraph"/>
      </w:pPr>
      <w:r>
        <w:t xml:space="preserve">The core idea that profit-driven cut-off selection can outperform</w:t>
      </w:r>
      <w:r>
        <w:t xml:space="preserve"> </w:t>
      </w:r>
      <w:r>
        <w:t xml:space="preserve">discrimination-driven selection is not original to this thesis. Mays</w:t>
      </w:r>
      <w:r>
        <w:t xml:space="preserve"> </w:t>
      </w:r>
      <w:r>
        <w:t xml:space="preserve">(2004) [TODO: cite Mays</w:t>
      </w:r>
      <w:r>
        <w:t xml:space="preserve"> </w:t>
      </w:r>
      <w:r>
        <w:t xml:space="preserve">“Credit Scoring for Risk Managers”</w:t>
      </w:r>
      <w:r>
        <w:t xml:space="preserve">] and</w:t>
      </w:r>
      <w:r>
        <w:t xml:space="preserve"> </w:t>
      </w:r>
      <w:r>
        <w:t xml:space="preserve">Anderson (2007) [TODO: cite Anderson</w:t>
      </w:r>
      <w:r>
        <w:t xml:space="preserve"> </w:t>
      </w:r>
      <w:r>
        <w:t xml:space="preserve">“The Credit Scoring Toolkit”</w:t>
      </w:r>
      <w:r>
        <w:t xml:space="preserve">]</w:t>
      </w:r>
      <w:r>
        <w:t xml:space="preserve"> </w:t>
      </w:r>
      <w:r>
        <w:t xml:space="preserve">both treat profit curves as a primary scorecard-validation tool, and</w:t>
      </w:r>
      <w:r>
        <w:t xml:space="preserve"> </w:t>
      </w:r>
      <w:r>
        <w:t xml:space="preserve">Siddiqi (2017) [TODO: cite Siddiqi</w:t>
      </w:r>
      <w:r>
        <w:t xml:space="preserve"> </w:t>
      </w:r>
      <w:r>
        <w:t xml:space="preserve">“Intelligent Credit Scoring”</w:t>
      </w:r>
      <w:r>
        <w:t xml:space="preserve">]</w:t>
      </w:r>
      <w:r>
        <w:t xml:space="preserve"> </w:t>
      </w:r>
      <w:r>
        <w:t xml:space="preserve">explicitly recommends profit-based cut-off selection for risk-priced</w:t>
      </w:r>
      <w:r>
        <w:t xml:space="preserve"> </w:t>
      </w:r>
      <w:r>
        <w:t xml:space="preserve">lending portfolios. The empirical evidence in Chapter 4 confirms</w:t>
      </w:r>
      <w:r>
        <w:t xml:space="preserve"> </w:t>
      </w:r>
      <w:r>
        <w:t xml:space="preserve">their guidance — that profit-driven cut-offs outperform</w:t>
      </w:r>
      <w:r>
        <w:t xml:space="preserve"> </w:t>
      </w:r>
      <w:r>
        <w:t xml:space="preserve">discrimination-driven cut-offs in dollar terms — within the</w:t>
      </w:r>
      <w:r>
        <w:t xml:space="preserve"> </w:t>
      </w:r>
      <w:r>
        <w:t xml:space="preserve">synthetic-data scenario space tested here. The thesis’s contribution</w:t>
      </w:r>
      <w:r>
        <w:t xml:space="preserve"> </w:t>
      </w:r>
      <w:r>
        <w:t xml:space="preserve">to this strand of literature is not to overturn the existing</w:t>
      </w:r>
      <w:r>
        <w:t xml:space="preserve"> </w:t>
      </w:r>
      <w:r>
        <w:t xml:space="preserve">guidance but to</w:t>
      </w:r>
      <w:r>
        <w:t xml:space="preserve"> </w:t>
      </w:r>
      <w:r>
        <w:rPr>
          <w:i/>
          <w:iCs/>
        </w:rPr>
        <w:t xml:space="preserve">quantify</w:t>
      </w:r>
      <w:r>
        <w:t xml:space="preserve"> </w:t>
      </w:r>
      <w:r>
        <w:t xml:space="preserve">it under controlled stress: the</w:t>
      </w:r>
      <w:r>
        <w:t xml:space="preserve"> </w:t>
      </w:r>
      <w:r>
        <w:t xml:space="preserve">4,000-bootstrap × 4-anchor × 64-stress-cell evidence constitutes a</w:t>
      </w:r>
      <w:r>
        <w:t xml:space="preserve"> </w:t>
      </w:r>
      <w:r>
        <w:t xml:space="preserve">substantially larger empirical base for the profit-cut-off claim</w:t>
      </w:r>
      <w:r>
        <w:t xml:space="preserve"> </w:t>
      </w:r>
      <w:r>
        <w:t xml:space="preserve">than is typically reported in the textbook literature, where</w:t>
      </w:r>
      <w:r>
        <w:t xml:space="preserve"> </w:t>
      </w:r>
      <w:r>
        <w:t xml:space="preserve">illustrative single-cell or single-curve examples are the norm.</w:t>
      </w:r>
    </w:p>
    <w:bookmarkEnd w:id="101"/>
    <w:bookmarkStart w:id="102" w:name="extension-tenor-aware-lifetime-framework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Extension: tenor-aware lifetime framework</w:t>
      </w:r>
    </w:p>
    <w:p>
      <w:pPr>
        <w:pStyle w:val="FirstParagraph"/>
      </w:pPr>
      <w:r>
        <w:t xml:space="preserve">Most published profit-cut-off analyses use single-period profit</w:t>
      </w:r>
      <w:r>
        <w:t xml:space="preserve"> </w:t>
      </w:r>
      <w:r>
        <w:t xml:space="preserve">formulas (revenue from one period of interest minus expected loss</w:t>
      </w:r>
      <w:r>
        <w:t xml:space="preserve"> </w:t>
      </w:r>
      <w:r>
        <w:t xml:space="preserve">in that period). The thesis adopts a tenor-aware Lifetime Net</w:t>
      </w:r>
      <w:r>
        <w:t xml:space="preserve"> </w:t>
      </w:r>
      <w:r>
        <w:t xml:space="preserve">Margin formula (§3.4) that survival-weights revenue and expected</w:t>
      </w:r>
      <w:r>
        <w:t xml:space="preserve"> </w:t>
      </w:r>
      <w:r>
        <w:t xml:space="preserve">loss over the full amortization schedule; the comparison against</w:t>
      </w:r>
      <w:r>
        <w:t xml:space="preserve"> </w:t>
      </w:r>
      <w:r>
        <w:t xml:space="preserve">the ASB single-period benchmark (§4.2) demonstrates a structural</w:t>
      </w:r>
      <w:r>
        <w:t xml:space="preserve"> </w:t>
      </w:r>
      <w:r>
        <w:t xml:space="preserve">~40% understatement on 36-month loans. The implication for the</w:t>
      </w:r>
      <w:r>
        <w:t xml:space="preserve"> </w:t>
      </w:r>
      <w:r>
        <w:t xml:space="preserve">literature is that single-period analyses systematically</w:t>
      </w:r>
      <w:r>
        <w:t xml:space="preserve"> </w:t>
      </w:r>
      <w:r>
        <w:t xml:space="preserve">under-weight longer-tenor portfolios in cut-off optimisation, and</w:t>
      </w:r>
      <w:r>
        <w:t xml:space="preserve"> </w:t>
      </w:r>
      <w:r>
        <w:t xml:space="preserve">that a tenor-aware extension is necessary for any framework whose</w:t>
      </w:r>
      <w:r>
        <w:t xml:space="preserve"> </w:t>
      </w:r>
      <w:r>
        <w:t xml:space="preserve">target portfolio mixes short-term and longer-term unsecured</w:t>
      </w:r>
      <w:r>
        <w:t xml:space="preserve"> </w:t>
      </w:r>
      <w:r>
        <w:t xml:space="preserve">credit. The locked formulas in</w:t>
      </w:r>
      <w:r>
        <w:t xml:space="preserve"> </w:t>
      </w:r>
      <w:r>
        <w:rPr>
          <w:rStyle w:val="VerbatimChar"/>
        </w:rPr>
        <w:t xml:space="preserve">phase3_formula_lock.md</w:t>
      </w:r>
      <w:r>
        <w:t xml:space="preserve"> </w:t>
      </w:r>
      <w:r>
        <w:t xml:space="preserve">provide a</w:t>
      </w:r>
      <w:r>
        <w:t xml:space="preserve"> </w:t>
      </w:r>
      <w:r>
        <w:t xml:space="preserve">reference implementation against which future tenor-aware studies</w:t>
      </w:r>
      <w:r>
        <w:t xml:space="preserve"> </w:t>
      </w:r>
      <w:r>
        <w:t xml:space="preserve">can compare.</w:t>
      </w:r>
    </w:p>
    <w:p>
      <w:pPr>
        <w:pStyle w:val="BodyText"/>
      </w:pPr>
      <w:r>
        <w:t xml:space="preserve">This extension is also a contribution to the IFRS 9 lifetime</w:t>
      </w:r>
      <w:r>
        <w:t xml:space="preserve"> </w:t>
      </w:r>
      <w:r>
        <w:t xml:space="preserve">expected loss literature [TODO: cite IFRS 9 ECL literature, e.g.,</w:t>
      </w:r>
      <w:r>
        <w:t xml:space="preserve"> </w:t>
      </w:r>
      <w:r>
        <w:t xml:space="preserve">Beerbaum 2015 or Krüger et al. 2018]. The Lifetime Expected Loss</w:t>
      </w:r>
      <w:r>
        <w:t xml:space="preserve"> </w:t>
      </w:r>
      <w:r>
        <w:t xml:space="preserve">formula used in the thesis is structurally compatible with</w:t>
      </w:r>
      <w:r>
        <w:t xml:space="preserve"> </w:t>
      </w:r>
      <w:r>
        <w:t xml:space="preserve">Stage 2/3 ECL calculations under IFRS 9 —</w:t>
      </w:r>
      <w:r>
        <w:t xml:space="preserve"> </w:t>
      </w:r>
      <w:r>
        <w:rPr>
          <w:rStyle w:val="VerbatimChar"/>
        </w:rPr>
        <w:t xml:space="preserve">LT_EL = Σ_t marginal_PD_t · LGD · EAD_t · discount_t</w:t>
      </w:r>
      <w:r>
        <w:t xml:space="preserve"> </w:t>
      </w:r>
      <w:r>
        <w:t xml:space="preserve">is the standard IFRS 9 form — although</w:t>
      </w:r>
      <w:r>
        <w:t xml:space="preserve"> </w:t>
      </w:r>
      <w:r>
        <w:t xml:space="preserve">the thesis applies it to</w:t>
      </w:r>
      <w:r>
        <w:t xml:space="preserve"> </w:t>
      </w:r>
      <w:r>
        <w:rPr>
          <w:i/>
          <w:iCs/>
        </w:rPr>
        <w:t xml:space="preserve">cut-off optimisation</w:t>
      </w:r>
      <w:r>
        <w:t xml:space="preserve"> </w:t>
      </w:r>
      <w:r>
        <w:t xml:space="preserve">rather than to</w:t>
      </w:r>
      <w:r>
        <w:t xml:space="preserve"> </w:t>
      </w:r>
      <w:r>
        <w:t xml:space="preserve">provisioning. The unification of the two uses is itself a small</w:t>
      </w:r>
      <w:r>
        <w:t xml:space="preserve"> </w:t>
      </w:r>
      <w:r>
        <w:t xml:space="preserve">methodological contribution: the same formula stack supports both</w:t>
      </w:r>
      <w:r>
        <w:t xml:space="preserve"> </w:t>
      </w:r>
      <w:r>
        <w:t xml:space="preserve">loss provisioning and approval decision-making, and the locked</w:t>
      </w:r>
      <w:r>
        <w:t xml:space="preserve"> </w:t>
      </w:r>
      <w:r>
        <w:t xml:space="preserve">implementation in</w:t>
      </w:r>
      <w:r>
        <w:t xml:space="preserve"> </w:t>
      </w:r>
      <w:r>
        <w:rPr>
          <w:rStyle w:val="VerbatimChar"/>
        </w:rPr>
        <w:t xml:space="preserve">src/economics.py</w:t>
      </w:r>
      <w:r>
        <w:t xml:space="preserve"> </w:t>
      </w:r>
      <w:r>
        <w:t xml:space="preserve">is independently unit-tested</w:t>
      </w:r>
      <w:r>
        <w:t xml:space="preserve"> </w:t>
      </w:r>
      <w:r>
        <w:t xml:space="preserve">(nine identity and monotonicity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).</w:t>
      </w:r>
    </w:p>
    <w:bookmarkEnd w:id="102"/>
    <w:bookmarkStart w:id="103" w:name="X332a7203f4c10ff177a6c4a2385772c196be057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Extension: multi-dimensional stress testing</w:t>
      </w:r>
    </w:p>
    <w:p>
      <w:pPr>
        <w:pStyle w:val="FirstParagraph"/>
      </w:pPr>
      <w:r>
        <w:t xml:space="preserve">The bulk of published stress-testing analyses for retail credit</w:t>
      </w:r>
      <w:r>
        <w:t xml:space="preserve"> </w:t>
      </w:r>
      <w:r>
        <w:t xml:space="preserve">profit frameworks vary one or two parameters at a time</w:t>
      </w:r>
      <w:r>
        <w:t xml:space="preserve"> </w:t>
      </w:r>
      <w:r>
        <w:t xml:space="preserve">[TODO: cite single-axis sensitivity examples, e.g., Bellotti &amp;</w:t>
      </w:r>
      <w:r>
        <w:t xml:space="preserve"> </w:t>
      </w:r>
      <w:r>
        <w:t xml:space="preserve">Crook 2009 or Verbraken et al. 2014]. The thesis instead constructs</w:t>
      </w:r>
      <w:r>
        <w:t xml:space="preserve"> </w:t>
      </w:r>
      <w:r>
        <w:t xml:space="preserve">a 576-cell economic stress grid (§4.3) crossing five dimensions,</w:t>
      </w:r>
      <w:r>
        <w:t xml:space="preserve"> </w:t>
      </w:r>
      <w:r>
        <w:t xml:space="preserve">plus a 16-cell PD-quality grid (§4.5) and a 12-cell op_cost grid</w:t>
      </w:r>
      <w:r>
        <w:t xml:space="preserve"> </w:t>
      </w:r>
      <w:r>
        <w:t xml:space="preserve">(§4.6) and a 36-cell combined grid (§4.7) — a total of 64 stress</w:t>
      </w:r>
      <w:r>
        <w:t xml:space="preserve"> </w:t>
      </w:r>
      <w:r>
        <w:t xml:space="preserve">cells beyond the 576-cell economic grid, all evaluated on the same</w:t>
      </w:r>
      <w:r>
        <w:t xml:space="preserve"> </w:t>
      </w:r>
      <w:r>
        <w:t xml:space="preserve">locked formulas and the same OOT subset. The implication is that</w:t>
      </w:r>
      <w:r>
        <w:t xml:space="preserve"> </w:t>
      </w:r>
      <w:r>
        <w:t xml:space="preserve">single-axis sensitivity is insufficient for characterising the</w:t>
      </w:r>
      <w:r>
        <w:t xml:space="preserve"> </w:t>
      </w:r>
      <w:r>
        <w:t xml:space="preserve">robustness of a cut-off framework: the only reject-most regime in</w:t>
      </w:r>
      <w:r>
        <w:t xml:space="preserve"> </w:t>
      </w:r>
      <w:r>
        <w:t xml:space="preserve">the entire 64-cell space appears at the</w:t>
      </w:r>
      <w:r>
        <w:t xml:space="preserve"> </w:t>
      </w:r>
      <w:r>
        <w:rPr>
          <w:i/>
          <w:iCs/>
        </w:rPr>
        <w:t xml:space="preserve">simultaneous</w:t>
      </w:r>
      <w:r>
        <w:t xml:space="preserve"> </w:t>
      </w:r>
      <w:r>
        <w:t xml:space="preserve">extreme of</w:t>
      </w:r>
      <w:r>
        <w:t xml:space="preserve"> </w:t>
      </w:r>
      <w:r>
        <w:t xml:space="preserve">six dimensions, an outcome no single-axis study would have</w:t>
      </w:r>
      <w:r>
        <w:t xml:space="preserve"> </w:t>
      </w:r>
      <w:r>
        <w:t xml:space="preserve">detected. The multi-dimensional stress design is therefore</w:t>
      </w:r>
      <w:r>
        <w:t xml:space="preserve"> </w:t>
      </w:r>
      <w:r>
        <w:t xml:space="preserve">proposed here as a methodology contribution in its own right.</w:t>
      </w:r>
    </w:p>
    <w:bookmarkEnd w:id="103"/>
    <w:bookmarkStart w:id="104" w:name="X4a4b3ae5b3d6ccf560b246f6ae51645a63b2fc5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Novel contribution: the PD-quality inversion finding</w:t>
      </w:r>
    </w:p>
    <w:p>
      <w:pPr>
        <w:pStyle w:val="FirstParagraph"/>
      </w:pPr>
      <w:r>
        <w:t xml:space="preserve">The most novel methodological contribution of the thesis is the</w:t>
      </w:r>
      <w:r>
        <w:t xml:space="preserve"> </w:t>
      </w:r>
      <w:r>
        <w:t xml:space="preserve">PD-quality inversion documented in §4.5 and Finding 2 above. To</w:t>
      </w:r>
      <w:r>
        <w:t xml:space="preserve"> </w:t>
      </w:r>
      <w:r>
        <w:t xml:space="preserve">the author’s knowledge, no published study in the profit-driven</w:t>
      </w:r>
      <w:r>
        <w:t xml:space="preserve"> </w:t>
      </w:r>
      <w:r>
        <w:t xml:space="preserve">credit scoring literature has explicitly reported that the value</w:t>
      </w:r>
      <w:r>
        <w:t xml:space="preserve"> </w:t>
      </w:r>
      <w:r>
        <w:t xml:space="preserve">of a profit-anchored cut-off relative to a discrimination-anchored</w:t>
      </w:r>
      <w:r>
        <w:t xml:space="preserve"> </w:t>
      </w:r>
      <w:r>
        <w:t xml:space="preserve">cut-off</w:t>
      </w:r>
      <w:r>
        <w:t xml:space="preserve"> </w:t>
      </w:r>
      <w:r>
        <w:rPr>
          <w:i/>
          <w:iCs/>
        </w:rPr>
        <w:t xml:space="preserve">grows</w:t>
      </w:r>
      <w:r>
        <w:t xml:space="preserve"> </w:t>
      </w:r>
      <w:r>
        <w:t xml:space="preserve">as the PD signal weakens. The mechanism — Youden’s</w:t>
      </w:r>
      <w:r>
        <w:t xml:space="preserve"> </w:t>
      </w:r>
      <w:r>
        <w:t xml:space="preserve">J becoming inward-conservative as the ROC flattens, while the</w:t>
      </w:r>
      <w:r>
        <w:t xml:space="preserve"> </w:t>
      </w:r>
      <w:r>
        <w:t xml:space="preserve">profit-optimal cut-off remains anchored to economics — is</w:t>
      </w:r>
      <w:r>
        <w:t xml:space="preserve"> </w:t>
      </w:r>
      <w:r>
        <w:t xml:space="preserve">straightforward when stated, but it inverts an implicit</w:t>
      </w:r>
      <w:r>
        <w:t xml:space="preserve"> </w:t>
      </w:r>
      <w:r>
        <w:t xml:space="preserve">assumption (that better PD models are needed to derive value from</w:t>
      </w:r>
      <w:r>
        <w:t xml:space="preserve"> </w:t>
      </w:r>
      <w:r>
        <w:t xml:space="preserve">profit-driven optimisation) that pervades practical credit risk</w:t>
      </w:r>
      <w:r>
        <w:t xml:space="preserve"> </w:t>
      </w:r>
      <w:r>
        <w:t xml:space="preserve">discussions. The implication for institutions with weaker scoring</w:t>
      </w:r>
      <w:r>
        <w:t xml:space="preserve"> </w:t>
      </w:r>
      <w:r>
        <w:t xml:space="preserve">infrastructure is that they may have proportionally more to gain</w:t>
      </w:r>
      <w:r>
        <w:t xml:space="preserve"> </w:t>
      </w:r>
      <w:r>
        <w:t xml:space="preserve">from adopting profit-driven cut-off selection than institutions</w:t>
      </w:r>
      <w:r>
        <w:t xml:space="preserve"> </w:t>
      </w:r>
      <w:r>
        <w:t xml:space="preserve">with stronger scoring, not less. Within the tested scenario space,</w:t>
      </w:r>
      <w:r>
        <w:t xml:space="preserve"> </w:t>
      </w:r>
      <w:r>
        <w:t xml:space="preserve">this finding is robust across the four anchor scenarios and across</w:t>
      </w:r>
      <w:r>
        <w:t xml:space="preserve"> </w:t>
      </w:r>
      <w:r>
        <w:t xml:space="preserve">all 16 cells of the PD-quality stress sub-grid, with the</w:t>
      </w:r>
      <w:r>
        <w:t xml:space="preserve"> </w:t>
      </w:r>
      <w:r>
        <w:t xml:space="preserve">point-estimate uplift positive in every tested cell (no</w:t>
      </w:r>
      <w:r>
        <w:t xml:space="preserve"> </w:t>
      </w:r>
      <w:r>
        <w:t xml:space="preserve">per-stress-cell CI was computed; the bootstrap CIs of §4.4 cover</w:t>
      </w:r>
      <w:r>
        <w:t xml:space="preserve"> </w:t>
      </w:r>
      <w:r>
        <w:t xml:space="preserve">the four anchor scenarios but not the individual PART A cells).</w:t>
      </w:r>
      <w:r>
        <w:t xml:space="preserve"> </w:t>
      </w:r>
      <w:r>
        <w:t xml:space="preserve">The qualifier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 </w:t>
      </w:r>
      <w:r>
        <w:t xml:space="preserve">matters: the</w:t>
      </w:r>
      <w:r>
        <w:t xml:space="preserve"> </w:t>
      </w:r>
      <w:r>
        <w:t xml:space="preserve">finding has not been demonstrated on</w:t>
      </w:r>
      <w:r>
        <w:t xml:space="preserve"> </w:t>
      </w:r>
      <w:r>
        <w:t xml:space="preserve">real-data, on alternative simulator configurations, or with</w:t>
      </w:r>
      <w:r>
        <w:t xml:space="preserve"> </w:t>
      </w:r>
      <w:r>
        <w:t xml:space="preserve">alternative PD-perturbation methodologies, and the future-work</w:t>
      </w:r>
      <w:r>
        <w:t xml:space="preserve"> </w:t>
      </w:r>
      <w:r>
        <w:t xml:space="preserve">section identifies these as priority replication targets.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methodological-positioning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5.4 Methodological Positioning</w:t>
      </w:r>
    </w:p>
    <w:p>
      <w:pPr>
        <w:pStyle w:val="FirstParagraph"/>
      </w:pPr>
      <w:r>
        <w:t xml:space="preserve">This section reflects on four methodological choices that shape the</w:t>
      </w:r>
      <w:r>
        <w:t xml:space="preserve"> </w:t>
      </w:r>
      <w:r>
        <w:t xml:space="preserve">thesis’s contribution: the use of synthetic data, the</w:t>
      </w:r>
      <w:r>
        <w:t xml:space="preserve"> </w:t>
      </w:r>
      <w:r>
        <w:t xml:space="preserve">multi-dimensional stress design, the bootstrap-versus-assumption</w:t>
      </w:r>
      <w:r>
        <w:t xml:space="preserve"> </w:t>
      </w:r>
      <w:r>
        <w:t xml:space="preserve">discipline, and the use of validation gates throughout the pipeline.</w:t>
      </w:r>
      <w:r>
        <w:t xml:space="preserve"> </w:t>
      </w:r>
      <w:r>
        <w:t xml:space="preserve">Each is presented as a</w:t>
      </w:r>
      <w:r>
        <w:t xml:space="preserve"> </w:t>
      </w:r>
      <w:r>
        <w:rPr>
          <w:i/>
          <w:iCs/>
        </w:rPr>
        <w:t xml:space="preserve">deliberate design choice</w:t>
      </w:r>
      <w:r>
        <w:t xml:space="preserve"> </w:t>
      </w:r>
      <w:r>
        <w:t xml:space="preserve">rather than as a</w:t>
      </w:r>
      <w:r>
        <w:t xml:space="preserve"> </w:t>
      </w:r>
      <w:r>
        <w:t xml:space="preserve">limitation — the limitations are recorded in §5.5 and in Chapter 6.</w:t>
      </w:r>
    </w:p>
    <w:bookmarkStart w:id="106" w:name="synthetic-data-feature-not-bug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Synthetic data: feature, not bug</w:t>
      </w:r>
    </w:p>
    <w:p>
      <w:pPr>
        <w:pStyle w:val="FirstParagraph"/>
      </w:pPr>
      <w:r>
        <w:t xml:space="preserve">The thesis uses output from a single synthetic 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rl-debt-collection</w:t>
      </w:r>
      <w:r>
        <w:t xml:space="preserve">) rather than a real-world public credit</w:t>
      </w:r>
      <w:r>
        <w:t xml:space="preserve"> </w:t>
      </w:r>
      <w:r>
        <w:t xml:space="preserve">dataset. This choice is sometimes treated as a weakness in</w:t>
      </w:r>
      <w:r>
        <w:t xml:space="preserve"> </w:t>
      </w:r>
      <w:r>
        <w:t xml:space="preserve">methodological work; here it is presented as an enabling design</w:t>
      </w:r>
      <w:r>
        <w:t xml:space="preserve"> </w:t>
      </w:r>
      <w:r>
        <w:t xml:space="preserve">choice. Real consumer-credit datasets (Lending Club, Freddie Mac,</w:t>
      </w:r>
      <w:r>
        <w:t xml:space="preserve"> </w:t>
      </w:r>
      <w:r>
        <w:t xml:space="preserve">Bondora, Home Credit) confound the methodological question of</w:t>
      </w:r>
      <w:r>
        <w:t xml:space="preserve"> </w:t>
      </w:r>
      <w:r>
        <w:t xml:space="preserve">profit-driven cut-off selection with data-quality issues</w:t>
      </w:r>
      <w:r>
        <w:t xml:space="preserve"> </w:t>
      </w:r>
      <w:r>
        <w:t xml:space="preserve">(missingness, censoring, reporting lag), regulatory issues</w:t>
      </w:r>
      <w:r>
        <w:t xml:space="preserve"> </w:t>
      </w:r>
      <w:r>
        <w:t xml:space="preserve">(disparate-impact constraints that distort cut-off comparisons),</w:t>
      </w:r>
      <w:r>
        <w:t xml:space="preserve"> </w:t>
      </w:r>
      <w:r>
        <w:t xml:space="preserve">and proprietary-data confounds (sample selection by the originator,</w:t>
      </w:r>
      <w:r>
        <w:t xml:space="preserve"> </w:t>
      </w:r>
      <w:r>
        <w:t xml:space="preserve">risk-based pricing already embedded in the data). A simulator</w:t>
      </w:r>
      <w:r>
        <w:t xml:space="preserve"> </w:t>
      </w:r>
      <w:r>
        <w:t xml:space="preserve">allows the methodology to be tested under known conditions — known</w:t>
      </w:r>
      <w:r>
        <w:t xml:space="preserve"> </w:t>
      </w:r>
      <w:r>
        <w:t xml:space="preserve">APR, known LGD, known PD generation process — so that any observed</w:t>
      </w:r>
      <w:r>
        <w:t xml:space="preserve"> </w:t>
      </w:r>
      <w:r>
        <w:t xml:space="preserve">effect can be attributed to the cut-off framework rather than to</w:t>
      </w:r>
      <w:r>
        <w:t xml:space="preserve"> </w:t>
      </w:r>
      <w:r>
        <w:t xml:space="preserve">omitted confounders. The Future Work direction in §5.6 (and in</w:t>
      </w:r>
      <w:r>
        <w:t xml:space="preserve"> </w:t>
      </w:r>
      <w:r>
        <w:t xml:space="preserve">Chapter 6) of replicating the analysis on real public data is a</w:t>
      </w:r>
      <w:r>
        <w:t xml:space="preserve"> </w:t>
      </w:r>
      <w:r>
        <w:rPr>
          <w:i/>
          <w:iCs/>
        </w:rPr>
        <w:t xml:space="preserve">next step</w:t>
      </w:r>
      <w:r>
        <w:t xml:space="preserve"> </w:t>
      </w:r>
      <w:r>
        <w:t xml:space="preserve">in the research programme, not a substitute for the</w:t>
      </w:r>
      <w:r>
        <w:t xml:space="preserve"> </w:t>
      </w:r>
      <w:r>
        <w:t xml:space="preserve">controlled methodological experiment conducted here.</w:t>
      </w:r>
    </w:p>
    <w:bookmarkEnd w:id="106"/>
    <w:bookmarkStart w:id="107" w:name="multi-dimensional-stress-design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Multi-dimensional stress design</w:t>
      </w:r>
    </w:p>
    <w:p>
      <w:pPr>
        <w:pStyle w:val="FirstParagraph"/>
      </w:pPr>
      <w:r>
        <w:t xml:space="preserve">The thesis’s stress test design covers 64 distinct cells beyond the</w:t>
      </w:r>
      <w:r>
        <w:t xml:space="preserve"> </w:t>
      </w:r>
      <w:r>
        <w:t xml:space="preserve">576-cell economic grid, intentionally probing the joint space of</w:t>
      </w:r>
      <w:r>
        <w:t xml:space="preserve"> </w:t>
      </w:r>
      <w:r>
        <w:t xml:space="preserve">(i) economic assumptions (Phase 3.2), (ii) PD-quality stress</w:t>
      </w:r>
      <w:r>
        <w:t xml:space="preserve"> </w:t>
      </w:r>
      <w:r>
        <w:t xml:space="preserve">(Phase 4.2 PART A), (iii) operating-cost stress (Phase 4.2 PART B),</w:t>
      </w:r>
      <w:r>
        <w:t xml:space="preserve"> </w:t>
      </w:r>
      <w:r>
        <w:t xml:space="preserve">and (iv) the combined PD-quality × operating-cost grid (Phase 4.2</w:t>
      </w:r>
      <w:r>
        <w:t xml:space="preserve"> </w:t>
      </w:r>
      <w:r>
        <w:t xml:space="preserve">PART C). Single-axis sensitivity — varying one parameter while</w:t>
      </w:r>
      <w:r>
        <w:t xml:space="preserve"> </w:t>
      </w:r>
      <w:r>
        <w:t xml:space="preserve">holding all others at default — was deliberately rejected as</w:t>
      </w:r>
      <w:r>
        <w:t xml:space="preserve"> </w:t>
      </w:r>
      <w:r>
        <w:t xml:space="preserve">insufficient because the empirical evidence shows that the</w:t>
      </w:r>
      <w:r>
        <w:t xml:space="preserve"> </w:t>
      </w:r>
      <w:r>
        <w:t xml:space="preserve">framework’s behaviour at extreme conditions (the reject-most</w:t>
      </w:r>
      <w:r>
        <w:t xml:space="preserve"> </w:t>
      </w:r>
      <w:r>
        <w:t xml:space="preserve">regime) appears only at the</w:t>
      </w:r>
      <w:r>
        <w:t xml:space="preserve"> </w:t>
      </w:r>
      <w:r>
        <w:rPr>
          <w:i/>
          <w:iCs/>
        </w:rPr>
        <w:t xml:space="preserve">joint</w:t>
      </w:r>
      <w:r>
        <w:t xml:space="preserve"> </w:t>
      </w:r>
      <w:r>
        <w:t xml:space="preserve">extreme of all six</w:t>
      </w:r>
      <w:r>
        <w:t xml:space="preserve"> </w:t>
      </w:r>
      <w:r>
        <w:t xml:space="preserve">dimensions. A study that reported sensitivity to operating cost</w:t>
      </w:r>
      <w:r>
        <w:t xml:space="preserve"> </w:t>
      </w:r>
      <w:r>
        <w:t xml:space="preserve">alone, holding the other five dimensions at base values, would</w:t>
      </w:r>
      <w:r>
        <w:t xml:space="preserve"> </w:t>
      </w:r>
      <w:r>
        <w:t xml:space="preserve">have missed the reject-most regime entirely. The multi-dimensional</w:t>
      </w:r>
      <w:r>
        <w:t xml:space="preserve"> </w:t>
      </w:r>
      <w:r>
        <w:t xml:space="preserve">design is therefore a precondition for the claim that the</w:t>
      </w:r>
      <w:r>
        <w:t xml:space="preserve"> </w:t>
      </w:r>
      <w:r>
        <w:t xml:space="preserve">framework is adaptive (Finding 3) and for the boundary</w:t>
      </w:r>
      <w:r>
        <w:t xml:space="preserve"> </w:t>
      </w:r>
      <w:r>
        <w:t xml:space="preserve">characterisation that supports the refined thesis claim (§4.7).</w:t>
      </w:r>
    </w:p>
    <w:bookmarkEnd w:id="107"/>
    <w:bookmarkStart w:id="108" w:name="bootstrap-versus-assumption-uncertainty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Bootstrap versus assumption uncertainty</w:t>
      </w:r>
    </w:p>
    <w:p>
      <w:pPr>
        <w:pStyle w:val="FirstParagraph"/>
      </w:pPr>
      <w:r>
        <w:t xml:space="preserve">The Phase 4.1 bootstrap design (§3.6, §4.4) is intentionally narrow</w:t>
      </w:r>
      <w:r>
        <w:t xml:space="preserve"> </w:t>
      </w:r>
      <w:r>
        <w:t xml:space="preserve">in scope: it quantifies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uncertainty within the OOT</w:t>
      </w:r>
      <w:r>
        <w:t xml:space="preserve"> </w:t>
      </w:r>
      <w:r>
        <w:t xml:space="preserve">economics population only. It does not quantify (i) PD model</w:t>
      </w:r>
      <w:r>
        <w:t xml:space="preserve"> </w:t>
      </w:r>
      <w:r>
        <w:t xml:space="preserve">uncertainty across alternative hyperparameters, (ii) calibration</w:t>
      </w:r>
      <w:r>
        <w:t xml:space="preserve"> </w:t>
      </w:r>
      <w:r>
        <w:t xml:space="preserve">drift across cohorts beyond 202706, (iii) APR / LGD /</w:t>
      </w:r>
      <w:r>
        <w:t xml:space="preserve"> </w:t>
      </w:r>
      <w:r>
        <w:t xml:space="preserve">cost-of-funds assumption uncertainty, or (iv) formula choice</w:t>
      </w:r>
      <w:r>
        <w:t xml:space="preserve"> </w:t>
      </w:r>
      <w:r>
        <w:t xml:space="preserve">uncertainty (e.g., constant versus declining hazard). These four</w:t>
      </w:r>
      <w:r>
        <w:t xml:space="preserve"> </w:t>
      </w:r>
      <w:r>
        <w:t xml:space="preserve">omitted uncertainty sources are documented in §3.6 and in the</w:t>
      </w:r>
      <w:r>
        <w:t xml:space="preserve"> </w:t>
      </w:r>
      <w:r>
        <w:t xml:space="preserve">Limitations chapter. The discipline of separating sampling</w:t>
      </w:r>
      <w:r>
        <w:t xml:space="preserve"> </w:t>
      </w:r>
      <w:r>
        <w:t xml:space="preserve">uncertainty from assumption uncertainty allows each to be</w:t>
      </w:r>
      <w:r>
        <w:t xml:space="preserve"> </w:t>
      </w:r>
      <w:r>
        <w:t xml:space="preserve">addressed by a different methodological tool: bootstrap for</w:t>
      </w:r>
      <w:r>
        <w:t xml:space="preserve"> </w:t>
      </w:r>
      <w:r>
        <w:t xml:space="preserve">sampling, multi-dimensional stress grids for assumption ranges,</w:t>
      </w:r>
      <w:r>
        <w:t xml:space="preserve"> </w:t>
      </w:r>
      <w:r>
        <w:t xml:space="preserve">and replication on alternative data / alternative simulator seeds</w:t>
      </w:r>
      <w:r>
        <w:t xml:space="preserve"> </w:t>
      </w:r>
      <w:r>
        <w:t xml:space="preserve">for residual model and data-process uncertainty. Many published</w:t>
      </w:r>
      <w:r>
        <w:t xml:space="preserve"> </w:t>
      </w:r>
      <w:r>
        <w:t xml:space="preserve">profit-cut-off studies conflate these uncertainty sources,</w:t>
      </w:r>
      <w:r>
        <w:t xml:space="preserve"> </w:t>
      </w:r>
      <w:r>
        <w:t xml:space="preserve">typically by reporting a single point estimate with no</w:t>
      </w:r>
      <w:r>
        <w:t xml:space="preserve"> </w:t>
      </w:r>
      <w:r>
        <w:t xml:space="preserve">quantification. The thesis’s separation is a methodology</w:t>
      </w:r>
      <w:r>
        <w:t xml:space="preserve"> </w:t>
      </w:r>
      <w:r>
        <w:t xml:space="preserve">contribution that future work in this area can adopt.</w:t>
      </w:r>
    </w:p>
    <w:bookmarkEnd w:id="108"/>
    <w:bookmarkStart w:id="109" w:name="validation-gates-and-process-discipline"/>
    <w:p>
      <w:pPr>
        <w:pStyle w:val="Heading3"/>
      </w:pPr>
      <w:r>
        <w:rPr>
          <w:rStyle w:val="SectionNumber"/>
        </w:rPr>
        <w:t xml:space="preserve">6.4.4</w:t>
      </w:r>
      <w:r>
        <w:tab/>
      </w:r>
      <w:r>
        <w:t xml:space="preserve">Validation gates and process discipline</w:t>
      </w:r>
    </w:p>
    <w:p>
      <w:pPr>
        <w:pStyle w:val="FirstParagraph"/>
      </w:pPr>
      <w:r>
        <w:t xml:space="preserve">The thesis pipeline incorporates several explicit validation gates</w:t>
      </w:r>
      <w:r>
        <w:t xml:space="preserve"> </w:t>
      </w:r>
      <w:r>
        <w:t xml:space="preserve">that protect against the most common failure modes in this kind</w:t>
      </w:r>
      <w:r>
        <w:t xml:space="preserve"> </w:t>
      </w:r>
      <w:r>
        <w:t xml:space="preserve">of analysis: the F6D negative-control gate (§4.1) detects leakage</w:t>
      </w:r>
      <w:r>
        <w:t xml:space="preserve"> </w:t>
      </w:r>
      <w:r>
        <w:t xml:space="preserve">of pure-noise features into the selection pipeline; the score /</w:t>
      </w:r>
      <w:r>
        <w:t xml:space="preserve"> </w:t>
      </w:r>
      <w:r>
        <w:t xml:space="preserve">scorem exclusion via FINAL_COLS whitelist in</w:t>
      </w:r>
      <w:r>
        <w:t xml:space="preserve"> </w:t>
      </w:r>
      <w:r>
        <w:rPr>
          <w:rStyle w:val="VerbatimChar"/>
        </w:rPr>
        <w:t xml:space="preserve">scripts/build_wide_abt.py</w:t>
      </w:r>
      <w:r>
        <w:t xml:space="preserve"> </w:t>
      </w:r>
      <w:r>
        <w:t xml:space="preserve">prevents the simulator’s</w:t>
      </w:r>
      <w:r>
        <w:t xml:space="preserve"> </w:t>
      </w:r>
      <w:r>
        <w:t xml:space="preserve">near-tautological internal score from contaminating the PD models</w:t>
      </w:r>
      <w:r>
        <w:t xml:space="preserve"> </w:t>
      </w:r>
      <w:r>
        <w:t xml:space="preserve">(§3.2); the leak-free temporal calibration design (§3.3, §4.4)</w:t>
      </w:r>
      <w:r>
        <w:t xml:space="preserve"> </w:t>
      </w:r>
      <w:r>
        <w:t xml:space="preserve">prevents OOT contamination of the Platt scaling; the 12-month loan</w:t>
      </w:r>
      <w:r>
        <w:t xml:space="preserve"> </w:t>
      </w:r>
      <w:r>
        <w:t xml:space="preserve">exclusion (§3.4, §4.2) prevents a structural simulator artefact</w:t>
      </w:r>
      <w:r>
        <w:t xml:space="preserve"> </w:t>
      </w:r>
      <w:r>
        <w:t xml:space="preserve">from corrupting portfolio-level economics; the locked formula</w:t>
      </w:r>
      <w:r>
        <w:t xml:space="preserve"> </w:t>
      </w:r>
      <w:r>
        <w:t xml:space="preserve">contract (</w:t>
      </w:r>
      <w:r>
        <w:rPr>
          <w:rStyle w:val="VerbatimChar"/>
        </w:rPr>
        <w:t xml:space="preserve">phase3_formula_lock.md</w:t>
      </w:r>
      <w:r>
        <w:t xml:space="preserve">, §3.4) prevents formula</w:t>
      </w:r>
      <w:r>
        <w:t xml:space="preserve"> </w:t>
      </w:r>
      <w:r>
        <w:t xml:space="preserve">drift across the analysis chain; the unit tests in</w:t>
      </w:r>
      <w:r>
        <w:t xml:space="preserve"> </w:t>
      </w:r>
      <w:r>
        <w:rPr>
          <w:rStyle w:val="VerbatimChar"/>
        </w:rPr>
        <w:t xml:space="preserve">tests/test_economics.py</w:t>
      </w:r>
      <w:r>
        <w:t xml:space="preserve"> </w:t>
      </w:r>
      <w:r>
        <w:t xml:space="preserve">verify identity and monotonicity</w:t>
      </w:r>
      <w:r>
        <w:t xml:space="preserve"> </w:t>
      </w:r>
      <w:r>
        <w:t xml:space="preserve">properties on the locked formulas (§3.4); and the locked phrasing</w:t>
      </w:r>
      <w:r>
        <w:t xml:space="preserve"> </w:t>
      </w:r>
      <w:r>
        <w:t xml:space="preserve">rules (§3.6, §4.7) prevent overclaiming. None of these gates is a</w:t>
      </w:r>
      <w:r>
        <w:t xml:space="preserve"> </w:t>
      </w:r>
      <w:r>
        <w:t xml:space="preserve">research finding in itself; collectively they constitute the</w:t>
      </w:r>
      <w:r>
        <w:t xml:space="preserve"> </w:t>
      </w:r>
      <w:r>
        <w:t xml:space="preserve">process discipline that supports the rigour of the substantive</w:t>
      </w:r>
      <w:r>
        <w:t xml:space="preserve"> </w:t>
      </w:r>
      <w:r>
        <w:t xml:space="preserve">findings in Chapter 4.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boundary-conditions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5.5 Boundary Conditions</w:t>
      </w:r>
    </w:p>
    <w:p>
      <w:pPr>
        <w:pStyle w:val="FirstParagraph"/>
      </w:pPr>
      <w:r>
        <w:t xml:space="preserve">The conclusions of this chapter are valid only within explicitly</w:t>
      </w:r>
      <w:r>
        <w:t xml:space="preserve"> </w:t>
      </w:r>
      <w:r>
        <w:t xml:space="preserve">documented boundary conditions, summarised here for readability and</w:t>
      </w:r>
      <w:r>
        <w:t xml:space="preserve"> </w:t>
      </w:r>
      <w:r>
        <w:t xml:space="preserve">treated formally in Chapter 6 (Limitations). Each boundary condition</w:t>
      </w:r>
      <w:r>
        <w:t xml:space="preserve"> </w:t>
      </w:r>
      <w:r>
        <w:t xml:space="preserve">constrains the generality of one or more findings.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Within the tested scenario space.</w:t>
      </w:r>
      <w:r>
        <w:t xml:space="preserve"> </w:t>
      </w:r>
      <w:r>
        <w:t xml:space="preserve">The 4,000 bootstrap × anchor</w:t>
      </w:r>
      <w:r>
        <w:t xml:space="preserve"> </w:t>
      </w:r>
      <w:r>
        <w:t xml:space="preserve">combinations of §4.4 and the 64 stress cells of §4.5-§4.7 define</w:t>
      </w:r>
      <w:r>
        <w:t xml:space="preserve"> </w:t>
      </w:r>
      <w:r>
        <w:t xml:space="preserve">the empirical base of every claim. Findings outside this space —</w:t>
      </w:r>
      <w:r>
        <w:t xml:space="preserve"> </w:t>
      </w:r>
      <w:r>
        <w:t xml:space="preserve">for instance, at PD multipliers above 5, at LGD below 0.45 or</w:t>
      </w:r>
      <w:r>
        <w:t xml:space="preserve"> </w:t>
      </w:r>
      <w:r>
        <w:t xml:space="preserve">above 0.85, at APR strategies beyond the four tested, or at</w:t>
      </w:r>
      <w:r>
        <w:t xml:space="preserve"> </w:t>
      </w:r>
      <w:r>
        <w:t xml:space="preserve">operating-cost levels above 4% — are not directly supported by</w:t>
      </w:r>
      <w:r>
        <w:t xml:space="preserve"> </w:t>
      </w:r>
      <w:r>
        <w:t xml:space="preserve">the analysis.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Synthetic simulator artefact dependencies.</w:t>
      </w:r>
      <w:r>
        <w:t xml:space="preserve"> </w:t>
      </w:r>
      <w:r>
        <w:t xml:space="preserve">The structural</w:t>
      </w:r>
      <w:r>
        <w:t xml:space="preserve"> </w:t>
      </w:r>
      <w:r>
        <w:t xml:space="preserve">zero-default rate on 12-month loans (§3.4, §4.2) is a simulator</w:t>
      </w:r>
      <w:r>
        <w:t xml:space="preserve"> </w:t>
      </w:r>
      <w:r>
        <w:t xml:space="preserve">target-timing artefact, not a real-world observation. The PD</w:t>
      </w:r>
      <w:r>
        <w:t xml:space="preserve"> </w:t>
      </w:r>
      <w:r>
        <w:t xml:space="preserve">multiplier values used in the anchor scenarios approximately</w:t>
      </w:r>
      <w:r>
        <w:t xml:space="preserve"> </w:t>
      </w:r>
      <w:r>
        <w:t xml:space="preserve">bracket the LightGBM Platt-calibrator’s mean-prediction drift</w:t>
      </w:r>
      <w:r>
        <w:t xml:space="preserve"> </w:t>
      </w:r>
      <w:r>
        <w:t xml:space="preserve">(§3.3) but do not directly reflect a real-world calibration</w:t>
      </w:r>
      <w:r>
        <w:t xml:space="preserve"> </w:t>
      </w:r>
      <w:r>
        <w:t xml:space="preserve">miss. The Adjusted Single-period Benchmark (ASB) gap on 36-month</w:t>
      </w:r>
      <w:r>
        <w:t xml:space="preserve"> </w:t>
      </w:r>
      <w:r>
        <w:t xml:space="preserve">loans (§4.2) reflects amortization arithmetic shared by any</w:t>
      </w:r>
      <w:r>
        <w:t xml:space="preserve"> </w:t>
      </w:r>
      <w:r>
        <w:t xml:space="preserve">synthetic or real portfolio with declining-balance loans, so this</w:t>
      </w:r>
      <w:r>
        <w:t xml:space="preserve"> </w:t>
      </w:r>
      <w:r>
        <w:t xml:space="preserve">particular finding is more transferable than the others.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LightGBM calibration mismatch on the eco-OOT subset.</w:t>
      </w:r>
      <w:r>
        <w:t xml:space="preserve"> </w:t>
      </w:r>
      <w:r>
        <w:t xml:space="preserve">The</w:t>
      </w:r>
      <w:r>
        <w:t xml:space="preserve"> </w:t>
      </w:r>
      <w:r>
        <w:t xml:space="preserve">primary PD model under-predicts the eco-OOT empirical default</w:t>
      </w:r>
      <w:r>
        <w:t xml:space="preserve"> </w:t>
      </w:r>
      <w:r>
        <w:t xml:space="preserve">rate by approximately a factor of two (predicted-to-observed</w:t>
      </w:r>
      <w:r>
        <w:t xml:space="preserve"> </w:t>
      </w:r>
      <w:r>
        <w:t xml:space="preserve">ratio 0.49, §3.3 and Table 3.4b). The PD-multiplier scenarios</w:t>
      </w:r>
      <w:r>
        <w:t xml:space="preserve"> </w:t>
      </w:r>
      <w:r>
        <w:t xml:space="preserve">used in Phase 3 and 4 (multipliers {1, 2, 3, 5}) approximately</w:t>
      </w:r>
      <w:r>
        <w:t xml:space="preserve"> </w:t>
      </w:r>
      <w:r>
        <w:t xml:space="preserve">bracket this calibration drift; the profit-vs-Youden hypothesis</w:t>
      </w:r>
      <w:r>
        <w:t xml:space="preserve"> </w:t>
      </w:r>
      <w:r>
        <w:t xml:space="preserve">is tested at every multiplier and survives each one. The</w:t>
      </w:r>
      <w:r>
        <w:t xml:space="preserve"> </w:t>
      </w:r>
      <w:r>
        <w:t xml:space="preserve">finding is therefore not driven by the calibration miss, but</w:t>
      </w:r>
      <w:r>
        <w:t xml:space="preserve"> </w:t>
      </w:r>
      <w:r>
        <w:t xml:space="preserve">the miss itself is a methodological caveat that any real-world</w:t>
      </w:r>
      <w:r>
        <w:t xml:space="preserve"> </w:t>
      </w:r>
      <w:r>
        <w:t xml:space="preserve">application of the framework must address through its own</w:t>
      </w:r>
      <w:r>
        <w:t xml:space="preserve"> </w:t>
      </w:r>
      <w:r>
        <w:t xml:space="preserve">calibration design.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Constant monthly hazard assumption.</w:t>
      </w:r>
      <w:r>
        <w:t xml:space="preserve"> </w:t>
      </w:r>
      <w:r>
        <w:t xml:space="preserve">The locked formulas</w:t>
      </w:r>
      <w:r>
        <w:t xml:space="preserve"> </w:t>
      </w:r>
      <w:r>
        <w:t xml:space="preserve">(§3.4) extrapolate the monthly hazard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from the 12-month forward PD across the full amortization</w:t>
      </w:r>
      <w:r>
        <w:t xml:space="preserve"> </w:t>
      </w:r>
      <w:r>
        <w:t xml:space="preserve">schedule. For 36-month loans this implies a cumulative PD of</w:t>
      </w:r>
      <w:r>
        <w:t xml:space="preserve"> </w:t>
      </w:r>
      <w:r>
        <w:rPr>
          <w:rStyle w:val="VerbatimChar"/>
        </w:rPr>
        <w:t xml:space="preserve">1 − (1 − h)^36</w:t>
      </w:r>
      <w:r>
        <w:t xml:space="preserve">, which assumes the same monthly hazard</w:t>
      </w:r>
      <w:r>
        <w:t xml:space="preserve"> </w:t>
      </w:r>
      <w:r>
        <w:t xml:space="preserve">throughout the loan life. Real-world hazard rates typically</w:t>
      </w:r>
      <w:r>
        <w:t xml:space="preserve"> </w:t>
      </w:r>
      <w:r>
        <w:t xml:space="preserve">decline with loan age (curing effect), so the constant-hazard</w:t>
      </w:r>
      <w:r>
        <w:t xml:space="preserve"> </w:t>
      </w:r>
      <w:r>
        <w:t xml:space="preserve">assumption likely</w:t>
      </w:r>
      <w:r>
        <w:t xml:space="preserve"> </w:t>
      </w:r>
      <w:r>
        <w:rPr>
          <w:i/>
          <w:iCs/>
        </w:rPr>
        <w:t xml:space="preserve">overstates</w:t>
      </w:r>
      <w:r>
        <w:t xml:space="preserve"> </w:t>
      </w:r>
      <w:r>
        <w:t xml:space="preserve">lifetime EL on long-tenor loans.</w:t>
      </w:r>
      <w:r>
        <w:t xml:space="preserve"> </w:t>
      </w:r>
      <w:r>
        <w:t xml:space="preserve">The implication is that any real-world LT_EL estimate using the</w:t>
      </w:r>
      <w:r>
        <w:t xml:space="preserve"> </w:t>
      </w:r>
      <w:r>
        <w:t xml:space="preserve">locked formulas would be a conservative (high-side) estimate.</w:t>
      </w:r>
      <w:r>
        <w:t xml:space="preserve"> </w:t>
      </w:r>
      <w:r>
        <w:t xml:space="preserve">Whether this translates into larger profit uplift for the</w:t>
      </w:r>
      <w:r>
        <w:t xml:space="preserve"> </w:t>
      </w:r>
      <w:r>
        <w:t xml:space="preserve">framework depends on how the hazard reshapes both Youden’s J</w:t>
      </w:r>
      <w:r>
        <w:t xml:space="preserve"> </w:t>
      </w:r>
      <w:r>
        <w:t xml:space="preserve">threshold and the profit-optimal threshold; the net effect on</w:t>
      </w:r>
      <w:r>
        <w:t xml:space="preserve"> </w:t>
      </w:r>
      <w:r>
        <w:t xml:space="preserve">the profit-uplift metric is an empirical question that Future</w:t>
      </w:r>
      <w:r>
        <w:t xml:space="preserve"> </w:t>
      </w:r>
      <w:r>
        <w:t xml:space="preserve">Work F4 would resolve.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APR and LGD as exogenous assumptions.</w:t>
      </w:r>
      <w:r>
        <w:t xml:space="preserve"> </w:t>
      </w:r>
      <w:r>
        <w:t xml:space="preserve">The simulator does not</w:t>
      </w:r>
      <w:r>
        <w:t xml:space="preserve"> </w:t>
      </w:r>
      <w:r>
        <w:t xml:space="preserve">produce APR or LGD as outputs; both are supplied as locked</w:t>
      </w:r>
      <w:r>
        <w:t xml:space="preserve"> </w:t>
      </w:r>
      <w:r>
        <w:t xml:space="preserve">thesis assumptions (Section 3.4). The locked APR tier table</w:t>
      </w:r>
      <w:r>
        <w:t xml:space="preserve"> </w:t>
      </w:r>
      <w:r>
        <w:t xml:space="preserve">(Table 3.5) is informed by published consumer-credit pricing</w:t>
      </w:r>
      <w:r>
        <w:t xml:space="preserve"> </w:t>
      </w:r>
      <w:r>
        <w:t xml:space="preserve">ranges but is not market-validated; the LGD = 0.65 base is an</w:t>
      </w:r>
      <w:r>
        <w:t xml:space="preserve"> </w:t>
      </w:r>
      <w:r>
        <w:t xml:space="preserve">industry-conventional unsecured-consumer baseline but is not</w:t>
      </w:r>
      <w:r>
        <w:t xml:space="preserve"> </w:t>
      </w:r>
      <w:r>
        <w:t xml:space="preserve">empirically calibrated against the simulator’s own</w:t>
      </w:r>
      <w:r>
        <w:t xml:space="preserve"> </w:t>
      </w:r>
      <w:r>
        <w:t xml:space="preserve">post-default repayment trace (which is feasible but deferred to</w:t>
      </w:r>
      <w:r>
        <w:t xml:space="preserve"> </w:t>
      </w:r>
      <w:r>
        <w:t xml:space="preserve">Future Work F1).</w:t>
      </w:r>
    </w:p>
    <w:p>
      <w:pPr>
        <w:pStyle w:val="FirstParagraph"/>
      </w:pPr>
      <w:r>
        <w:t xml:space="preserve">These boundary conditions do not undermine the claims of Chapter 4 —</w:t>
      </w:r>
      <w:r>
        <w:t xml:space="preserve"> </w:t>
      </w:r>
      <w:r>
        <w:t xml:space="preserve">each claim is already framed conditionally — but they delimit the</w:t>
      </w:r>
      <w:r>
        <w:t xml:space="preserve"> </w:t>
      </w:r>
      <w:r>
        <w:t xml:space="preserve">scope of the conclusions to the specific assumption set tested.</w:t>
      </w:r>
    </w:p>
    <w:p>
      <w:r>
        <w:pict>
          <v:rect style="width:0;height:1.5pt" o:hralign="center" o:hrstd="t" o:hr="t"/>
        </w:pict>
      </w:r>
    </w:p>
    <w:bookmarkEnd w:id="111"/>
    <w:bookmarkStart w:id="118" w:name="future-research-direction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5.6 Future Research Directions</w:t>
      </w:r>
    </w:p>
    <w:p>
      <w:pPr>
        <w:pStyle w:val="FirstParagraph"/>
      </w:pPr>
      <w:r>
        <w:t xml:space="preserve">Six directions for future research arise naturally from the</w:t>
      </w:r>
      <w:r>
        <w:t xml:space="preserve"> </w:t>
      </w:r>
      <w:r>
        <w:t xml:space="preserve">boundary conditions of §5.5. They are listed here in approximate</w:t>
      </w:r>
      <w:r>
        <w:t xml:space="preserve"> </w:t>
      </w:r>
      <w:r>
        <w:t xml:space="preserve">order of methodological priority; the formal Future Work catalogue</w:t>
      </w:r>
      <w:r>
        <w:t xml:space="preserve"> </w:t>
      </w:r>
      <w:r>
        <w:t xml:space="preserve">(F1-F7) appears in Chapter 6.</w:t>
      </w:r>
    </w:p>
    <w:bookmarkStart w:id="112" w:name="X44cabaa65a08798736b28b6530a761e2d66b5e9"/>
    <w:p>
      <w:pPr>
        <w:pStyle w:val="Heading3"/>
      </w:pPr>
      <w:r>
        <w:rPr>
          <w:rStyle w:val="SectionNumber"/>
        </w:rPr>
        <w:t xml:space="preserve">6.6.1</w:t>
      </w:r>
      <w:r>
        <w:tab/>
      </w:r>
      <w:r>
        <w:t xml:space="preserve">Direction 1 — Empirical LGD recovery validation</w:t>
      </w:r>
    </w:p>
    <w:p>
      <w:pPr>
        <w:pStyle w:val="FirstParagraph"/>
      </w:pPr>
      <w:r>
        <w:t xml:space="preserve">The simulator’s transaction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artifacts/final_data_800d_60m_p00/transactions.csv</w:t>
      </w:r>
      <w:r>
        <w:t xml:space="preserve">) preserves</w:t>
      </w:r>
      <w:r>
        <w:t xml:space="preserve"> </w:t>
      </w:r>
      <w:r>
        <w:t xml:space="preserve">the post-default repayment behaviour of every defaulted account.</w:t>
      </w:r>
      <w:r>
        <w:t xml:space="preserve"> </w:t>
      </w:r>
      <w:r>
        <w:t xml:space="preserve">A focused future study could derive empirical LGD by, for each</w:t>
      </w:r>
      <w:r>
        <w:t xml:space="preserve"> </w:t>
      </w:r>
      <w:r>
        <w:rPr>
          <w:rStyle w:val="VerbatimChar"/>
        </w:rPr>
        <w:t xml:space="preserve">default_flag_12m == 1</w:t>
      </w:r>
      <w:r>
        <w:t xml:space="preserve"> </w:t>
      </w:r>
      <w:r>
        <w:t xml:space="preserve">aid: locating the writeoff period, summing</w:t>
      </w:r>
      <w:r>
        <w:t xml:space="preserve"> </w:t>
      </w:r>
      <w:r>
        <w:t xml:space="preserve">all subsequent paid_installments × installment, and computing</w:t>
      </w:r>
      <w:r>
        <w:t xml:space="preserve"> </w:t>
      </w:r>
      <w:r>
        <w:t xml:space="preserve">LGD = max(0, (loan_amount − recovered) / loan_amount). The</w:t>
      </w:r>
      <w:r>
        <w:t xml:space="preserve"> </w:t>
      </w:r>
      <w:r>
        <w:t xml:space="preserve">empirical LGD distribution could then be compared to the</w:t>
      </w:r>
      <w:r>
        <w:t xml:space="preserve"> </w:t>
      </w:r>
      <w:r>
        <w:t xml:space="preserve">exogenous 0.65 base assumption used here. If the empirical</w:t>
      </w:r>
      <w:r>
        <w:t xml:space="preserve"> </w:t>
      </w:r>
      <w:r>
        <w:t xml:space="preserve">distribution falls within the {0.45, 0.55, 0.65, 0.75, 0.85}</w:t>
      </w:r>
      <w:r>
        <w:t xml:space="preserve"> </w:t>
      </w:r>
      <w:r>
        <w:t xml:space="preserve">sensitivity grid the thesis’s central conclusions are reinforced;</w:t>
      </w:r>
      <w:r>
        <w:t xml:space="preserve"> </w:t>
      </w:r>
      <w:r>
        <w:t xml:space="preserve">if it falls outside, the analysis would need to be extended with</w:t>
      </w:r>
      <w:r>
        <w:t xml:space="preserve"> </w:t>
      </w:r>
      <w:r>
        <w:t xml:space="preserve">additional grid points. The compute cost is approximately 10-30</w:t>
      </w:r>
      <w:r>
        <w:t xml:space="preserve"> </w:t>
      </w:r>
      <w:r>
        <w:t xml:space="preserve">minutes on the existing hardware, depending on memory and I/O</w:t>
      </w:r>
      <w:r>
        <w:t xml:space="preserve"> </w:t>
      </w:r>
      <w:r>
        <w:t xml:space="preserve">bandwidth.</w:t>
      </w:r>
    </w:p>
    <w:bookmarkEnd w:id="112"/>
    <w:bookmarkStart w:id="113" w:name="direction-2-real-data-replication"/>
    <w:p>
      <w:pPr>
        <w:pStyle w:val="Heading3"/>
      </w:pPr>
      <w:r>
        <w:rPr>
          <w:rStyle w:val="SectionNumber"/>
        </w:rPr>
        <w:t xml:space="preserve">6.6.2</w:t>
      </w:r>
      <w:r>
        <w:tab/>
      </w:r>
      <w:r>
        <w:t xml:space="preserve">Direction 2 — Real-data replication</w:t>
      </w:r>
    </w:p>
    <w:p>
      <w:pPr>
        <w:pStyle w:val="FirstParagraph"/>
      </w:pPr>
      <w:r>
        <w:t xml:space="preserve">The most pressing scope-extension is replication on a real public</w:t>
      </w:r>
      <w:r>
        <w:t xml:space="preserve"> </w:t>
      </w:r>
      <w:r>
        <w:t xml:space="preserve">consumer-credit dataset (Lending Club, Freddie Mac single-family,</w:t>
      </w:r>
      <w:r>
        <w:t xml:space="preserve"> </w:t>
      </w:r>
      <w:r>
        <w:t xml:space="preserve">Bondora, Home Credit Default Risk on Kaggle). The replication</w:t>
      </w:r>
      <w:r>
        <w:t xml:space="preserve"> </w:t>
      </w:r>
      <w:r>
        <w:t xml:space="preserve">would test whether the four headline findings of §5.1 — and</w:t>
      </w:r>
      <w:r>
        <w:t xml:space="preserve"> </w:t>
      </w:r>
      <w:r>
        <w:t xml:space="preserve">particularly the PD-quality inversion of Finding 2 — survive</w:t>
      </w:r>
      <w:r>
        <w:t xml:space="preserve"> </w:t>
      </w:r>
      <w:r>
        <w:t xml:space="preserve">the transition from synthetic to real data. Three specific</w:t>
      </w:r>
      <w:r>
        <w:t xml:space="preserve"> </w:t>
      </w:r>
      <w:r>
        <w:t xml:space="preserve">hypotheses warrant testing: (i) does the cut-off gap widen as</w:t>
      </w:r>
      <w:r>
        <w:t xml:space="preserve"> </w:t>
      </w:r>
      <w:r>
        <w:t xml:space="preserve">PD discrimination falls in real data as it does in the simulator,</w:t>
      </w:r>
      <w:r>
        <w:t xml:space="preserve"> </w:t>
      </w:r>
      <w:r>
        <w:t xml:space="preserve">(ii) does the dollar uplift remain strictly positive across the</w:t>
      </w:r>
      <w:r>
        <w:t xml:space="preserve"> </w:t>
      </w:r>
      <w:r>
        <w:t xml:space="preserve">real-data analogue of the tested scenario space, and (iii) does</w:t>
      </w:r>
      <w:r>
        <w:t xml:space="preserve"> </w:t>
      </w:r>
      <w:r>
        <w:t xml:space="preserve">the reject-most regime appear under realistic combinations of</w:t>
      </w:r>
      <w:r>
        <w:t xml:space="preserve"> </w:t>
      </w:r>
      <w:r>
        <w:t xml:space="preserve">high operating cost and adverse credit conditions. Real data</w:t>
      </w:r>
      <w:r>
        <w:t xml:space="preserve"> </w:t>
      </w:r>
      <w:r>
        <w:t xml:space="preserve">will also allow the LightGBM under-prediction caveat (§3.3) to</w:t>
      </w:r>
      <w:r>
        <w:t xml:space="preserve"> </w:t>
      </w:r>
      <w:r>
        <w:t xml:space="preserve">be revisited under cohort distributions that match the</w:t>
      </w:r>
      <w:r>
        <w:t xml:space="preserve"> </w:t>
      </w:r>
      <w:r>
        <w:t xml:space="preserve">production application rather than a 12-month-loan-excluded</w:t>
      </w:r>
      <w:r>
        <w:t xml:space="preserve"> </w:t>
      </w:r>
      <w:r>
        <w:t xml:space="preserve">synthetic subset.</w:t>
      </w:r>
    </w:p>
    <w:bookmarkEnd w:id="113"/>
    <w:bookmarkStart w:id="114" w:name="X338d58151b621b29ac8b0a39992e6e9cb922482"/>
    <w:p>
      <w:pPr>
        <w:pStyle w:val="Heading3"/>
      </w:pPr>
      <w:r>
        <w:rPr>
          <w:rStyle w:val="SectionNumber"/>
        </w:rPr>
        <w:t xml:space="preserve">6.6.3</w:t>
      </w:r>
      <w:r>
        <w:tab/>
      </w:r>
      <w:r>
        <w:t xml:space="preserve">Direction 3 — Multi-seed simulator robustness</w:t>
      </w:r>
    </w:p>
    <w:p>
      <w:pPr>
        <w:pStyle w:val="FirstParagraph"/>
      </w:pPr>
      <w:r>
        <w:t xml:space="preserve">All thesis results derive from a single simulator seed (42).</w:t>
      </w:r>
      <w:r>
        <w:t xml:space="preserve"> </w:t>
      </w:r>
      <w:r>
        <w:t xml:space="preserve">Cross-seed and cross-configuration robustness is therefore an</w:t>
      </w:r>
      <w:r>
        <w:t xml:space="preserve"> </w:t>
      </w:r>
      <w:r>
        <w:t xml:space="preserve">open question. A future study could re-run the entire Phase 1.5</w:t>
      </w:r>
      <w:r>
        <w:t xml:space="preserve"> </w:t>
      </w:r>
      <w:r>
        <w:t xml:space="preserve">through Phase 4.4 pipeline on five or more alternative seeds and</w:t>
      </w:r>
      <w:r>
        <w:t xml:space="preserve"> </w:t>
      </w:r>
      <w:r>
        <w:t xml:space="preserve">on three or more alternative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 (e.g.,</w:t>
      </w:r>
      <w:r>
        <w:t xml:space="preserve"> </w:t>
      </w:r>
      <w:r>
        <w:t xml:space="preserve">{0.00, 0.02, 0.05}), then quantify the cross-configuration</w:t>
      </w:r>
      <w:r>
        <w:t xml:space="preserve"> </w:t>
      </w:r>
      <w:r>
        <w:t xml:space="preserve">variance in (i) the dollar uplift point estimates, (ii) the</w:t>
      </w:r>
      <w:r>
        <w:t xml:space="preserve"> </w:t>
      </w:r>
      <w:r>
        <w:t xml:space="preserve">cut-off gap distributions, and (iii) the anchor scenario</w:t>
      </w:r>
      <w:r>
        <w:t xml:space="preserve"> </w:t>
      </w:r>
      <w:r>
        <w:t xml:space="preserve">classifications. If the four headline findings survive the</w:t>
      </w:r>
      <w:r>
        <w:t xml:space="preserve"> </w:t>
      </w:r>
      <w:r>
        <w:t xml:space="preserve">multi-seed sweep with narrow cross-configuration variance, the</w:t>
      </w:r>
      <w:r>
        <w:t xml:space="preserve"> </w:t>
      </w:r>
      <w:r>
        <w:t xml:space="preserve">single-seed conclusions are validated; if they exhibit large</w:t>
      </w:r>
      <w:r>
        <w:t xml:space="preserve"> </w:t>
      </w:r>
      <w:r>
        <w:t xml:space="preserve">cross-seed variance, the thesis’s scope claims would need to be</w:t>
      </w:r>
      <w:r>
        <w:t xml:space="preserve"> </w:t>
      </w:r>
      <w:r>
        <w:t xml:space="preserve">narrowed accordingly.</w:t>
      </w:r>
    </w:p>
    <w:bookmarkEnd w:id="114"/>
    <w:bookmarkStart w:id="115" w:name="direction-4-declining-hazard-alternative"/>
    <w:p>
      <w:pPr>
        <w:pStyle w:val="Heading3"/>
      </w:pPr>
      <w:r>
        <w:rPr>
          <w:rStyle w:val="SectionNumber"/>
        </w:rPr>
        <w:t xml:space="preserve">6.6.4</w:t>
      </w:r>
      <w:r>
        <w:tab/>
      </w:r>
      <w:r>
        <w:t xml:space="preserve">Direction 4 — Declining-hazard alternative</w:t>
      </w:r>
    </w:p>
    <w:p>
      <w:pPr>
        <w:pStyle w:val="FirstParagraph"/>
      </w:pPr>
      <w:r>
        <w:t xml:space="preserve">The constant-hazard assumption (§5.5) admits a natural</w:t>
      </w:r>
      <w:r>
        <w:t xml:space="preserve"> </w:t>
      </w:r>
      <w:r>
        <w:t xml:space="preserve">alternative: a parametric declining-hazard schedule fitted to the</w:t>
      </w:r>
      <w:r>
        <w:t xml:space="preserve"> </w:t>
      </w:r>
      <w:r>
        <w:t xml:space="preserve">simulator’s empirical defaults by loan age. A future study could</w:t>
      </w:r>
      <w:r>
        <w:t xml:space="preserve"> </w:t>
      </w:r>
      <w:r>
        <w:t xml:space="preserve">fit a Weibull or log-logistic hazard curve to the per-month</w:t>
      </w:r>
      <w:r>
        <w:t xml:space="preserve"> </w:t>
      </w:r>
      <w:r>
        <w:t xml:space="preserve">default counts in the simulator output, then re-run the locked</w:t>
      </w:r>
      <w:r>
        <w:t xml:space="preserve"> </w:t>
      </w:r>
      <w:r>
        <w:t xml:space="preserve">LT_EL formula with the declining-hazard schedule replacing the</w:t>
      </w:r>
      <w:r>
        <w:t xml:space="preserve"> </w:t>
      </w:r>
      <w:r>
        <w:t xml:space="preserve">constant</w:t>
      </w:r>
      <w:r>
        <w:t xml:space="preserve"> </w:t>
      </w:r>
      <w:r>
        <w:rPr>
          <w:rStyle w:val="VerbatimChar"/>
        </w:rPr>
        <w:t xml:space="preserve">h</w:t>
      </w:r>
      <w:r>
        <w:t xml:space="preserve">. The expected qualitative outcome is that lifetime</w:t>
      </w:r>
      <w:r>
        <w:t xml:space="preserve"> </w:t>
      </w:r>
      <w:r>
        <w:t xml:space="preserve">EL on 36-month loans falls (because hazards decline after the</w:t>
      </w:r>
      <w:r>
        <w:t xml:space="preserve"> </w:t>
      </w:r>
      <w:r>
        <w:t xml:space="preserve">first year), which is expected to reduce lifetime EL on</w:t>
      </w:r>
      <w:r>
        <w:t xml:space="preserve"> </w:t>
      </w:r>
      <w:r>
        <w:t xml:space="preserve">long-tenor loans, but the net effect on the cut-off gap and on</w:t>
      </w:r>
      <w:r>
        <w:t xml:space="preserve"> </w:t>
      </w:r>
      <w:r>
        <w:t xml:space="preserve">the profit-uplift metric requires empirical testing. The</w:t>
      </w:r>
      <w:r>
        <w:t xml:space="preserve"> </w:t>
      </w:r>
      <w:r>
        <w:t xml:space="preserve">declining-hazard extension would quantify how much of the</w:t>
      </w:r>
      <w:r>
        <w:t xml:space="preserve"> </w:t>
      </w:r>
      <w:r>
        <w:t xml:space="preserve">dollar uplift in §4.4 and §4.7 is attributable to the hazard</w:t>
      </w:r>
      <w:r>
        <w:t xml:space="preserve"> </w:t>
      </w:r>
      <w:r>
        <w:t xml:space="preserve">assumption versus the underlying profit-vs-Youden mechanism.</w:t>
      </w:r>
    </w:p>
    <w:bookmarkEnd w:id="115"/>
    <w:bookmarkStart w:id="116" w:name="X6999dacb9bbb4a5b5afcbf97563e60b084c290f"/>
    <w:p>
      <w:pPr>
        <w:pStyle w:val="Heading3"/>
      </w:pPr>
      <w:r>
        <w:rPr>
          <w:rStyle w:val="SectionNumber"/>
        </w:rPr>
        <w:t xml:space="preserve">6.6.5</w:t>
      </w:r>
      <w:r>
        <w:tab/>
      </w:r>
      <w:r>
        <w:t xml:space="preserve">Direction 5 — Market-calibrated APR tier validation</w:t>
      </w:r>
    </w:p>
    <w:p>
      <w:pPr>
        <w:pStyle w:val="FirstParagraph"/>
      </w:pPr>
      <w:r>
        <w:t xml:space="preserve">The locked APR tier table (Table 3.5) maps PD bands to APR values</w:t>
      </w:r>
      <w:r>
        <w:t xml:space="preserve"> </w:t>
      </w:r>
      <w:r>
        <w:t xml:space="preserve">using ranges informed by published consumer-credit pricing</w:t>
      </w:r>
      <w:r>
        <w:t xml:space="preserve"> </w:t>
      </w:r>
      <w:r>
        <w:t xml:space="preserve">ranges but not directly calibrated against any specific market.</w:t>
      </w:r>
      <w:r>
        <w:t xml:space="preserve"> </w:t>
      </w:r>
      <w:r>
        <w:t xml:space="preserve">A future study could survey published APR by PD band for a</w:t>
      </w:r>
      <w:r>
        <w:t xml:space="preserve"> </w:t>
      </w:r>
      <w:r>
        <w:t xml:space="preserve">specific market (US, EU, emerging-market segments are the</w:t>
      </w:r>
      <w:r>
        <w:t xml:space="preserve"> </w:t>
      </w:r>
      <w:r>
        <w:t xml:space="preserve">natural slices), calibrate the tier table to that market, and</w:t>
      </w:r>
      <w:r>
        <w:t xml:space="preserve"> </w:t>
      </w:r>
      <w:r>
        <w:t xml:space="preserve">test whether the thesis’s profit-vs-Youden finding survives the</w:t>
      </w:r>
      <w:r>
        <w:t xml:space="preserve"> </w:t>
      </w:r>
      <w:r>
        <w:t xml:space="preserve">recalibration. The expected outcome is that the dollar uplift</w:t>
      </w:r>
      <w:r>
        <w:t xml:space="preserve"> </w:t>
      </w:r>
      <w:r>
        <w:t xml:space="preserve">magnitude shifts but the dollar-anchored claim survives in</w:t>
      </w:r>
      <w:r>
        <w:t xml:space="preserve"> </w:t>
      </w:r>
      <w:r>
        <w:t xml:space="preserve">sign; quantification of the magnitude shift is the contribution.</w:t>
      </w:r>
    </w:p>
    <w:bookmarkEnd w:id="116"/>
    <w:bookmarkStart w:id="117" w:name="X801e6ca2f657ee68f433188a2400ede36b65f6a"/>
    <w:p>
      <w:pPr>
        <w:pStyle w:val="Heading3"/>
      </w:pPr>
      <w:r>
        <w:rPr>
          <w:rStyle w:val="SectionNumber"/>
        </w:rPr>
        <w:t xml:space="preserve">6.6.6</w:t>
      </w:r>
      <w:r>
        <w:tab/>
      </w:r>
      <w:r>
        <w:t xml:space="preserve">Direction 6 — External validation via transfer scoring</w:t>
      </w:r>
    </w:p>
    <w:p>
      <w:pPr>
        <w:pStyle w:val="FirstParagraph"/>
      </w:pPr>
      <w:r>
        <w:t xml:space="preserve">A more ambitious future direction combines Directions 2 and 3:</w:t>
      </w:r>
      <w:r>
        <w:t xml:space="preserve"> </w:t>
      </w:r>
      <w:r>
        <w:t xml:space="preserve">fit the dual-track PD models (§4.1) on the simulator data and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them on a real public dataset without refitting. Measure</w:t>
      </w:r>
      <w:r>
        <w:t xml:space="preserve"> </w:t>
      </w:r>
      <w:r>
        <w:t xml:space="preserve">how (i) discrimination metrics translate from simulator to real</w:t>
      </w:r>
      <w:r>
        <w:t xml:space="preserve"> </w:t>
      </w:r>
      <w:r>
        <w:t xml:space="preserve">data, (ii) the calibration drift behaves under transfer, and</w:t>
      </w:r>
      <w:r>
        <w:t xml:space="preserve"> </w:t>
      </w:r>
      <w:r>
        <w:t xml:space="preserve">(iii) the profit-vs-Youden uplift survives the transfer. This</w:t>
      </w:r>
      <w:r>
        <w:t xml:space="preserve"> </w:t>
      </w:r>
      <w:r>
        <w:t xml:space="preserve">external-validation experiment is the strongest available test of</w:t>
      </w:r>
      <w:r>
        <w:t xml:space="preserve"> </w:t>
      </w:r>
      <w:r>
        <w:t xml:space="preserve">whether the synthetic-data methodology developed here generalises</w:t>
      </w:r>
      <w:r>
        <w:t xml:space="preserve"> </w:t>
      </w:r>
      <w:r>
        <w:t xml:space="preserve">to production deployment in a real bank.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 has interpreted the empirical evidence of Chapter 4 as a</w:t>
      </w:r>
      <w:r>
        <w:t xml:space="preserve"> </w:t>
      </w:r>
      <w:r>
        <w:t xml:space="preserve">substantive contribution to the profit-driven credit scoring</w:t>
      </w:r>
      <w:r>
        <w:t xml:space="preserve"> </w:t>
      </w:r>
      <w:r>
        <w:t xml:space="preserve">literature, located that contribution against existing work,</w:t>
      </w:r>
      <w:r>
        <w:t xml:space="preserve"> </w:t>
      </w:r>
      <w:r>
        <w:t xml:space="preserve">articulated the methodological design choices that shape the</w:t>
      </w:r>
      <w:r>
        <w:t xml:space="preserve"> </w:t>
      </w:r>
      <w:r>
        <w:t xml:space="preserve">contribution’s character, recorded the boundary conditions that</w:t>
      </w:r>
      <w:r>
        <w:t xml:space="preserve"> </w:t>
      </w:r>
      <w:r>
        <w:t xml:space="preserve">delimit its scope, and identified the future-research directions</w:t>
      </w:r>
      <w:r>
        <w:t xml:space="preserve"> </w:t>
      </w:r>
      <w:r>
        <w:t xml:space="preserve">that would extend it. Chapter 6 catalogues those boundary</w:t>
      </w:r>
      <w:r>
        <w:t xml:space="preserve"> </w:t>
      </w:r>
      <w:r>
        <w:t xml:space="preserve">conditions formally as Limitations and the future-research</w:t>
      </w:r>
      <w:r>
        <w:t xml:space="preserve"> </w:t>
      </w:r>
      <w:r>
        <w:t xml:space="preserve">directions as Future Work items F1 through F7, completing the</w:t>
      </w:r>
      <w:r>
        <w:t xml:space="preserve"> </w:t>
      </w:r>
      <w:r>
        <w:t xml:space="preserve">thesis’s substantive presentation.</w:t>
      </w:r>
    </w:p>
    <w:bookmarkEnd w:id="117"/>
    <w:bookmarkEnd w:id="118"/>
    <w:bookmarkEnd w:id="119"/>
    <w:bookmarkStart w:id="141" w:name="chapter-6-limitations-and-future-work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Chapter 6 — Limitations and Future Work</w:t>
      </w:r>
    </w:p>
    <w:p>
      <w:pPr>
        <w:pStyle w:val="FirstParagraph"/>
      </w:pPr>
      <w:r>
        <w:t xml:space="preserve">This chapter records the boundary conditions of the thesis formally and</w:t>
      </w:r>
      <w:r>
        <w:t xml:space="preserve"> </w:t>
      </w:r>
      <w:r>
        <w:t xml:space="preserve">catalogues the future-research directions that arise from those boundary</w:t>
      </w:r>
      <w:r>
        <w:t xml:space="preserve"> </w:t>
      </w:r>
      <w:r>
        <w:t xml:space="preserve">conditions. Both lists are deliberately exhaustive: the 10 limitations</w:t>
      </w:r>
      <w:r>
        <w:t xml:space="preserve"> </w:t>
      </w:r>
      <w:r>
        <w:t xml:space="preserve">of §6.1 and the 7 Future Work items of §6.2 are intended to give a</w:t>
      </w:r>
      <w:r>
        <w:t xml:space="preserve"> </w:t>
      </w:r>
      <w:r>
        <w:t xml:space="preserve">defensive reader a complete map of where the thesis’s claims do not</w:t>
      </w:r>
      <w:r>
        <w:t xml:space="preserve"> </w:t>
      </w:r>
      <w:r>
        <w:t xml:space="preserve">extend and what work would be required to extend them. Every limitation</w:t>
      </w:r>
      <w:r>
        <w:t xml:space="preserve"> </w:t>
      </w:r>
      <w:r>
        <w:t xml:space="preserve">is cross-referenced to the chapter section in which the relevant</w:t>
      </w:r>
      <w:r>
        <w:t xml:space="preserve"> </w:t>
      </w:r>
      <w:r>
        <w:t xml:space="preserve">methodological choice was made; every Future Work item is</w:t>
      </w:r>
      <w:r>
        <w:t xml:space="preserve"> </w:t>
      </w:r>
      <w:r>
        <w:t xml:space="preserve">cross-referenced to the limitation it addresses.</w:t>
      </w:r>
    </w:p>
    <w:p>
      <w:pPr>
        <w:pStyle w:val="BodyText"/>
      </w:pPr>
      <w:r>
        <w:t xml:space="preserve">The chapter introduces no new analysis. Numerical claims are sourced</w:t>
      </w:r>
      <w:r>
        <w:t xml:space="preserve"> </w:t>
      </w:r>
      <w:r>
        <w:t xml:space="preserve">from Chapters 3, 4, and 5; figure and table references point to</w:t>
      </w:r>
      <w:r>
        <w:t xml:space="preserve"> </w:t>
      </w:r>
      <w:r>
        <w:t xml:space="preserve">artifacts already documented. The wording rules of the previous</w:t>
      </w:r>
      <w:r>
        <w:t xml:space="preserve"> </w:t>
      </w:r>
      <w:r>
        <w:t xml:space="preserve">chapters apply throughout.</w:t>
      </w:r>
    </w:p>
    <w:p>
      <w:r>
        <w:pict>
          <v:rect style="width:0;height:1.5pt" o:hralign="center" o:hrstd="t" o:hr="t"/>
        </w:pict>
      </w:r>
    </w:p>
    <w:bookmarkStart w:id="130" w:name="limitation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Limitations</w:t>
      </w:r>
    </w:p>
    <w:p>
      <w:pPr>
        <w:pStyle w:val="FirstParagraph"/>
      </w:pPr>
      <w:r>
        <w:t xml:space="preserve">The limitations below define the boundary conditions under which</w:t>
      </w:r>
      <w:r>
        <w:t xml:space="preserve"> </w:t>
      </w:r>
      <w:r>
        <w:t xml:space="preserve">the empirical claims of Chapters 4 and 5 are supported; they</w:t>
      </w:r>
      <w:r>
        <w:t xml:space="preserve"> </w:t>
      </w:r>
      <w:r>
        <w:t xml:space="preserve">delimit the tested scenario space rather than invalidate the</w:t>
      </w:r>
      <w:r>
        <w:t xml:space="preserve"> </w:t>
      </w:r>
      <w:r>
        <w:t xml:space="preserve">findings.</w:t>
      </w:r>
    </w:p>
    <w:bookmarkStart w:id="120" w:name="Xc12735de80856d4f2b7801d5dde5f6aa99fa01f"/>
    <w:p>
      <w:pPr>
        <w:pStyle w:val="Heading3"/>
      </w:pPr>
      <w:r>
        <w:rPr>
          <w:rStyle w:val="SectionNumber"/>
        </w:rPr>
        <w:t xml:space="preserve">7.1.1</w:t>
      </w:r>
      <w:r>
        <w:tab/>
      </w:r>
      <w:r>
        <w:t xml:space="preserve">Limitation 1 — Synthetic simulator data, not real-world data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All empirical results in this thesis derive from a</w:t>
      </w:r>
      <w:r>
        <w:t xml:space="preserve"> </w:t>
      </w:r>
      <w:r>
        <w:t xml:space="preserve">single production run of the synthetic</w:t>
      </w:r>
      <w:r>
        <w:t xml:space="preserve"> </w:t>
      </w:r>
      <w:r>
        <w:rPr>
          <w:rStyle w:val="VerbatimChar"/>
        </w:rPr>
        <w:t xml:space="preserve">rl-debt-collection</w:t>
      </w:r>
      <w:r>
        <w:t xml:space="preserve"> </w:t>
      </w:r>
      <w:r>
        <w:t xml:space="preserve">simulator (Chapter 3 §3.1) configured with seed 42,</w:t>
      </w:r>
      <w:r>
        <w:t xml:space="preserve"> </w:t>
      </w:r>
      <w:r>
        <w:rPr>
          <w:rStyle w:val="VerbatimChar"/>
        </w:rPr>
        <w:t xml:space="preserve">p_positive = 0.00</w:t>
      </w:r>
      <w:r>
        <w:t xml:space="preserve">,</w:t>
      </w:r>
      <w:r>
        <w:t xml:space="preserve"> </w:t>
      </w:r>
      <w:r>
        <w:t xml:space="preserve">800 clients per day, and a 60-month simulation window. Real</w:t>
      </w:r>
      <w:r>
        <w:t xml:space="preserve"> </w:t>
      </w:r>
      <w:r>
        <w:t xml:space="preserve">consumer-credit portfolios may exhibit behavioural patterns,</w:t>
      </w:r>
      <w:r>
        <w:t xml:space="preserve"> </w:t>
      </w:r>
      <w:r>
        <w:t xml:space="preserve">default trajectories, and feature distributions that differ</w:t>
      </w:r>
      <w:r>
        <w:t xml:space="preserve"> </w:t>
      </w:r>
      <w:r>
        <w:t xml:space="preserve">materially from the simulator’s quota-based assignment</w:t>
      </w:r>
      <w:r>
        <w:t xml:space="preserve"> </w:t>
      </w:r>
      <w:r>
        <w:t xml:space="preserve">mechanism. The simulator approximates but does not replicate any</w:t>
      </w:r>
      <w:r>
        <w:t xml:space="preserve"> </w:t>
      </w:r>
      <w:r>
        <w:t xml:space="preserve">specific institution’s data.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§3.1 (data generation), §3.7 (software</w:t>
      </w:r>
      <w:r>
        <w:t xml:space="preserve"> </w:t>
      </w:r>
      <w:r>
        <w:t xml:space="preserve">architecture); Chapter 5 §5.4 (synthetic data positioned as</w:t>
      </w:r>
      <w:r>
        <w:t xml:space="preserve"> </w:t>
      </w:r>
      <w:r>
        <w:t xml:space="preserve">methodological feature); §5.5 first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All four headline findings of Chapter 5 §5.1</w:t>
      </w:r>
      <w:r>
        <w:t xml:space="preserve"> </w:t>
      </w:r>
      <w:r>
        <w:t xml:space="preserve">are conditioned on the simulator’s data-generation process. The</w:t>
      </w:r>
      <w:r>
        <w:t xml:space="preserve"> </w:t>
      </w:r>
      <w:r>
        <w:t xml:space="preserve">quantitative magnitudes (e.g., the dollar uplift CIs in</w:t>
      </w:r>
      <w:r>
        <w:t xml:space="preserve"> </w:t>
      </w:r>
      <w:r>
        <w:t xml:space="preserve">Table 4.6, the 11-47% relative profit gain in §5.2 Implication 1,</w:t>
      </w:r>
      <w:r>
        <w:t xml:space="preserve"> </w:t>
      </w:r>
      <w:r>
        <w:t xml:space="preserve">the cut-off gap range +5.33 to +20.59 pp in §4.3) are not</w:t>
      </w:r>
      <w:r>
        <w:t xml:space="preserve"> </w:t>
      </w:r>
      <w:r>
        <w:t xml:space="preserve">expected to transfer numerically to real data. The qualitative</w:t>
      </w:r>
      <w:r>
        <w:t xml:space="preserve"> </w:t>
      </w:r>
      <w:r>
        <w:t xml:space="preserve">findings (the strict positivity of dollar uplift, the widening</w:t>
      </w:r>
      <w:r>
        <w:t xml:space="preserve"> </w:t>
      </w:r>
      <w:r>
        <w:t xml:space="preserve">of the cut-off gap as PD discrimination falls, and the</w:t>
      </w:r>
      <w:r>
        <w:t xml:space="preserve"> </w:t>
      </w:r>
      <w:r>
        <w:t xml:space="preserve">existence of an adaptive reject-most regime under combined</w:t>
      </w:r>
      <w:r>
        <w:t xml:space="preserve"> </w:t>
      </w:r>
      <w:r>
        <w:t xml:space="preserve">stress) are expected to transfer in direction but with different</w:t>
      </w:r>
      <w:r>
        <w:t xml:space="preserve"> </w:t>
      </w:r>
      <w:r>
        <w:t xml:space="preserve">magnitudes; whether they survive the transition is the central</w:t>
      </w:r>
      <w:r>
        <w:t xml:space="preserve"> </w:t>
      </w:r>
      <w:r>
        <w:t xml:space="preserve">question of Future Work F2 and F7.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only by replication on real data (Future Work F2).</w:t>
      </w:r>
    </w:p>
    <w:bookmarkEnd w:id="120"/>
    <w:bookmarkStart w:id="121" w:name="X4631e28cbfe8d1cdc7acb436ed2cef8d5e6236b"/>
    <w:p>
      <w:pPr>
        <w:pStyle w:val="Heading3"/>
      </w:pPr>
      <w:r>
        <w:rPr>
          <w:rStyle w:val="SectionNumber"/>
        </w:rPr>
        <w:t xml:space="preserve">7.1.2</w:t>
      </w:r>
      <w:r>
        <w:tab/>
      </w:r>
      <w:r>
        <w:t xml:space="preserve">Limitation 2 — 12-month loans excluded from economics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Loans with</w:t>
      </w:r>
      <w:r>
        <w:t xml:space="preserve"> </w:t>
      </w:r>
      <w:r>
        <w:rPr>
          <w:rStyle w:val="VerbatimChar"/>
        </w:rPr>
        <w:t xml:space="preserve">n_installments = 12</w:t>
      </w:r>
      <w:r>
        <w:t xml:space="preserve"> </w:t>
      </w:r>
      <w:r>
        <w:t xml:space="preserve">were excluded</w:t>
      </w:r>
      <w:r>
        <w:t xml:space="preserve"> </w:t>
      </w:r>
      <w:r>
        <w:t xml:space="preserve">from the economic-analysis population (Chapter 3 §3.4) because</w:t>
      </w:r>
      <w:r>
        <w:t xml:space="preserve"> </w:t>
      </w:r>
      <w:r>
        <w:t xml:space="preserve">the simulator’s writeoff trigger (</w:t>
      </w:r>
      <w:r>
        <w:rPr>
          <w:rStyle w:val="VerbatimChar"/>
        </w:rPr>
        <w:t xml:space="preserve">coll_status = 8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due_installments ≥ 12</w:t>
      </w:r>
      <w:r>
        <w:t xml:space="preserve">) is structurally unreachable within the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target window (offsets 12-23 from</w:t>
      </w:r>
      <w:r>
        <w:t xml:space="preserve"> </w:t>
      </w:r>
      <w:r>
        <w:t xml:space="preserve">origination). The empirical default rate on 12-month loans is</w:t>
      </w:r>
      <w:r>
        <w:t xml:space="preserve"> </w:t>
      </w:r>
      <w:r>
        <w:t xml:space="preserve">0/298,346 = 0.000%, reducing the economic-analysis population</w:t>
      </w:r>
      <w:r>
        <w:t xml:space="preserve"> </w:t>
      </w:r>
      <w:r>
        <w:t xml:space="preserve">from 534,314 modelling rows to 235,968 economic rows. This is</w:t>
      </w:r>
      <w:r>
        <w:t xml:space="preserve"> </w:t>
      </w:r>
      <w:r>
        <w:t xml:space="preserve">a simulator target-timing artefact, not a real-world conclusion</w:t>
      </w:r>
      <w:r>
        <w:t xml:space="preserve"> </w:t>
      </w:r>
      <w:r>
        <w:t xml:space="preserve">that 12-month loans are risk-free. Real institutions with</w:t>
      </w:r>
      <w:r>
        <w:t xml:space="preserve"> </w:t>
      </w:r>
      <w:r>
        <w:t xml:space="preserve">12-month products observe non-trivial default rates.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(12-month loan exclusion);</w:t>
      </w:r>
      <w:r>
        <w:t xml:space="preserve"> </w:t>
      </w:r>
      <w:r>
        <w:t xml:space="preserve">Chapter 4 §4.2 (population size impact); Chapter 5 §5.5 second</w:t>
      </w:r>
      <w:r>
        <w:t xml:space="preserve"> </w:t>
      </w:r>
      <w:r>
        <w:t xml:space="preserve">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Restricts the economic-analysis population</w:t>
      </w:r>
      <w:r>
        <w:t xml:space="preserve"> </w:t>
      </w:r>
      <w:r>
        <w:t xml:space="preserve">to 24-month and 36-month loans. The H1 row-count threshold of</w:t>
      </w:r>
      <w:r>
        <w:t xml:space="preserve"> </w:t>
      </w:r>
      <w:r>
        <w:t xml:space="preserve">500,000 is satisfied at the modelling level (534,314 rows), so</w:t>
      </w:r>
      <w:r>
        <w:t xml:space="preserve"> </w:t>
      </w:r>
      <w:r>
        <w:t xml:space="preserve">the H1 specification is not violated; the economic analysis</w:t>
      </w:r>
      <w:r>
        <w:t xml:space="preserve"> </w:t>
      </w:r>
      <w:r>
        <w:t xml:space="preserve">proceeds on 235,968 rows. The thesis’s quantitative findings</w:t>
      </w:r>
      <w:r>
        <w:t xml:space="preserve"> </w:t>
      </w:r>
      <w:r>
        <w:t xml:space="preserve">apply to 24-month and 36-month products and do not generalise</w:t>
      </w:r>
      <w:r>
        <w:t xml:space="preserve"> </w:t>
      </w:r>
      <w:r>
        <w:t xml:space="preserve">to short-tenor (≤ 12 months) lending without an alternative</w:t>
      </w:r>
      <w:r>
        <w:t xml:space="preserve"> </w:t>
      </w:r>
      <w:r>
        <w:t xml:space="preserve">default definition that addresses the timing artefact.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by an alternative default definition (Future Work</w:t>
      </w:r>
      <w:r>
        <w:t xml:space="preserve"> </w:t>
      </w:r>
      <w:r>
        <w:t xml:space="preserve">F3).</w:t>
      </w:r>
    </w:p>
    <w:bookmarkEnd w:id="121"/>
    <w:bookmarkStart w:id="122" w:name="X5cfa3c8c6a90e23755e106dfe8a56f870d9748e"/>
    <w:p>
      <w:pPr>
        <w:pStyle w:val="Heading3"/>
      </w:pPr>
      <w:r>
        <w:rPr>
          <w:rStyle w:val="SectionNumber"/>
        </w:rPr>
        <w:t xml:space="preserve">7.1.3</w:t>
      </w:r>
      <w:r>
        <w:tab/>
      </w:r>
      <w:r>
        <w:t xml:space="preserve">Limitation 3 — APR is exogenous, not market-observed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simulator does not include any pricing field;</w:t>
      </w:r>
      <w:r>
        <w:t xml:space="preserve"> </w:t>
      </w:r>
      <w:r>
        <w:t xml:space="preserve">APR is supplied as a methodological assumption via the locked</w:t>
      </w:r>
      <w:r>
        <w:t xml:space="preserve"> </w:t>
      </w:r>
      <w:r>
        <w:t xml:space="preserve">five-tier risk-priced schedule (Chapter 3 §3.4 Table 3.5)</w:t>
      </w:r>
      <w:r>
        <w:t xml:space="preserve"> </w:t>
      </w:r>
      <w:r>
        <w:t xml:space="preserve">plus flat-APR alternatives at 12%, 18%, 24%, and 30%.</w:t>
      </w:r>
      <w:r>
        <w:t xml:space="preserve"> </w:t>
      </w:r>
      <w:r>
        <w:t xml:space="preserve">The locked tier values (0.12 / 0.18 / 0.22 / 0.26 / 0.30) are</w:t>
      </w:r>
      <w:r>
        <w:t xml:space="preserve"> </w:t>
      </w:r>
      <w:r>
        <w:t xml:space="preserve">informed by typical published consumer-credit pricing ranges</w:t>
      </w:r>
      <w:r>
        <w:t xml:space="preserve"> </w:t>
      </w:r>
      <w:r>
        <w:t xml:space="preserve">but are not market-validated against any specific institution</w:t>
      </w:r>
      <w:r>
        <w:t xml:space="preserve"> </w:t>
      </w:r>
      <w:r>
        <w:t xml:space="preserve">or jurisdiction.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(APR scheme); Chapter 4 §4.3</w:t>
      </w:r>
      <w:r>
        <w:t xml:space="preserve"> </w:t>
      </w:r>
      <w:r>
        <w:t xml:space="preserve">(APR-strategy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= 2.32 pp, second-largest driver);</w:t>
      </w:r>
      <w:r>
        <w:t xml:space="preserve"> </w:t>
      </w:r>
      <w:r>
        <w:t xml:space="preserve">Chapter 5 §5.5 fifth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APR strategy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(2.32 pp,</w:t>
      </w:r>
      <w:r>
        <w:t xml:space="preserve"> </w:t>
      </w:r>
      <w:r>
        <w:t xml:space="preserve">Table 4.5) means the choice of pricing scheme has measurable</w:t>
      </w:r>
      <w:r>
        <w:t xml:space="preserve"> </w:t>
      </w:r>
      <w:r>
        <w:t xml:space="preserve">consequences for the cut-off optimum. Different real-market</w:t>
      </w:r>
      <w:r>
        <w:t xml:space="preserve"> </w:t>
      </w:r>
      <w:r>
        <w:t xml:space="preserve">APR calibrations would shift the magnitude of the dollar uplift</w:t>
      </w:r>
      <w:r>
        <w:t xml:space="preserve"> </w:t>
      </w:r>
      <w:r>
        <w:t xml:space="preserve">figures in §4.4 and the absolute profit values in §4.2;</w:t>
      </w:r>
      <w:r>
        <w:t xml:space="preserve"> </w:t>
      </w:r>
      <w:r>
        <w:t xml:space="preserve">direction of the profit-vs-Youden finding is expected to be</w:t>
      </w:r>
      <w:r>
        <w:t xml:space="preserve"> </w:t>
      </w:r>
      <w:r>
        <w:t xml:space="preserve">robust because the locked sensitivity grid spans 12-30%.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Partially addressed: the four APR</w:t>
      </w:r>
      <w:r>
        <w:t xml:space="preserve"> </w:t>
      </w:r>
      <w:r>
        <w:t xml:space="preserve">strategies in the Phase 3.2 grid (tiered_uncapped,</w:t>
      </w:r>
      <w:r>
        <w:t xml:space="preserve"> </w:t>
      </w:r>
      <w:r>
        <w:t xml:space="preserve">tiered_cap_24, flat_18, flat_24) span a meaningful range, and</w:t>
      </w:r>
      <w:r>
        <w:t xml:space="preserve"> </w:t>
      </w:r>
      <w:r>
        <w:t xml:space="preserve">the profit-vs-Youden finding holds across all of them.</w:t>
      </w:r>
      <w:r>
        <w:t xml:space="preserve"> </w:t>
      </w:r>
      <w:r>
        <w:t xml:space="preserve">Market-calibration validation deferred to Future Work F5.</w:t>
      </w:r>
    </w:p>
    <w:bookmarkEnd w:id="122"/>
    <w:bookmarkStart w:id="123" w:name="Xa7fc9d9939041437d5f80b6847b39e7d6cf31aa"/>
    <w:p>
      <w:pPr>
        <w:pStyle w:val="Heading3"/>
      </w:pPr>
      <w:r>
        <w:rPr>
          <w:rStyle w:val="SectionNumber"/>
        </w:rPr>
        <w:t xml:space="preserve">7.1.4</w:t>
      </w:r>
      <w:r>
        <w:tab/>
      </w:r>
      <w:r>
        <w:t xml:space="preserve">Limitation 4 — LGD is exogenous, not empirically recovered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LGD assumption (0.65 base case, sensitivity</w:t>
      </w:r>
      <w:r>
        <w:t xml:space="preserve"> </w:t>
      </w:r>
      <w:r>
        <w:t xml:space="preserve">grid {0.45, 0.55, 0.65, 0.75, 0.85}) is exogenous to the</w:t>
      </w:r>
      <w:r>
        <w:t xml:space="preserve"> </w:t>
      </w:r>
      <w:r>
        <w:t xml:space="preserve">simulator. Empirical LGD could in principle be derived from</w:t>
      </w:r>
      <w:r>
        <w:t xml:space="preserve"> </w:t>
      </w:r>
      <w:r>
        <w:t xml:space="preserve">the simulator’s transaction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artifacts/final_data_800d_60m_p00/transactions.csv</w:t>
      </w:r>
      <w:r>
        <w:t xml:space="preserve">) by</w:t>
      </w:r>
      <w:r>
        <w:t xml:space="preserve"> </w:t>
      </w:r>
      <w:r>
        <w:t xml:space="preserve">following the post-default repayment behaviour of every</w:t>
      </w:r>
      <w:r>
        <w:t xml:space="preserve"> </w:t>
      </w:r>
      <w:r>
        <w:t xml:space="preserve">defaulted account, but this derivation was deferred to keep</w:t>
      </w:r>
      <w:r>
        <w:t xml:space="preserve"> </w:t>
      </w:r>
      <w:r>
        <w:t xml:space="preserve">the thesis scope bounded.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(schema audit, LGD treatment,</w:t>
      </w:r>
      <w:r>
        <w:t xml:space="preserve"> </w:t>
      </w:r>
      <w:r>
        <w:t xml:space="preserve">LGD assumption); Chapter 5 §5.5 fifth bullet</w:t>
      </w:r>
      <w:r>
        <w:t xml:space="preserve"> </w:t>
      </w:r>
      <w:r>
        <w:t xml:space="preserve">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LGD spread on</w:t>
      </w:r>
      <w:r>
        <w:t xml:space="preserve"> </w:t>
      </w:r>
      <w:r>
        <w:rPr>
          <w:rStyle w:val="VerbatimChar"/>
        </w:rPr>
        <w:t xml:space="preserve">k*</w:t>
      </w:r>
      <w:r>
        <w:t xml:space="preserve"> </w:t>
      </w:r>
      <w:r>
        <w:t xml:space="preserve">in the Phase 3.2</w:t>
      </w:r>
      <w:r>
        <w:t xml:space="preserve"> </w:t>
      </w:r>
      <w:r>
        <w:t xml:space="preserve">stress grid is 1.28 pp (Table 4.5), the third-largest driver</w:t>
      </w:r>
      <w:r>
        <w:t xml:space="preserve"> </w:t>
      </w:r>
      <w:r>
        <w:t xml:space="preserve">after PD multiplier and APR strategy. The thesis’s findings</w:t>
      </w:r>
      <w:r>
        <w:t xml:space="preserve"> </w:t>
      </w:r>
      <w:r>
        <w:t xml:space="preserve">are robust across LGD ∈ {0.55, 0.65, 0.75, 0.85} (the four</w:t>
      </w:r>
      <w:r>
        <w:t xml:space="preserve"> </w:t>
      </w:r>
      <w:r>
        <w:t xml:space="preserve">levels used in the 576-cell grid); the magnitude of the</w:t>
      </w:r>
      <w:r>
        <w:t xml:space="preserve"> </w:t>
      </w:r>
      <w:r>
        <w:t xml:space="preserve">dollar uplift would shift with empirical LGD calibration, but</w:t>
      </w:r>
      <w:r>
        <w:t xml:space="preserve"> </w:t>
      </w:r>
      <w:r>
        <w:t xml:space="preserve">the direction of the profit-vs-Youden finding is preserved</w:t>
      </w:r>
      <w:r>
        <w:t xml:space="preserve"> </w:t>
      </w:r>
      <w:r>
        <w:t xml:space="preserve">within the tested range.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Addressed by the four-level LGD grid</w:t>
      </w:r>
      <w:r>
        <w:t xml:space="preserve"> </w:t>
      </w:r>
      <w:r>
        <w:t xml:space="preserve">in Phase 3.2 and by the five-level sensitivity grid documented</w:t>
      </w:r>
      <w:r>
        <w:t xml:space="preserve"> </w:t>
      </w:r>
      <w:r>
        <w:t xml:space="preserve">in Chapter 3 §3.4. Empirical LGD recovery deferred to Future</w:t>
      </w:r>
      <w:r>
        <w:t xml:space="preserve"> </w:t>
      </w:r>
      <w:r>
        <w:t xml:space="preserve">Work F1.</w:t>
      </w:r>
    </w:p>
    <w:bookmarkEnd w:id="123"/>
    <w:bookmarkStart w:id="124" w:name="X65d59c1222a991aa930f135e4f07f223370211a"/>
    <w:p>
      <w:pPr>
        <w:pStyle w:val="Heading3"/>
      </w:pPr>
      <w:r>
        <w:rPr>
          <w:rStyle w:val="SectionNumber"/>
        </w:rPr>
        <w:t xml:space="preserve">7.1.5</w:t>
      </w:r>
      <w:r>
        <w:tab/>
      </w:r>
      <w:r>
        <w:t xml:space="preserve">Limitation 5 — Constant monthly hazard assumption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locked formulas (Chapter 3 §3.4) extrapolate</w:t>
      </w:r>
      <w:r>
        <w:t xml:space="preserve"> </w:t>
      </w:r>
      <w:r>
        <w:t xml:space="preserve">the monthly hazard</w:t>
      </w:r>
      <w:r>
        <w:t xml:space="preserve"> </w:t>
      </w:r>
      <w:r>
        <w:rPr>
          <w:rStyle w:val="VerbatimChar"/>
        </w:rPr>
        <w:t xml:space="preserve">h = 1 − (1 − PD₁₂ₘ)^(1/12)</w:t>
      </w:r>
      <w:r>
        <w:t xml:space="preserve"> </w:t>
      </w:r>
      <w:r>
        <w:t xml:space="preserve">from the</w:t>
      </w:r>
      <w:r>
        <w:t xml:space="preserve"> </w:t>
      </w:r>
      <w:r>
        <w:t xml:space="preserve">12-month forward PD across the full amortization schedule. For</w:t>
      </w:r>
      <w:r>
        <w:t xml:space="preserve"> </w:t>
      </w:r>
      <w:r>
        <w:t xml:space="preserve">36-month loans this implies a cumulative PD of</w:t>
      </w:r>
      <w:r>
        <w:t xml:space="preserve"> </w:t>
      </w:r>
      <w:r>
        <w:rPr>
          <w:rStyle w:val="VerbatimChar"/>
        </w:rPr>
        <w:t xml:space="preserve">1 − (1 − h)^36</w:t>
      </w:r>
      <w:r>
        <w:t xml:space="preserve">,</w:t>
      </w:r>
      <w:r>
        <w:t xml:space="preserve"> </w:t>
      </w:r>
      <w:r>
        <w:t xml:space="preserve">assuming the same monthly hazard throughout the loan life.</w:t>
      </w:r>
      <w:r>
        <w:t xml:space="preserve"> </w:t>
      </w:r>
      <w:r>
        <w:t xml:space="preserve">Real-world monthly default hazards typically</w:t>
      </w:r>
      <w:r>
        <w:t xml:space="preserve"> </w:t>
      </w:r>
      <w:r>
        <w:rPr>
          <w:i/>
          <w:iCs/>
        </w:rPr>
        <w:t xml:space="preserve">decline</w:t>
      </w:r>
      <w:r>
        <w:t xml:space="preserve"> </w:t>
      </w:r>
      <w:r>
        <w:t xml:space="preserve">with</w:t>
      </w:r>
      <w:r>
        <w:t xml:space="preserve"> </w:t>
      </w:r>
      <w:r>
        <w:t xml:space="preserve">loan age (the curing effect: borrowers who survive the first</w:t>
      </w:r>
      <w:r>
        <w:t xml:space="preserve"> </w:t>
      </w:r>
      <w:r>
        <w:t xml:space="preserve">year are increasingly likely to keep paying), so the</w:t>
      </w:r>
      <w:r>
        <w:t xml:space="preserve"> </w:t>
      </w:r>
      <w:r>
        <w:t xml:space="preserve">constant-hazard assumption likely overstates lifetime expected</w:t>
      </w:r>
      <w:r>
        <w:t xml:space="preserve"> </w:t>
      </w:r>
      <w:r>
        <w:t xml:space="preserve">loss on long-tenor loans.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(locked formula stack, hazard</w:t>
      </w:r>
      <w:r>
        <w:t xml:space="preserve"> </w:t>
      </w:r>
      <w:r>
        <w:t xml:space="preserve">extrapolation); Chapter 5 §5.5 fourth bullet (boundary</w:t>
      </w:r>
      <w:r>
        <w:t xml:space="preserve"> </w:t>
      </w:r>
      <w:r>
        <w:t xml:space="preserve">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Lifetime EL on 36-month loans is</w:t>
      </w:r>
      <w:r>
        <w:t xml:space="preserve"> </w:t>
      </w:r>
      <w:r>
        <w:t xml:space="preserve">biased high by the constant-hazard assumption. Because</w:t>
      </w:r>
      <w:r>
        <w:t xml:space="preserve"> </w:t>
      </w:r>
      <w:r>
        <w:t xml:space="preserve">Expected Profit = LT_margin − LT_EL, this also biases</w:t>
      </w:r>
      <w:r>
        <w:t xml:space="preserve"> </w:t>
      </w:r>
      <w:r>
        <w:t xml:space="preserve">Expected Profit</w:t>
      </w:r>
      <w:r>
        <w:t xml:space="preserve"> </w:t>
      </w:r>
      <w:r>
        <w:rPr>
          <w:i/>
          <w:iCs/>
        </w:rPr>
        <w:t xml:space="preserve">low</w:t>
      </w:r>
      <w:r>
        <w:t xml:space="preserve"> </w:t>
      </w:r>
      <w:r>
        <w:t xml:space="preserve">on 36-month loans. A declining-hazard</w:t>
      </w:r>
      <w:r>
        <w:t xml:space="preserve"> </w:t>
      </w:r>
      <w:r>
        <w:t xml:space="preserve">alternative would likely increase expected profit for</w:t>
      </w:r>
      <w:r>
        <w:t xml:space="preserve"> </w:t>
      </w:r>
      <w:r>
        <w:t xml:space="preserve">long-tenor accepted loans, but the net effect on the</w:t>
      </w:r>
      <w:r>
        <w:t xml:space="preserve"> </w:t>
      </w:r>
      <w:r>
        <w:t xml:space="preserve">profit-uplift metric (which depends on the</w:t>
      </w:r>
      <w:r>
        <w:t xml:space="preserve"> </w:t>
      </w:r>
      <w:r>
        <w:rPr>
          <w:i/>
          <w:iCs/>
        </w:rPr>
        <w:t xml:space="preserve">gap</w:t>
      </w:r>
      <w:r>
        <w:t xml:space="preserve"> </w:t>
      </w:r>
      <w:r>
        <w:t xml:space="preserve">between</w:t>
      </w:r>
      <w:r>
        <w:t xml:space="preserve"> </w:t>
      </w:r>
      <w:r>
        <w:t xml:space="preserve">profit-driven and Youden cut-offs) should be verified</w:t>
      </w:r>
      <w:r>
        <w:t xml:space="preserve"> </w:t>
      </w:r>
      <w:r>
        <w:t xml:space="preserve">empirically under Future Work F4.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 by sensitivity analysis;</w:t>
      </w:r>
      <w:r>
        <w:t xml:space="preserve"> </w:t>
      </w:r>
      <w:r>
        <w:t xml:space="preserve">addressable by a Weibull or log-logistic hazard fit (Future</w:t>
      </w:r>
      <w:r>
        <w:t xml:space="preserve"> </w:t>
      </w:r>
      <w:r>
        <w:t xml:space="preserve">Work F4).</w:t>
      </w:r>
    </w:p>
    <w:bookmarkEnd w:id="124"/>
    <w:bookmarkStart w:id="125" w:name="X128f2724c9bf1d9355bb406b7cb374e84ff9a08"/>
    <w:p>
      <w:pPr>
        <w:pStyle w:val="Heading3"/>
      </w:pPr>
      <w:r>
        <w:rPr>
          <w:rStyle w:val="SectionNumber"/>
        </w:rPr>
        <w:t xml:space="preserve">7.1.6</w:t>
      </w:r>
      <w:r>
        <w:tab/>
      </w:r>
      <w:r>
        <w:t xml:space="preserve">Limitation 6 — LightGBM under-prediction on the eco-OOT subset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PRIMARY PD model (LightGBM tuned + Platt) was</w:t>
      </w:r>
      <w:r>
        <w:t xml:space="preserve"> </w:t>
      </w:r>
      <w:r>
        <w:t xml:space="preserve">calibrated on the calibration slice (cohorts 202611-202612)</w:t>
      </w:r>
      <w:r>
        <w:t xml:space="preserve"> </w:t>
      </w:r>
      <w:r>
        <w:t xml:space="preserve">whose base default rate is approximately 0.85%. The economics-eligible</w:t>
      </w:r>
      <w:r>
        <w:t xml:space="preserve"> </w:t>
      </w:r>
      <w:r>
        <w:t xml:space="preserve">OOT subset (24-month and 36-month loans, n = 64,027) has an</w:t>
      </w:r>
      <w:r>
        <w:t xml:space="preserve"> </w:t>
      </w:r>
      <w:r>
        <w:t xml:space="preserve">empirical base rate of 1.92%, approximately twice the</w:t>
      </w:r>
      <w:r>
        <w:t xml:space="preserve"> </w:t>
      </w:r>
      <w:r>
        <w:t xml:space="preserve">calibration-slice base rate. On the eco-OOT subset the</w:t>
      </w:r>
      <w:r>
        <w:t xml:space="preserve"> </w:t>
      </w:r>
      <w:r>
        <w:t xml:space="preserve">LightGBM Platt-calibrated mean predicted PD is 0.94% versus</w:t>
      </w:r>
      <w:r>
        <w:t xml:space="preserve"> </w:t>
      </w:r>
      <w:r>
        <w:t xml:space="preserve">the empirical 1.92%, a predicted-to-observed ratio of 0.49 —</w:t>
      </w:r>
      <w:r>
        <w:t xml:space="preserve"> </w:t>
      </w:r>
      <w:r>
        <w:t xml:space="preserve">under-prediction by roughly a factor of two.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§3.3 (calibration design, mean</w:t>
      </w:r>
      <w:r>
        <w:t xml:space="preserve"> </w:t>
      </w:r>
      <w:r>
        <w:t xml:space="preserve">under-prediction caveat), Table 3.4b (calibration verification);</w:t>
      </w:r>
      <w:r>
        <w:t xml:space="preserve"> </w:t>
      </w:r>
      <w:r>
        <w:t xml:space="preserve">Chapter 4 §4.1 (multi-model comparison reflecting the same</w:t>
      </w:r>
      <w:r>
        <w:t xml:space="preserve"> </w:t>
      </w:r>
      <w:r>
        <w:t xml:space="preserve">caveat); Chapter 5 §5.5 third bullet (boundary condition).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under-prediction is a real</w:t>
      </w:r>
      <w:r>
        <w:t xml:space="preserve"> </w:t>
      </w:r>
      <w:r>
        <w:t xml:space="preserve">calibration weakness on the eco-OOT subset specifically. The</w:t>
      </w:r>
      <w:r>
        <w:t xml:space="preserve"> </w:t>
      </w:r>
      <w:r>
        <w:t xml:space="preserve">PD-multiplier scenarios in Phase 3 and 4 (multipliers</w:t>
      </w:r>
      <w:r>
        <w:t xml:space="preserve"> </w:t>
      </w:r>
      <w:r>
        <w:t xml:space="preserve">{1, 2, 3, 5}) approximately bracket this calibration drift</w:t>
      </w:r>
      <w:r>
        <w:t xml:space="preserve"> </w:t>
      </w:r>
      <w:r>
        <w:t xml:space="preserve">because PD × 2 raises the mean predicted PD from ~0.94% to</w:t>
      </w:r>
      <w:r>
        <w:t xml:space="preserve"> </w:t>
      </w:r>
      <w:r>
        <w:t xml:space="preserve">~1.88%, very close to the empirical 1.92%. The</w:t>
      </w:r>
      <w:r>
        <w:t xml:space="preserve"> </w:t>
      </w:r>
      <w:r>
        <w:t xml:space="preserve">profit-vs-Youden hypothesis is tested at every multiplier and</w:t>
      </w:r>
      <w:r>
        <w:t xml:space="preserve"> </w:t>
      </w:r>
      <w:r>
        <w:t xml:space="preserve">survives each one (§4.5, §4.7), so the finding is not driven</w:t>
      </w:r>
      <w:r>
        <w:t xml:space="preserve"> </w:t>
      </w:r>
      <w:r>
        <w:t xml:space="preserve">by the under-prediction. Any real-world deployment of the</w:t>
      </w:r>
      <w:r>
        <w:t xml:space="preserve"> </w:t>
      </w:r>
      <w:r>
        <w:t xml:space="preserve">framework would need to re-calibrate against its own cohort</w:t>
      </w:r>
      <w:r>
        <w:t xml:space="preserve"> </w:t>
      </w:r>
      <w:r>
        <w:t xml:space="preserve">base rate.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Bracketed by the PD-multiplier</w:t>
      </w:r>
      <w:r>
        <w:t xml:space="preserve"> </w:t>
      </w:r>
      <w:r>
        <w:t xml:space="preserve">sensitivity in Phase 3 and 4. Direct re-calibration against an</w:t>
      </w:r>
      <w:r>
        <w:t xml:space="preserve"> </w:t>
      </w:r>
      <w:r>
        <w:t xml:space="preserve">expected eco-OOT base rate is straightforward future work.</w:t>
      </w:r>
    </w:p>
    <w:bookmarkEnd w:id="125"/>
    <w:bookmarkStart w:id="126" w:name="X5a4740a79c8f93a4df9c6faca779af415d79f9b"/>
    <w:p>
      <w:pPr>
        <w:pStyle w:val="Heading3"/>
      </w:pPr>
      <w:r>
        <w:rPr>
          <w:rStyle w:val="SectionNumber"/>
        </w:rPr>
        <w:t xml:space="preserve">7.1.7</w:t>
      </w:r>
      <w:r>
        <w:tab/>
      </w:r>
      <w:r>
        <w:t xml:space="preserve">Limitation 7 — Operating cost sensitivity strong; base case excludes recurring op_cost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Phase 3.2 576-cell economic stress grid held</w:t>
      </w:r>
      <w:r>
        <w:t xml:space="preserve"> </w:t>
      </w:r>
      <w:r>
        <w:t xml:space="preserve">operating cost at zero throughout, treating it as a separate</w:t>
      </w:r>
      <w:r>
        <w:t xml:space="preserve"> </w:t>
      </w:r>
      <w:r>
        <w:t xml:space="preserve">primary lever in Phase 4.2 PART B. The Phase 4.2 op_cost</w:t>
      </w:r>
      <w:r>
        <w:t xml:space="preserve"> </w:t>
      </w:r>
      <w:r>
        <w:t xml:space="preserve">robustness study (Chapter 4 §4.6) found that operating cost is</w:t>
      </w:r>
      <w:r>
        <w:t xml:space="preserve"> </w:t>
      </w:r>
      <w:r>
        <w:t xml:space="preserve">a powerful lever: at op_cost = 4% combined with adverse</w:t>
      </w:r>
      <w:r>
        <w:t xml:space="preserve"> </w:t>
      </w:r>
      <w:r>
        <w:t xml:space="preserve">economic stress, the framework collapses into the only</w:t>
      </w:r>
      <w:r>
        <w:t xml:space="preserve"> </w:t>
      </w:r>
      <w:r>
        <w:t xml:space="preserve">reject-most regime observed in the 64-cell stress space.</w:t>
      </w:r>
      <w:r>
        <w:t xml:space="preserve"> </w:t>
      </w:r>
      <w:r>
        <w:t xml:space="preserve">Real lending operations typically incur op_cost in the</w:t>
      </w:r>
      <w:r>
        <w:t xml:space="preserve"> </w:t>
      </w:r>
      <w:r>
        <w:t xml:space="preserve">1-5% range [TODO: cite banking operating-cost benchmarks; same</w:t>
      </w:r>
      <w:r>
        <w:t xml:space="preserve"> </w:t>
      </w:r>
      <w:r>
        <w:t xml:space="preserve">source as Chapter 4 §4.6]; the base case’s</w:t>
      </w:r>
      <w:r>
        <w:t xml:space="preserve"> </w:t>
      </w:r>
      <w:r>
        <w:rPr>
          <w:rStyle w:val="VerbatimChar"/>
        </w:rPr>
        <w:t xml:space="preserve">op_cost = 0</w:t>
      </w:r>
      <w:r>
        <w:t xml:space="preserve"> </w:t>
      </w:r>
      <w:r>
        <w:t xml:space="preserve">is</w:t>
      </w:r>
      <w:r>
        <w:t xml:space="preserve"> </w:t>
      </w:r>
      <w:r>
        <w:t xml:space="preserve">unrealistic for production deployment.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§3.4 (base case parameters); Chapter</w:t>
      </w:r>
      <w:r>
        <w:t xml:space="preserve"> </w:t>
      </w:r>
      <w:r>
        <w:t xml:space="preserve">4 §4.6 (PART B op_cost robustness); Chapter 5 §5.2 Implication</w:t>
      </w:r>
      <w:r>
        <w:t xml:space="preserve"> </w:t>
      </w:r>
      <w:r>
        <w:t xml:space="preserve">2 (operational cost management is critical).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base economic results in §4.2 (mean</w:t>
      </w:r>
      <w:r>
        <w:t xml:space="preserve"> </w:t>
      </w:r>
      <w:r>
        <w:t xml:space="preserve">Expected Profit $1,493 per account, 100% positive Expected</w:t>
      </w:r>
      <w:r>
        <w:t xml:space="preserve"> </w:t>
      </w:r>
      <w:r>
        <w:t xml:space="preserve">Profit) are upper-bound estimates that do not reflect</w:t>
      </w:r>
      <w:r>
        <w:t xml:space="preserve"> </w:t>
      </w:r>
      <w:r>
        <w:t xml:space="preserve">real-world operating expense. The implications drawn from the</w:t>
      </w:r>
      <w:r>
        <w:t xml:space="preserve"> </w:t>
      </w:r>
      <w:r>
        <w:t xml:space="preserve">576-cell grid (§4.3) — particularly the absence of reject-most</w:t>
      </w:r>
      <w:r>
        <w:t xml:space="preserve"> </w:t>
      </w:r>
      <w:r>
        <w:t xml:space="preserve">cells in the grid — would shift if op_cost were added as a</w:t>
      </w:r>
      <w:r>
        <w:t xml:space="preserve"> </w:t>
      </w:r>
      <w:r>
        <w:t xml:space="preserve">sixth dimension. The reject-most regime under</w:t>
      </w:r>
      <w:r>
        <w:t xml:space="preserve"> </w:t>
      </w:r>
      <w:r>
        <w:t xml:space="preserve">adverse_stress + op_cost = 4% (§4.6) demonstrates that</w:t>
      </w:r>
      <w:r>
        <w:t xml:space="preserve"> </w:t>
      </w:r>
      <w:r>
        <w:t xml:space="preserve">operating cost can flip the framework’s recommendation from</w:t>
      </w:r>
      <w:r>
        <w:t xml:space="preserve"> </w:t>
      </w:r>
      <w:r>
        <w:t xml:space="preserve">interior optimisation to near-rejection.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Addressed by Phase 4.2 PART B</w:t>
      </w:r>
      <w:r>
        <w:t xml:space="preserve"> </w:t>
      </w:r>
      <w:r>
        <w:t xml:space="preserve">(four-level op_cost grid {0.00, 0.01, 0.02, 0.04} on three</w:t>
      </w:r>
      <w:r>
        <w:t xml:space="preserve"> </w:t>
      </w:r>
      <w:r>
        <w:t xml:space="preserve">anchors) and by Phase 4.2 PART C (combined Gini × op_cost</w:t>
      </w:r>
      <w:r>
        <w:t xml:space="preserve"> </w:t>
      </w:r>
      <w:r>
        <w:t xml:space="preserve">mini-grid). Citation of real-market op_cost benchmarks is</w:t>
      </w:r>
      <w:r>
        <w:t xml:space="preserve"> </w:t>
      </w:r>
      <w:r>
        <w:t xml:space="preserve">flagged HIGH PRIORITY in Chapter 4 §4.6.</w:t>
      </w:r>
    </w:p>
    <w:bookmarkEnd w:id="126"/>
    <w:bookmarkStart w:id="127" w:name="X52d6e0dd19fdc154f83cf7037bcdf544a22a834"/>
    <w:p>
      <w:pPr>
        <w:pStyle w:val="Heading3"/>
      </w:pPr>
      <w:r>
        <w:rPr>
          <w:rStyle w:val="SectionNumber"/>
        </w:rPr>
        <w:t xml:space="preserve">7.1.8</w:t>
      </w:r>
      <w:r>
        <w:tab/>
      </w:r>
      <w:r>
        <w:t xml:space="preserve">Limitation 8 — Scorem / demographic over-determinism in simulator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simulator’s internal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 </w:t>
      </w:r>
      <w:r>
        <w:t xml:space="preserve">columns are produced by a fixed combination of borrower</w:t>
      </w:r>
      <w:r>
        <w:t xml:space="preserve"> </w:t>
      </w:r>
      <w:r>
        <w:t xml:space="preserve">demographic and behavioural features and are nearly</w:t>
      </w:r>
      <w:r>
        <w:t xml:space="preserve"> </w:t>
      </w:r>
      <w:r>
        <w:t xml:space="preserve">tautological with respect to default outcome (Phase 2A</w:t>
      </w:r>
      <w:r>
        <w:t xml:space="preserve"> </w:t>
      </w:r>
      <w:r>
        <w:t xml:space="preserve">diagnostic exp2 measured the absolute Gini of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default_flag_12m</w:t>
      </w:r>
      <w:r>
        <w:t xml:space="preserve"> </w:t>
      </w:r>
      <w:r>
        <w:t xml:space="preserve">at the observation point in the 0.93-0.97</w:t>
      </w:r>
      <w:r>
        <w:t xml:space="preserve"> </w:t>
      </w:r>
      <w:r>
        <w:t xml:space="preserve">range). The simulator therefore exhibits stronger</w:t>
      </w:r>
      <w:r>
        <w:t xml:space="preserve"> </w:t>
      </w:r>
      <w:r>
        <w:t xml:space="preserve">demographic-to-outcome determinism than typical real</w:t>
      </w:r>
      <w:r>
        <w:t xml:space="preserve"> </w:t>
      </w:r>
      <w:r>
        <w:t xml:space="preserve">consumer-credit portfolios. The locked build pipeline excludes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scorem</w:t>
      </w:r>
      <w:r>
        <w:t xml:space="preserve">, and any score-derived column from the wide</w:t>
      </w:r>
      <w:r>
        <w:t xml:space="preserve"> </w:t>
      </w:r>
      <w:r>
        <w:t xml:space="preserve">ABT by an explicit</w:t>
      </w:r>
      <w:r>
        <w:t xml:space="preserve"> </w:t>
      </w:r>
      <w:r>
        <w:rPr>
          <w:rStyle w:val="VerbatimChar"/>
        </w:rPr>
        <w:t xml:space="preserve">FINAL_COLS</w:t>
      </w:r>
      <w:r>
        <w:t xml:space="preserve"> </w:t>
      </w:r>
      <w:r>
        <w:t xml:space="preserve">whitelist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scripts/build_wide_abt.py:923</w:t>
      </w:r>
      <w:r>
        <w:t xml:space="preserve">), preventing the leakage from</w:t>
      </w:r>
      <w:r>
        <w:t xml:space="preserve"> </w:t>
      </w:r>
      <w:r>
        <w:t xml:space="preserve">contaminating the PD models.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§3.2 (score/scorem exclusion);</w:t>
      </w:r>
      <w:r>
        <w:t xml:space="preserve"> </w:t>
      </w:r>
      <w:r>
        <w:t xml:space="preserve">Chapter 4 §4.1 (F6D negative-control gate verifying no leakage</w:t>
      </w:r>
      <w:r>
        <w:t xml:space="preserve"> </w:t>
      </w:r>
      <w:r>
        <w:t xml:space="preserve">in the Lasso pipeline; LightGBM retune verifying no leakage</w:t>
      </w:r>
      <w:r>
        <w:t xml:space="preserve"> </w:t>
      </w:r>
      <w:r>
        <w:t xml:space="preserve">in the gradient-boosted track).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PD models trained on the wide ABT</w:t>
      </w:r>
      <w:r>
        <w:t xml:space="preserve"> </w:t>
      </w:r>
      <w:r>
        <w:t xml:space="preserve">benefit from strong demographic signals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app_nom_job_code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app_nom_marital_status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act_age</w:t>
      </w:r>
      <w:r>
        <w:t xml:space="preserve">)</w:t>
      </w:r>
      <w:r>
        <w:t xml:space="preserve"> </w:t>
      </w:r>
      <w:r>
        <w:t xml:space="preserve">because the simulator’s score formula weights these heavily.</w:t>
      </w:r>
      <w:r>
        <w:t xml:space="preserve"> </w:t>
      </w:r>
      <w:r>
        <w:t xml:space="preserve">Real consumer-credit data may show weaker demographic</w:t>
      </w:r>
      <w:r>
        <w:t xml:space="preserve"> </w:t>
      </w:r>
      <w:r>
        <w:t xml:space="preserve">determinism, in which case the PD models trained on real data</w:t>
      </w:r>
      <w:r>
        <w:t xml:space="preserve"> </w:t>
      </w:r>
      <w:r>
        <w:t xml:space="preserve">would have lower discrimination than the simulator-trained</w:t>
      </w:r>
      <w:r>
        <w:t xml:space="preserve"> </w:t>
      </w:r>
      <w:r>
        <w:t xml:space="preserve">LightGBM Gini ≈ 0.80. This is one mechanism by which</w:t>
      </w:r>
      <w:r>
        <w:t xml:space="preserve"> </w:t>
      </w:r>
      <w:r>
        <w:t xml:space="preserve">real-data discrimination might land in the Gini 0.45-0.60</w:t>
      </w:r>
      <w:r>
        <w:t xml:space="preserve"> </w:t>
      </w:r>
      <w:r>
        <w:t xml:space="preserve">range tested in Phase 4.2 PART A — the PD-quality stress</w:t>
      </w:r>
      <w:r>
        <w:t xml:space="preserve"> </w:t>
      </w:r>
      <w:r>
        <w:t xml:space="preserve">study is therefore a partial proxy for the real-data</w:t>
      </w:r>
      <w:r>
        <w:t xml:space="preserve"> </w:t>
      </w:r>
      <w:r>
        <w:t xml:space="preserve">transition documented under Future Work F2.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Indirectly addressed by the</w:t>
      </w:r>
      <w:r>
        <w:t xml:space="preserve"> </w:t>
      </w:r>
      <w:r>
        <w:t xml:space="preserve">PD-quality stress in Phase 4.2 PART A (which tests Gini levels</w:t>
      </w:r>
      <w:r>
        <w:t xml:space="preserve"> </w:t>
      </w:r>
      <w:r>
        <w:t xml:space="preserve">spanning 0.30-0.80). Direct addressing requires real-data</w:t>
      </w:r>
      <w:r>
        <w:t xml:space="preserve"> </w:t>
      </w:r>
      <w:r>
        <w:t xml:space="preserve">replication (Future Work F2).</w:t>
      </w:r>
    </w:p>
    <w:bookmarkEnd w:id="127"/>
    <w:bookmarkStart w:id="128" w:name="X61680fb2d99b737ade9ef494d5faa43e3682825"/>
    <w:p>
      <w:pPr>
        <w:pStyle w:val="Heading3"/>
      </w:pPr>
      <w:r>
        <w:rPr>
          <w:rStyle w:val="SectionNumber"/>
        </w:rPr>
        <w:t xml:space="preserve">7.1.9</w:t>
      </w:r>
      <w:r>
        <w:tab/>
      </w:r>
      <w:r>
        <w:t xml:space="preserve">Limitation 9 — Single simulator configuration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All thesis results derive from a single</w:t>
      </w:r>
      <w:r>
        <w:t xml:space="preserve"> </w:t>
      </w:r>
      <w:r>
        <w:t xml:space="preserve">simulator seed (42), a single value of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(0.00),</w:t>
      </w:r>
      <w:r>
        <w:t xml:space="preserve"> </w:t>
      </w:r>
      <w:r>
        <w:t xml:space="preserve">and a single client-generation rate (800 per day for 60</w:t>
      </w:r>
      <w:r>
        <w:t xml:space="preserve"> </w:t>
      </w:r>
      <w:r>
        <w:t xml:space="preserve">months). Cross-seed and cross-configuration robustness is not</w:t>
      </w:r>
      <w:r>
        <w:t xml:space="preserve"> </w:t>
      </w:r>
      <w:r>
        <w:t xml:space="preserve">empirically established. The bootstrap CIs in Phase 4.1</w:t>
      </w:r>
      <w:r>
        <w:t xml:space="preserve"> </w:t>
      </w:r>
      <w:r>
        <w:t xml:space="preserve">quantify within-OOT sampling uncertainty only and do not</w:t>
      </w:r>
      <w:r>
        <w:t xml:space="preserve"> </w:t>
      </w:r>
      <w:r>
        <w:t xml:space="preserve">capture cross-configuration variance.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§3.1 (single production run);</w:t>
      </w:r>
      <w:r>
        <w:t xml:space="preserve"> </w:t>
      </w:r>
      <w:r>
        <w:t xml:space="preserve">Chapter 5 §5.5 first bullet (boundary condition); §5.6</w:t>
      </w:r>
      <w:r>
        <w:t xml:space="preserve"> </w:t>
      </w:r>
      <w:r>
        <w:t xml:space="preserve">Direction 3 (multi-seed simulator robustness as Future Work).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All point estimates and CIs in Chapter 4</w:t>
      </w:r>
      <w:r>
        <w:t xml:space="preserve"> </w:t>
      </w:r>
      <w:r>
        <w:t xml:space="preserve">are conditioned on the single configuration. If the four</w:t>
      </w:r>
      <w:r>
        <w:t xml:space="preserve"> </w:t>
      </w:r>
      <w:r>
        <w:t xml:space="preserve">headline findings are sensitive to seed or to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,</w:t>
      </w:r>
      <w:r>
        <w:t xml:space="preserve"> </w:t>
      </w:r>
      <w:r>
        <w:t xml:space="preserve">the thesis’s quantitative magnitudes would change accordingly;</w:t>
      </w:r>
      <w:r>
        <w:t xml:space="preserve"> </w:t>
      </w:r>
      <w:r>
        <w:t xml:space="preserve">qualitative findings (strict positivity of dollar uplift,</w:t>
      </w:r>
      <w:r>
        <w:t xml:space="preserve"> </w:t>
      </w:r>
      <w:r>
        <w:t xml:space="preserve">widening of cut-off gap with weaker PD) may be more robust</w:t>
      </w:r>
      <w:r>
        <w:t xml:space="preserve"> </w:t>
      </w:r>
      <w:r>
        <w:t xml:space="preserve">because they reflect structural properties of the locked</w:t>
      </w:r>
      <w:r>
        <w:t xml:space="preserve"> </w:t>
      </w:r>
      <w:r>
        <w:t xml:space="preserve">formulas and the Youden-vs-profit comparison, but this remains</w:t>
      </w:r>
      <w:r>
        <w:t xml:space="preserve"> </w:t>
      </w:r>
      <w:r>
        <w:t xml:space="preserve">an empirical question for Future Work F6.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Not addressed; addressable by Future</w:t>
      </w:r>
      <w:r>
        <w:t xml:space="preserve"> </w:t>
      </w:r>
      <w:r>
        <w:t xml:space="preserve">Work F6 (multi-seed sweep of the entire pipeline).</w:t>
      </w:r>
    </w:p>
    <w:bookmarkEnd w:id="128"/>
    <w:bookmarkStart w:id="129" w:name="X16136e6ff08dea1fb9fe70b7a40098da70803ba"/>
    <w:p>
      <w:pPr>
        <w:pStyle w:val="Heading3"/>
      </w:pPr>
      <w:r>
        <w:rPr>
          <w:rStyle w:val="SectionNumber"/>
        </w:rPr>
        <w:t xml:space="preserve">7.1.10</w:t>
      </w:r>
      <w:r>
        <w:tab/>
      </w:r>
      <w:r>
        <w:t xml:space="preserve">Limitation 10 — Bootstrap captures sampling uncertainty only</w:t>
      </w:r>
    </w:p>
    <w:p>
      <w:pPr>
        <w:pStyle w:val="FirstParagraph"/>
      </w:pPr>
      <w:r>
        <w:rPr>
          <w:b/>
          <w:bCs/>
        </w:rPr>
        <w:t xml:space="preserve">Statement.</w:t>
      </w:r>
      <w:r>
        <w:t xml:space="preserve"> </w:t>
      </w:r>
      <w:r>
        <w:t xml:space="preserve">The Phase 4.1 1,000-resample bootstrap on the</w:t>
      </w:r>
      <w:r>
        <w:t xml:space="preserve"> </w:t>
      </w:r>
      <w:r>
        <w:t xml:space="preserve">64,027-row OOT economics population (Chapter 3 §3.6, Chapter</w:t>
      </w:r>
      <w:r>
        <w:t xml:space="preserve"> </w:t>
      </w:r>
      <w:r>
        <w:t xml:space="preserve">4 §4.4) quantifies</w:t>
      </w:r>
      <w:r>
        <w:t xml:space="preserve"> </w:t>
      </w:r>
      <w:r>
        <w:rPr>
          <w:i/>
          <w:iCs/>
        </w:rPr>
        <w:t xml:space="preserve">within-population sampling</w:t>
      </w:r>
      <w:r>
        <w:t xml:space="preserve"> </w:t>
      </w:r>
      <w:r>
        <w:t xml:space="preserve">uncertainty.</w:t>
      </w:r>
      <w:r>
        <w:t xml:space="preserve"> </w:t>
      </w:r>
      <w:r>
        <w:t xml:space="preserve">It does not capture (i) PD model uncertainty across</w:t>
      </w:r>
      <w:r>
        <w:t xml:space="preserve"> </w:t>
      </w:r>
      <w:r>
        <w:t xml:space="preserve">alternative hyperparameters, (ii) calibration drift across</w:t>
      </w:r>
      <w:r>
        <w:t xml:space="preserve"> </w:t>
      </w:r>
      <w:r>
        <w:t xml:space="preserve">cohorts beyond 202706, (iii) APR / LGD / cost-of-funds</w:t>
      </w:r>
      <w:r>
        <w:t xml:space="preserve"> </w:t>
      </w:r>
      <w:r>
        <w:t xml:space="preserve">assumption uncertainty, or (iv) formula-choice uncertainty</w:t>
      </w:r>
      <w:r>
        <w:t xml:space="preserve"> </w:t>
      </w:r>
      <w:r>
        <w:t xml:space="preserve">(constant versus declining hazard, lifetime versus</w:t>
      </w:r>
      <w:r>
        <w:t xml:space="preserve"> </w:t>
      </w:r>
      <w:r>
        <w:t xml:space="preserve">single-period, alternative discount factor conventions).</w:t>
      </w:r>
    </w:p>
    <w:p>
      <w:pPr>
        <w:pStyle w:val="BodyText"/>
      </w:pPr>
      <w:r>
        <w:rPr>
          <w:b/>
          <w:bCs/>
        </w:rPr>
        <w:t xml:space="preserve">Reference.</w:t>
      </w:r>
      <w:r>
        <w:t xml:space="preserve"> </w:t>
      </w:r>
      <w:r>
        <w:t xml:space="preserve">Chapter 3 §3.6 (bootstrap design and phrasing</w:t>
      </w:r>
      <w:r>
        <w:t xml:space="preserve"> </w:t>
      </w:r>
      <w:r>
        <w:t xml:space="preserve">rules); Chapter 4 §4.4 (bootstrap CI table and explicit</w:t>
      </w:r>
      <w:r>
        <w:t xml:space="preserve"> </w:t>
      </w:r>
      <w:r>
        <w:t xml:space="preserve">omitted-uncertainty list); Chapter 5 §5.4</w:t>
      </w:r>
      <w:r>
        <w:t xml:space="preserve"> </w:t>
      </w:r>
      <w:r>
        <w:t xml:space="preserve">(bootstrap-versus-assumption discipline).</w:t>
      </w:r>
    </w:p>
    <w:p>
      <w:pPr>
        <w:pStyle w:val="BodyText"/>
      </w:pPr>
      <w:r>
        <w:rPr>
          <w:b/>
          <w:bCs/>
        </w:rPr>
        <w:t xml:space="preserve">Scope of impact.</w:t>
      </w:r>
      <w:r>
        <w:t xml:space="preserve"> </w:t>
      </w:r>
      <w:r>
        <w:t xml:space="preserve">The bootstrap CIs in Table 4.6 are valid</w:t>
      </w:r>
      <w:r>
        <w:t xml:space="preserve"> </w:t>
      </w:r>
      <w:r>
        <w:t xml:space="preserve">estimates of the noise in the cut-off metrics that would</w:t>
      </w:r>
      <w:r>
        <w:t xml:space="preserve"> </w:t>
      </w:r>
      <w:r>
        <w:t xml:space="preserve">arise if the same locked pipeline were applied to a different</w:t>
      </w:r>
      <w:r>
        <w:t xml:space="preserve"> </w:t>
      </w:r>
      <w:r>
        <w:t xml:space="preserve">sample drawn from the same OOT population. They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estimates of the variance that would arise across alternative</w:t>
      </w:r>
      <w:r>
        <w:t xml:space="preserve"> </w:t>
      </w:r>
      <w:r>
        <w:t xml:space="preserve">PD models, alternative APR / LGD assumptions, or alternative</w:t>
      </w:r>
      <w:r>
        <w:t xml:space="preserve"> </w:t>
      </w:r>
      <w:r>
        <w:t xml:space="preserve">formula choices. Each of those uncertainty sources is</w:t>
      </w:r>
      <w:r>
        <w:t xml:space="preserve"> </w:t>
      </w:r>
      <w:r>
        <w:t xml:space="preserve">addressed by a different methodology element: multi-model PD</w:t>
      </w:r>
      <w:r>
        <w:t xml:space="preserve"> </w:t>
      </w:r>
      <w:r>
        <w:t xml:space="preserve">comparison (§4.1), multi-dimensional stress grids (§4.3,</w:t>
      </w:r>
      <w:r>
        <w:t xml:space="preserve"> </w:t>
      </w:r>
      <w:r>
        <w:t xml:space="preserve">§4.5, §4.6, §4.7), and the locked formula contract</w:t>
      </w:r>
      <w:r>
        <w:t xml:space="preserve"> </w:t>
      </w:r>
      <w:r>
        <w:t xml:space="preserve">(§3.4). The locked phrasing rules (§3.6, applied throughout</w:t>
      </w:r>
      <w:r>
        <w:t xml:space="preserve"> </w:t>
      </w:r>
      <w:r>
        <w:t xml:space="preserve">Chapters 4 and 5) prevent the bootstrap empirical frequencies</w:t>
      </w:r>
      <w:r>
        <w:t xml:space="preserve"> </w:t>
      </w:r>
      <w:r>
        <w:t xml:space="preserve">from being misread as true probabilities.</w:t>
      </w:r>
    </w:p>
    <w:p>
      <w:pPr>
        <w:pStyle w:val="BodyText"/>
      </w:pPr>
      <w:r>
        <w:rPr>
          <w:b/>
          <w:bCs/>
        </w:rPr>
        <w:t xml:space="preserve">Sensitivity coverage.</w:t>
      </w:r>
      <w:r>
        <w:t xml:space="preserve"> </w:t>
      </w:r>
      <w:r>
        <w:t xml:space="preserve">Sampling uncertainty fully</w:t>
      </w:r>
      <w:r>
        <w:t xml:space="preserve"> </w:t>
      </w:r>
      <w:r>
        <w:t xml:space="preserve">addressed by the bootstrap; assumption uncertainty addressed</w:t>
      </w:r>
      <w:r>
        <w:t xml:space="preserve"> </w:t>
      </w:r>
      <w:r>
        <w:t xml:space="preserve">by stress grids; model uncertainty partially addressed by the</w:t>
      </w:r>
      <w:r>
        <w:t xml:space="preserve"> </w:t>
      </w:r>
      <w:r>
        <w:t xml:space="preserve">multi-model comparison; cross-configuration uncertainty</w:t>
      </w:r>
      <w:r>
        <w:t xml:space="preserve"> </w:t>
      </w:r>
      <w:r>
        <w:t xml:space="preserve">deferred to Future Work F6.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8" w:name="future-work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Future Work</w:t>
      </w:r>
    </w:p>
    <w:p>
      <w:pPr>
        <w:pStyle w:val="FirstParagraph"/>
      </w:pPr>
      <w:r>
        <w:t xml:space="preserve">The Future Work catalogue below extends</w:t>
      </w:r>
      <w:r>
        <w:t xml:space="preserve"> </w:t>
      </w:r>
      <w:r>
        <w:rPr>
          <w:rStyle w:val="VerbatimChar"/>
        </w:rPr>
        <w:t xml:space="preserve">thesis_limitations.md</w:t>
      </w:r>
      <w:r>
        <w:t xml:space="preserve"> </w:t>
      </w:r>
      <w:r>
        <w:t xml:space="preserve">and</w:t>
      </w:r>
      <w:r>
        <w:t xml:space="preserve"> </w:t>
      </w:r>
      <w:r>
        <w:t xml:space="preserve">the discussion of §5.6 with a single per-item brief that records the</w:t>
      </w:r>
      <w:r>
        <w:t xml:space="preserve"> </w:t>
      </w:r>
      <w:r>
        <w:t xml:space="preserve">research question, the limitation it addresses, the methodological</w:t>
      </w:r>
      <w:r>
        <w:t xml:space="preserve"> </w:t>
      </w:r>
      <w:r>
        <w:t xml:space="preserve">approach, an estimate of effort or compute cost, and a priority</w:t>
      </w:r>
      <w:r>
        <w:t xml:space="preserve"> </w:t>
      </w:r>
      <w:r>
        <w:t xml:space="preserve">ranking. The seven items are deliberately complementary: F1 and F4</w:t>
      </w:r>
      <w:r>
        <w:t xml:space="preserve"> </w:t>
      </w:r>
      <w:r>
        <w:t xml:space="preserve">strengthen the locked formulas with empirical inputs; F2, F6, and</w:t>
      </w:r>
      <w:r>
        <w:t xml:space="preserve"> </w:t>
      </w:r>
      <w:r>
        <w:t xml:space="preserve">F7 extend the empirical scope across data and configurations;</w:t>
      </w:r>
      <w:r>
        <w:t xml:space="preserve"> </w:t>
      </w:r>
      <w:r>
        <w:t xml:space="preserve">F3 addresses a specific simulator artefact; F5 calibrates the</w:t>
      </w:r>
      <w:r>
        <w:t xml:space="preserve"> </w:t>
      </w:r>
      <w:r>
        <w:t xml:space="preserve">exogenous APR assumption against real markets.</w:t>
      </w:r>
    </w:p>
    <w:bookmarkStart w:id="131" w:name="X642a362edb913d19455ccfb23dbd2696dc811c8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F1 — Empirical LGD recovery from</w:t>
      </w:r>
      <w:r>
        <w:t xml:space="preserve"> </w:t>
      </w:r>
      <w:r>
        <w:rPr>
          <w:rStyle w:val="VerbatimChar"/>
        </w:rPr>
        <w:t xml:space="preserve">transactions.csv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simulator’s empirical post-default</w:t>
      </w:r>
      <w:r>
        <w:t xml:space="preserve"> </w:t>
      </w:r>
      <w:r>
        <w:t xml:space="preserve">LGD distribution fall within the {0.45, 0.55, 0.65, 0.75, 0.85}</w:t>
      </w:r>
      <w:r>
        <w:t xml:space="preserve"> </w:t>
      </w:r>
      <w:r>
        <w:t xml:space="preserve">sensitivity grid used in Chapters 3 and 4, and how would the</w:t>
      </w:r>
      <w:r>
        <w:t xml:space="preserve"> </w:t>
      </w:r>
      <w:r>
        <w:t xml:space="preserve">empirical distribution change the dollar uplift figures of §4.4?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4 (LGD as exogenous assumption).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default_flag_12m == 1</w:t>
      </w:r>
      <w:r>
        <w:t xml:space="preserve"> </w:t>
      </w:r>
      <w:r>
        <w:t xml:space="preserve">aid in</w:t>
      </w:r>
      <w:r>
        <w:t xml:space="preserve"> </w:t>
      </w:r>
      <w:r>
        <w:rPr>
          <w:rStyle w:val="VerbatimChar"/>
        </w:rPr>
        <w:t xml:space="preserve">artifacts/final_data_800d_60m_p00/transactions.csv</w:t>
      </w:r>
      <w:r>
        <w:t xml:space="preserve">, locate the</w:t>
      </w:r>
      <w:r>
        <w:t xml:space="preserve"> </w:t>
      </w:r>
      <w:r>
        <w:t xml:space="preserve">write-off period (the first month with</w:t>
      </w:r>
      <w:r>
        <w:t xml:space="preserve"> </w:t>
      </w:r>
      <w:r>
        <w:rPr>
          <w:rStyle w:val="VerbatimChar"/>
        </w:rPr>
        <w:t xml:space="preserve">coll_status = 8</w:t>
      </w:r>
      <w:r>
        <w:t xml:space="preserve">), sum the</w:t>
      </w:r>
      <w:r>
        <w:t xml:space="preserve"> </w:t>
      </w:r>
      <w:r>
        <w:t xml:space="preserve">subsequent</w:t>
      </w:r>
      <w:r>
        <w:t xml:space="preserve"> </w:t>
      </w:r>
      <w:r>
        <w:rPr>
          <w:rStyle w:val="VerbatimChar"/>
        </w:rPr>
        <w:t xml:space="preserve">paid_installments × installment</w:t>
      </w:r>
      <w:r>
        <w:t xml:space="preserve"> </w:t>
      </w:r>
      <w:r>
        <w:t xml:space="preserve">recoveries (if any),</w:t>
      </w:r>
      <w:r>
        <w:t xml:space="preserve"> </w:t>
      </w:r>
      <w:r>
        <w:t xml:space="preserve">and compute LGD = max(0, (loan_amount − recovered) / loan_amount).</w:t>
      </w:r>
      <w:r>
        <w:t xml:space="preserve"> </w:t>
      </w:r>
      <w:r>
        <w:t xml:space="preserve">Aggregate the per-aid LGDs into a population distribution; compare</w:t>
      </w:r>
      <w:r>
        <w:t xml:space="preserve"> </w:t>
      </w:r>
      <w:r>
        <w:t xml:space="preserve">to the locked sensitivity grid; re-run the Phase 3.1B base economic</w:t>
      </w:r>
      <w:r>
        <w:t xml:space="preserve"> </w:t>
      </w:r>
      <w:r>
        <w:t xml:space="preserve">calculation with the empirical LGD distribution as input and report</w:t>
      </w:r>
      <w:r>
        <w:t xml:space="preserve"> </w:t>
      </w:r>
      <w:r>
        <w:t xml:space="preserve">the shift in mean Expected Profit and total portfolio profit.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~10-30 minutes compute on the existing</w:t>
      </w:r>
      <w:r>
        <w:t xml:space="preserve"> </w:t>
      </w:r>
      <w:r>
        <w:t xml:space="preserve">hardware, depending on memory and I/O bandwidth (transactions.csv</w:t>
      </w:r>
      <w:r>
        <w:t xml:space="preserve"> </w:t>
      </w:r>
      <w:r>
        <w:t xml:space="preserve">is 1.55 GB, 29M rows; the per-aid join is the dominant cost).</w:t>
      </w:r>
      <w:r>
        <w:t xml:space="preserve"> </w:t>
      </w:r>
      <w:r>
        <w:t xml:space="preserve">The new analysis requires no new artifacts beyond an additional</w:t>
      </w:r>
      <w:r>
        <w:t xml:space="preserve"> </w:t>
      </w:r>
      <w:r>
        <w:t xml:space="preserve">CSV summarising the empirical LGD distribution.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is the cheapest Future Work item and</w:t>
      </w:r>
      <w:r>
        <w:t xml:space="preserve"> </w:t>
      </w:r>
      <w:r>
        <w:t xml:space="preserve">directly addresses one of the four exogenous-assumption</w:t>
      </w:r>
      <w:r>
        <w:t xml:space="preserve"> </w:t>
      </w:r>
      <w:r>
        <w:t xml:space="preserve">limitations. If the empirical LGD distribution is bimodal or</w:t>
      </w:r>
      <w:r>
        <w:t xml:space="preserve"> </w:t>
      </w:r>
      <w:r>
        <w:t xml:space="preserve">non-overlapping with the locked grid, additional sensitivity</w:t>
      </w:r>
      <w:r>
        <w:t xml:space="preserve"> </w:t>
      </w:r>
      <w:r>
        <w:t xml:space="preserve">points may need to be added; otherwise the existing locked grid</w:t>
      </w:r>
      <w:r>
        <w:t xml:space="preserve"> </w:t>
      </w:r>
      <w:r>
        <w:t xml:space="preserve">is validated against simulator-empirical evidence.</w:t>
      </w:r>
    </w:p>
    <w:bookmarkEnd w:id="131"/>
    <w:bookmarkStart w:id="132" w:name="f2-real-data-replication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F2 — Real-data replication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four headline findings of Chapter 5</w:t>
      </w:r>
      <w:r>
        <w:t xml:space="preserve"> </w:t>
      </w:r>
      <w:r>
        <w:t xml:space="preserve">§5.1 — and particularly the PD-quality inversion of Finding 2 —</w:t>
      </w:r>
      <w:r>
        <w:t xml:space="preserve"> </w:t>
      </w:r>
      <w:r>
        <w:t xml:space="preserve">survive the transition from the synthetic simulator to a real</w:t>
      </w:r>
      <w:r>
        <w:t xml:space="preserve"> </w:t>
      </w:r>
      <w:r>
        <w:t xml:space="preserve">public consumer-credit dataset?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1 (synthetic data, not real-world data),</w:t>
      </w:r>
      <w:r>
        <w:t xml:space="preserve"> </w:t>
      </w:r>
      <w:r>
        <w:t xml:space="preserve">partially Limitation 8 (demographic over-determinism), partially</w:t>
      </w:r>
      <w:r>
        <w:t xml:space="preserve"> </w:t>
      </w:r>
      <w:r>
        <w:t xml:space="preserve">Limitation 9 (single simulator configuration).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Apply the full Chapter 3 methodology pipeline</w:t>
      </w:r>
      <w:r>
        <w:t xml:space="preserve"> </w:t>
      </w:r>
      <w:r>
        <w:t xml:space="preserve">(Phase 1.5 feature factory → Phase 2 dual-track PD modelling →</w:t>
      </w:r>
      <w:r>
        <w:t xml:space="preserve"> </w:t>
      </w:r>
      <w:r>
        <w:t xml:space="preserve">Phase 3 economic framework → Phase 4 stress testing and</w:t>
      </w:r>
      <w:r>
        <w:t xml:space="preserve"> </w:t>
      </w:r>
      <w:r>
        <w:t xml:space="preserve">bootstrap) to a real public credit dataset such as Lending Club,</w:t>
      </w:r>
      <w:r>
        <w:t xml:space="preserve"> </w:t>
      </w:r>
      <w:r>
        <w:t xml:space="preserve">Freddie Mac single-family, Bondora, or the Home Credit Default</w:t>
      </w:r>
      <w:r>
        <w:t xml:space="preserve"> </w:t>
      </w:r>
      <w:r>
        <w:t xml:space="preserve">Risk dataset on Kaggle. Test three specific hypotheses: (i) does</w:t>
      </w:r>
      <w:r>
        <w:t xml:space="preserve"> </w:t>
      </w:r>
      <w:r>
        <w:t xml:space="preserve">the cut-off gap widen as PD discrimination falls in real data as</w:t>
      </w:r>
      <w:r>
        <w:t xml:space="preserve"> </w:t>
      </w:r>
      <w:r>
        <w:t xml:space="preserve">it does in the simulator (§4.5), (ii) does the dollar uplift</w:t>
      </w:r>
      <w:r>
        <w:t xml:space="preserve"> </w:t>
      </w:r>
      <w:r>
        <w:t xml:space="preserve">remain positive across the real-data analogue of the tested</w:t>
      </w:r>
      <w:r>
        <w:t xml:space="preserve"> </w:t>
      </w:r>
      <w:r>
        <w:t xml:space="preserve">scenario space (§4.7), and (iii) does the reject-most regime</w:t>
      </w:r>
      <w:r>
        <w:t xml:space="preserve"> </w:t>
      </w:r>
      <w:r>
        <w:t xml:space="preserve">appear under realistic combinations of high operating cost and</w:t>
      </w:r>
      <w:r>
        <w:t xml:space="preserve"> </w:t>
      </w:r>
      <w:r>
        <w:t xml:space="preserve">adverse credit conditions (§4.6).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approximately one full</w:t>
      </w:r>
      <w:r>
        <w:t xml:space="preserve"> </w:t>
      </w:r>
      <w:r>
        <w:t xml:space="preserve">re-run of the analytical pipeline plus dataset-specific feature</w:t>
      </w:r>
      <w:r>
        <w:t xml:space="preserve"> </w:t>
      </w:r>
      <w:r>
        <w:t xml:space="preserve">engineering and target definition (typically 2-4 weeks of</w:t>
      </w:r>
      <w:r>
        <w:t xml:space="preserve"> </w:t>
      </w:r>
      <w:r>
        <w:t xml:space="preserve">focused effort per real dataset). Some adaptation is required</w:t>
      </w:r>
      <w:r>
        <w:t xml:space="preserve"> </w:t>
      </w:r>
      <w:r>
        <w:t xml:space="preserve">because real datasets may lack the tenor variation the</w:t>
      </w:r>
      <w:r>
        <w:t xml:space="preserve"> </w:t>
      </w:r>
      <w:r>
        <w:t xml:space="preserve">simulator provides; replication on a single tenor (e.g.,</w:t>
      </w:r>
      <w:r>
        <w:t xml:space="preserve"> </w:t>
      </w:r>
      <w:r>
        <w:t xml:space="preserve">36-month Lending Club originations) is the minimum-viable</w:t>
      </w:r>
      <w:r>
        <w:t xml:space="preserve"> </w:t>
      </w:r>
      <w:r>
        <w:t xml:space="preserve">target.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is the most substantive scope</w:t>
      </w:r>
      <w:r>
        <w:t xml:space="preserve"> </w:t>
      </w:r>
      <w:r>
        <w:t xml:space="preserve">extension and the strongest test of whether the synthetic-data</w:t>
      </w:r>
      <w:r>
        <w:t xml:space="preserve"> </w:t>
      </w:r>
      <w:r>
        <w:t xml:space="preserve">methodology developed here generalises to production deployment.</w:t>
      </w:r>
    </w:p>
    <w:bookmarkEnd w:id="132"/>
    <w:bookmarkStart w:id="133" w:name="X1719b6401d1d7c6949549dbe2ccc339d01f6f81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F3 — Alternative default definitions for 12-month loans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Can the structural zero-default artefact</w:t>
      </w:r>
      <w:r>
        <w:t xml:space="preserve"> </w:t>
      </w:r>
      <w:r>
        <w:t xml:space="preserve">on 12-month loans (Limitation 2) be addressed by an alternative</w:t>
      </w:r>
      <w:r>
        <w:t xml:space="preserve"> </w:t>
      </w:r>
      <w:r>
        <w:t xml:space="preserve">target definition that captures defaults at or before the</w:t>
      </w:r>
      <w:r>
        <w:t xml:space="preserve"> </w:t>
      </w:r>
      <w:r>
        <w:t xml:space="preserve">loan’s terminal month rather than within the 13-24 month</w:t>
      </w:r>
      <w:r>
        <w:t xml:space="preserve"> </w:t>
      </w:r>
      <w:r>
        <w:t xml:space="preserve">forward window?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2 (12-month loans excluded).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Define and test three candidate alternative</w:t>
      </w:r>
      <w:r>
        <w:t xml:space="preserve"> </w:t>
      </w:r>
      <w:r>
        <w:t xml:space="preserve">default flags: (a)</w:t>
      </w:r>
      <w:r>
        <w:t xml:space="preserve"> </w:t>
      </w:r>
      <w:r>
        <w:rPr>
          <w:rStyle w:val="VerbatimChar"/>
        </w:rPr>
        <w:t xml:space="preserve">default_flag_first_30dpd_within_term</w:t>
      </w:r>
      <w:r>
        <w:t xml:space="preserve"> </w:t>
      </w:r>
      <w:r>
        <w:t xml:space="preserve">(any</w:t>
      </w:r>
      <w:r>
        <w:t xml:space="preserve"> </w:t>
      </w:r>
      <w:r>
        <w:t xml:space="preserve">30+ days-past-due event before loan closure, regardless of</w:t>
      </w:r>
      <w:r>
        <w:t xml:space="preserve"> </w:t>
      </w:r>
      <w:r>
        <w:t xml:space="preserve">target window), (b)</w:t>
      </w:r>
      <w:r>
        <w:t xml:space="preserve"> </w:t>
      </w:r>
      <w:r>
        <w:rPr>
          <w:rStyle w:val="VerbatimChar"/>
        </w:rPr>
        <w:t xml:space="preserve">default_flag_writeoff_at_or_after_terminal</w:t>
      </w:r>
      <w:r>
        <w:t xml:space="preserve"> </w:t>
      </w:r>
      <w:r>
        <w:t xml:space="preserve">(include</w:t>
      </w:r>
      <w:r>
        <w:t xml:space="preserve"> </w:t>
      </w:r>
      <w:r>
        <w:t xml:space="preserve">write-offs at month 12 itself, extending the offset window to</w:t>
      </w:r>
      <w:r>
        <w:t xml:space="preserve"> </w:t>
      </w:r>
      <w:r>
        <w:t xml:space="preserve">[12, 23] inclusive of offset 12 for 12-month loans), and (c) a</w:t>
      </w:r>
      <w:r>
        <w:t xml:space="preserve"> </w:t>
      </w:r>
      <w:r>
        <w:t xml:space="preserve">discrete-time hazard target estimated from the per-month</w:t>
      </w:r>
      <w:r>
        <w:t xml:space="preserve"> </w:t>
      </w:r>
      <w:r>
        <w:t xml:space="preserve">delinquency state. Compare empirical default rates on</w:t>
      </w:r>
      <w:r>
        <w:t xml:space="preserve"> </w:t>
      </w:r>
      <w:r>
        <w:t xml:space="preserve">12-month loans under each alternative; assess whether any</w:t>
      </w:r>
      <w:r>
        <w:t xml:space="preserve"> </w:t>
      </w:r>
      <w:r>
        <w:t xml:space="preserve">alternative produces a non-trivial default rate that could</w:t>
      </w:r>
      <w:r>
        <w:t xml:space="preserve"> </w:t>
      </w:r>
      <w:r>
        <w:t xml:space="preserve">support including 12-month loans in the economic analysis.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Moderate — approximately one week to</w:t>
      </w:r>
      <w:r>
        <w:t xml:space="preserve"> </w:t>
      </w:r>
      <w:r>
        <w:t xml:space="preserve">implement the alternative targets, re-run the wide-ABT build,</w:t>
      </w:r>
      <w:r>
        <w:t xml:space="preserve"> </w:t>
      </w:r>
      <w:r>
        <w:t xml:space="preserve">and re-fit the four base PD models on the alternative</w:t>
      </w:r>
      <w:r>
        <w:t xml:space="preserve"> </w:t>
      </w:r>
      <w:r>
        <w:t xml:space="preserve">populations. Compute is dominated by the wide-ABT regeneration</w:t>
      </w:r>
      <w:r>
        <w:t xml:space="preserve"> </w:t>
      </w:r>
      <w:r>
        <w:t xml:space="preserve">(~15 minutes per definition).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12-month exclusion is a clean</w:t>
      </w:r>
      <w:r>
        <w:t xml:space="preserve"> </w:t>
      </w:r>
      <w:r>
        <w:t xml:space="preserve">boundary condition for the current thesis and does not</w:t>
      </w:r>
      <w:r>
        <w:t xml:space="preserve"> </w:t>
      </w:r>
      <w:r>
        <w:t xml:space="preserve">undermine the headline findings; expanding to 12-month loans</w:t>
      </w:r>
      <w:r>
        <w:t xml:space="preserve"> </w:t>
      </w:r>
      <w:r>
        <w:t xml:space="preserve">would broaden the economic-analysis population and improve</w:t>
      </w:r>
      <w:r>
        <w:t xml:space="preserve"> </w:t>
      </w:r>
      <w:r>
        <w:t xml:space="preserve">external validity, but the marginal contribution is smaller</w:t>
      </w:r>
      <w:r>
        <w:t xml:space="preserve"> </w:t>
      </w:r>
      <w:r>
        <w:t xml:space="preserve">than F1 or F2.</w:t>
      </w:r>
    </w:p>
    <w:bookmarkEnd w:id="133"/>
    <w:bookmarkStart w:id="134" w:name="f4-declining-hazard-alternative"/>
    <w:p>
      <w:pPr>
        <w:pStyle w:val="Heading3"/>
      </w:pPr>
      <w:r>
        <w:rPr>
          <w:rStyle w:val="SectionNumber"/>
        </w:rPr>
        <w:t xml:space="preserve">7.2.4</w:t>
      </w:r>
      <w:r>
        <w:tab/>
      </w:r>
      <w:r>
        <w:t xml:space="preserve">F4 — Declining-hazard alternative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How much of the dollar uplift figures</w:t>
      </w:r>
      <w:r>
        <w:t xml:space="preserve"> </w:t>
      </w:r>
      <w:r>
        <w:t xml:space="preserve">in §4.4 and §4.7 is attributable to the constant-hazard</w:t>
      </w:r>
      <w:r>
        <w:t xml:space="preserve"> </w:t>
      </w:r>
      <w:r>
        <w:t xml:space="preserve">assumption (Limitation 5) versus the underlying profit-vs-Youden</w:t>
      </w:r>
      <w:r>
        <w:t xml:space="preserve"> </w:t>
      </w:r>
      <w:r>
        <w:t xml:space="preserve">mechanism?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5 (constant-hazard assumption).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Fit a parametric declining-hazard schedule</w:t>
      </w:r>
      <w:r>
        <w:t xml:space="preserve"> </w:t>
      </w:r>
      <w:r>
        <w:t xml:space="preserve">(Weibull or log-logistic) to the simulator’s per-month default</w:t>
      </w:r>
      <w:r>
        <w:t xml:space="preserve"> </w:t>
      </w:r>
      <w:r>
        <w:t xml:space="preserve">counts by loan age, using the writeoff events in</w:t>
      </w:r>
      <w:r>
        <w:t xml:space="preserve"> </w:t>
      </w:r>
      <w:r>
        <w:rPr>
          <w:rStyle w:val="VerbatimChar"/>
        </w:rPr>
        <w:t xml:space="preserve">transactions.csv</w:t>
      </w:r>
      <w:r>
        <w:t xml:space="preserve">. Replace the constant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in the locked</w:t>
      </w:r>
      <w:r>
        <w:t xml:space="preserve"> </w:t>
      </w:r>
      <w:r>
        <w:t xml:space="preserve">LT_EL formula with the fitted declining-hazard schedule; re-run</w:t>
      </w:r>
      <w:r>
        <w:t xml:space="preserve"> </w:t>
      </w:r>
      <w:r>
        <w:t xml:space="preserve">Phase 3.1B base economics and Phase 4.1 bootstrap on the</w:t>
      </w:r>
      <w:r>
        <w:t xml:space="preserve"> </w:t>
      </w:r>
      <w:r>
        <w:t xml:space="preserve">chosen anchor scenarios; report the percentage shift in</w:t>
      </w:r>
      <w:r>
        <w:t xml:space="preserve"> </w:t>
      </w:r>
      <w:r>
        <w:t xml:space="preserve">dollar uplift attributable to the hazard substitution. The</w:t>
      </w:r>
      <w:r>
        <w:t xml:space="preserve"> </w:t>
      </w:r>
      <w:r>
        <w:t xml:space="preserve">expected qualitative outcome is that lifetime EL on 36-month</w:t>
      </w:r>
      <w:r>
        <w:t xml:space="preserve"> </w:t>
      </w:r>
      <w:r>
        <w:t xml:space="preserve">loans falls (because hazards decline after the first year). The</w:t>
      </w:r>
      <w:r>
        <w:t xml:space="preserve"> </w:t>
      </w:r>
      <w:r>
        <w:t xml:space="preserve">net effect on the profit-uplift metric — which depends on how the</w:t>
      </w:r>
      <w:r>
        <w:t xml:space="preserve"> </w:t>
      </w:r>
      <w:r>
        <w:t xml:space="preserve">hazard schedule reshapes both Youden’s J and the profit-optimal</w:t>
      </w:r>
      <w:r>
        <w:t xml:space="preserve"> </w:t>
      </w:r>
      <w:r>
        <w:t xml:space="preserve">cut-offs — is an empirical question that this extension would</w:t>
      </w:r>
      <w:r>
        <w:t xml:space="preserve"> </w:t>
      </w:r>
      <w:r>
        <w:t xml:space="preserve">resolve.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Moderate — approximately one week to fit</w:t>
      </w:r>
      <w:r>
        <w:t xml:space="preserve"> </w:t>
      </w:r>
      <w:r>
        <w:t xml:space="preserve">the hazard curve, re-implement the LT_EL formula with the</w:t>
      </w:r>
      <w:r>
        <w:t xml:space="preserve"> </w:t>
      </w:r>
      <w:r>
        <w:t xml:space="preserve">declining schedule, re-run the relevant Phase 3 and 4 cells,</w:t>
      </w:r>
      <w:r>
        <w:t xml:space="preserve"> </w:t>
      </w:r>
      <w:r>
        <w:t xml:space="preserve">and compare. Minimal new analysis beyond the existing</w:t>
      </w:r>
      <w:r>
        <w:t xml:space="preserve"> </w:t>
      </w:r>
      <w:r>
        <w:t xml:space="preserve">infrastructure.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The net effect of the constant-hazard</w:t>
      </w:r>
      <w:r>
        <w:t xml:space="preserve"> </w:t>
      </w:r>
      <w:r>
        <w:t xml:space="preserve">assumption on the profit-uplift metric is an empirical question</w:t>
      </w:r>
      <w:r>
        <w:t xml:space="preserve"> </w:t>
      </w:r>
      <w:r>
        <w:t xml:space="preserve">(Limitation 5 scope-of-impact note); the declining-hazard</w:t>
      </w:r>
      <w:r>
        <w:t xml:space="preserve"> </w:t>
      </w:r>
      <w:r>
        <w:t xml:space="preserve">extension would resolve it. Useful for quantifying the magnitude</w:t>
      </w:r>
      <w:r>
        <w:t xml:space="preserve"> </w:t>
      </w:r>
      <w:r>
        <w:t xml:space="preserve">reservation but not essential for the thesis’s central claim.</w:t>
      </w:r>
    </w:p>
    <w:bookmarkEnd w:id="134"/>
    <w:bookmarkStart w:id="135" w:name="f5-market-calibrated-apr-tier-validation"/>
    <w:p>
      <w:pPr>
        <w:pStyle w:val="Heading3"/>
      </w:pPr>
      <w:r>
        <w:rPr>
          <w:rStyle w:val="SectionNumber"/>
        </w:rPr>
        <w:t xml:space="preserve">7.2.5</w:t>
      </w:r>
      <w:r>
        <w:tab/>
      </w:r>
      <w:r>
        <w:t xml:space="preserve">F5 — Market-calibrated APR tier validation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Does the thesis’s profit-vs-Youden</w:t>
      </w:r>
      <w:r>
        <w:t xml:space="preserve"> </w:t>
      </w:r>
      <w:r>
        <w:t xml:space="preserve">finding survive recalibration of the locked APR tier table to a</w:t>
      </w:r>
      <w:r>
        <w:t xml:space="preserve"> </w:t>
      </w:r>
      <w:r>
        <w:t xml:space="preserve">specific real-market APR distribution?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3 (APR exogenous, not market-observed).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Survey published APR-by-PD-band data for a</w:t>
      </w:r>
      <w:r>
        <w:t xml:space="preserve"> </w:t>
      </w:r>
      <w:r>
        <w:t xml:space="preserve">specific market (US, EU, or emerging-market segments are</w:t>
      </w:r>
      <w:r>
        <w:t xml:space="preserve"> </w:t>
      </w:r>
      <w:r>
        <w:t xml:space="preserve">natural slices). Calibrate the tier table in Chapter 3 §3.4</w:t>
      </w:r>
      <w:r>
        <w:t xml:space="preserve"> </w:t>
      </w:r>
      <w:r>
        <w:t xml:space="preserve">Table 3.5 to the published market median (or to the most</w:t>
      </w:r>
      <w:r>
        <w:t xml:space="preserve"> </w:t>
      </w:r>
      <w:r>
        <w:t xml:space="preserve">representative published quantile by market segment). Re-run</w:t>
      </w:r>
      <w:r>
        <w:t xml:space="preserve"> </w:t>
      </w:r>
      <w:r>
        <w:t xml:space="preserve">the Phase 3.1B base economics, the Phase 3.2 576-cell stress</w:t>
      </w:r>
      <w:r>
        <w:t xml:space="preserve"> </w:t>
      </w:r>
      <w:r>
        <w:t xml:space="preserve">grid, and the Phase 4.1 bootstrap with the recalibrated tier</w:t>
      </w:r>
      <w:r>
        <w:t xml:space="preserve"> </w:t>
      </w:r>
      <w:r>
        <w:t xml:space="preserve">table; report the shift in the dollar uplift magnitude and</w:t>
      </w:r>
      <w:r>
        <w:t xml:space="preserve"> </w:t>
      </w:r>
      <w:r>
        <w:t xml:space="preserve">verify that the dollar-anchored claim survives in sign.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Low-to-moderate — the survey of published</w:t>
      </w:r>
      <w:r>
        <w:t xml:space="preserve"> </w:t>
      </w:r>
      <w:r>
        <w:t xml:space="preserve">APR data is the dominant cost (typically 1-2 weeks for a</w:t>
      </w:r>
      <w:r>
        <w:t xml:space="preserve"> </w:t>
      </w:r>
      <w:r>
        <w:t xml:space="preserve">single market); the re-run of the locked pipeline with new APR</w:t>
      </w:r>
      <w:r>
        <w:t xml:space="preserve"> </w:t>
      </w:r>
      <w:r>
        <w:t xml:space="preserve">values is mostly automated (~1 hour compute).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Medium-high.</w:t>
      </w:r>
      <w:r>
        <w:t xml:space="preserve"> </w:t>
      </w:r>
      <w:r>
        <w:t xml:space="preserve">APR is the second-largest</w:t>
      </w:r>
      <w:r>
        <w:t xml:space="preserve"> </w:t>
      </w:r>
      <w:r>
        <w:t xml:space="preserve">driver of the cut-off gap (Table 4.5), and a defensible</w:t>
      </w:r>
      <w:r>
        <w:t xml:space="preserve"> </w:t>
      </w:r>
      <w:r>
        <w:t xml:space="preserve">market-calibration would strengthen the thesis’s external</w:t>
      </w:r>
      <w:r>
        <w:t xml:space="preserve"> </w:t>
      </w:r>
      <w:r>
        <w:t xml:space="preserve">validity claim materially.</w:t>
      </w:r>
    </w:p>
    <w:bookmarkEnd w:id="135"/>
    <w:bookmarkStart w:id="136" w:name="f6-multi-seed-simulator-robustness"/>
    <w:p>
      <w:pPr>
        <w:pStyle w:val="Heading3"/>
      </w:pPr>
      <w:r>
        <w:rPr>
          <w:rStyle w:val="SectionNumber"/>
        </w:rPr>
        <w:t xml:space="preserve">7.2.6</w:t>
      </w:r>
      <w:r>
        <w:tab/>
      </w:r>
      <w:r>
        <w:t xml:space="preserve">F6 — Multi-seed simulator robustness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four headline findings survive</w:t>
      </w:r>
      <w:r>
        <w:t xml:space="preserve"> </w:t>
      </w:r>
      <w:r>
        <w:t xml:space="preserve">when the entire pipeline is re-run on multiple simulator seeds</w:t>
      </w:r>
      <w:r>
        <w:t xml:space="preserve"> </w:t>
      </w:r>
      <w:r>
        <w:t xml:space="preserve">and multiple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9 (single simulator configuration).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Re-run the full Phase 1.5 through Phase 4.4</w:t>
      </w:r>
      <w:r>
        <w:t xml:space="preserve"> </w:t>
      </w:r>
      <w:r>
        <w:t xml:space="preserve">pipeline on at least five alternative seeds and at least three</w:t>
      </w:r>
      <w:r>
        <w:t xml:space="preserve"> </w:t>
      </w:r>
      <w:r>
        <w:t xml:space="preserve">alternative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levels (e.g., {0.00, 0.02, 0.05}).</w:t>
      </w:r>
      <w:r>
        <w:t xml:space="preserve"> </w:t>
      </w:r>
      <w:r>
        <w:t xml:space="preserve">For each (seed ×</w:t>
      </w:r>
      <w:r>
        <w:t xml:space="preserve"> </w:t>
      </w:r>
      <w:r>
        <w:rPr>
          <w:rStyle w:val="VerbatimChar"/>
        </w:rPr>
        <w:t xml:space="preserve">p_positive</w:t>
      </w:r>
      <w:r>
        <w:t xml:space="preserve">) configuration, record the</w:t>
      </w:r>
      <w:r>
        <w:t xml:space="preserve"> </w:t>
      </w:r>
      <w:r>
        <w:t xml:space="preserve">dollar uplift point estimate, the cut-off gap distribution</w:t>
      </w:r>
      <w:r>
        <w:t xml:space="preserve"> </w:t>
      </w:r>
      <w:r>
        <w:t xml:space="preserve">across the four anchors, and the anchor scenario</w:t>
      </w:r>
      <w:r>
        <w:t xml:space="preserve"> </w:t>
      </w:r>
      <w:r>
        <w:t xml:space="preserve">classification. Aggregate across configurations and report</w:t>
      </w:r>
      <w:r>
        <w:t xml:space="preserve"> </w:t>
      </w:r>
      <w:r>
        <w:t xml:space="preserve">cross-configuration variance for each headline finding. If</w:t>
      </w:r>
      <w:r>
        <w:t xml:space="preserve"> </w:t>
      </w:r>
      <w:r>
        <w:t xml:space="preserve">the variance is narrow (e.g., dollar uplift CIs that overlap</w:t>
      </w:r>
      <w:r>
        <w:t xml:space="preserve"> </w:t>
      </w:r>
      <w:r>
        <w:t xml:space="preserve">the single-seed CIs), the single-seed results are validated;</w:t>
      </w:r>
      <w:r>
        <w:t xml:space="preserve"> </w:t>
      </w:r>
      <w:r>
        <w:t xml:space="preserve">if the variance is wide, the thesis’s quantitative claims</w:t>
      </w:r>
      <w:r>
        <w:t xml:space="preserve"> </w:t>
      </w:r>
      <w:r>
        <w:t xml:space="preserve">would need to be re-stated with widened uncertainty bands.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each pipeline rerun is</w:t>
      </w:r>
      <w:r>
        <w:t xml:space="preserve"> </w:t>
      </w:r>
      <w:r>
        <w:t xml:space="preserve">approximately 12-15 hours of compute (the simulator alone is</w:t>
      </w:r>
      <w:r>
        <w:t xml:space="preserve"> </w:t>
      </w:r>
      <w:r>
        <w:t xml:space="preserve">~13 hours), so a five-seed × three-</w:t>
      </w:r>
      <w:r>
        <w:rPr>
          <w:rStyle w:val="VerbatimChar"/>
        </w:rPr>
        <w:t xml:space="preserve">p_positive</w:t>
      </w:r>
      <w:r>
        <w:t xml:space="preserve"> </w:t>
      </w:r>
      <w:r>
        <w:t xml:space="preserve">sweep</w:t>
      </w:r>
      <w:r>
        <w:t xml:space="preserve"> </w:t>
      </w:r>
      <w:r>
        <w:t xml:space="preserve">requires approximately 200 hours of compute distributed</w:t>
      </w:r>
      <w:r>
        <w:t xml:space="preserve"> </w:t>
      </w:r>
      <w:r>
        <w:t xml:space="preserve">across the seeds. Analysis automation reduces the human</w:t>
      </w:r>
      <w:r>
        <w:t xml:space="preserve"> </w:t>
      </w:r>
      <w:r>
        <w:t xml:space="preserve">effort to approximately one week of orchestration and</w:t>
      </w:r>
      <w:r>
        <w:t xml:space="preserve"> </w:t>
      </w:r>
      <w:r>
        <w:t xml:space="preserve">reporting.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Medium-low.</w:t>
      </w:r>
      <w:r>
        <w:t xml:space="preserve"> </w:t>
      </w:r>
      <w:r>
        <w:t xml:space="preserve">The single-seed limitation is</w:t>
      </w:r>
      <w:r>
        <w:t xml:space="preserve"> </w:t>
      </w:r>
      <w:r>
        <w:t xml:space="preserve">clearly documented and the qualitative findings are expected</w:t>
      </w:r>
      <w:r>
        <w:t xml:space="preserve"> </w:t>
      </w:r>
      <w:r>
        <w:t xml:space="preserve">to be robust across seeds (the locked formulas and the</w:t>
      </w:r>
      <w:r>
        <w:t xml:space="preserve"> </w:t>
      </w:r>
      <w:r>
        <w:t xml:space="preserve">Youden-vs-profit comparison are deterministic functions of</w:t>
      </w:r>
      <w:r>
        <w:t xml:space="preserve"> </w:t>
      </w:r>
      <w:r>
        <w:t xml:space="preserve">the calibrated PDs and the cost parameters). Multi-seed</w:t>
      </w:r>
      <w:r>
        <w:t xml:space="preserve"> </w:t>
      </w:r>
      <w:r>
        <w:t xml:space="preserve">robustness would tighten the empirical evidence but is not</w:t>
      </w:r>
      <w:r>
        <w:t xml:space="preserve"> </w:t>
      </w:r>
      <w:r>
        <w:t xml:space="preserve">required to defend the central claims.</w:t>
      </w:r>
    </w:p>
    <w:bookmarkEnd w:id="136"/>
    <w:bookmarkStart w:id="137" w:name="Xd1f8f7e7b1fd707e43a9828b859595b260cdbe5"/>
    <w:p>
      <w:pPr>
        <w:pStyle w:val="Heading3"/>
      </w:pPr>
      <w:r>
        <w:rPr>
          <w:rStyle w:val="SectionNumber"/>
        </w:rPr>
        <w:t xml:space="preserve">7.2.7</w:t>
      </w:r>
      <w:r>
        <w:tab/>
      </w:r>
      <w:r>
        <w:t xml:space="preserve">F7 — External validation via transfer scoring</w:t>
      </w:r>
    </w:p>
    <w:p>
      <w:pPr>
        <w:pStyle w:val="FirstParagraph"/>
      </w:pPr>
      <w:r>
        <w:rPr>
          <w:b/>
          <w:bCs/>
        </w:rPr>
        <w:t xml:space="preserve">Research question.</w:t>
      </w:r>
      <w:r>
        <w:t xml:space="preserve"> </w:t>
      </w:r>
      <w:r>
        <w:t xml:space="preserve">Do the dual-track PD models trained on</w:t>
      </w:r>
      <w:r>
        <w:t xml:space="preserve"> </w:t>
      </w:r>
      <w:r>
        <w:t xml:space="preserve">simulator data retain meaningful discrimination, calibration,</w:t>
      </w:r>
      <w:r>
        <w:t xml:space="preserve"> </w:t>
      </w:r>
      <w:r>
        <w:t xml:space="preserve">and profit-vs-Youden behaviour when scored on a real public</w:t>
      </w:r>
      <w:r>
        <w:t xml:space="preserve"> </w:t>
      </w:r>
      <w:r>
        <w:t xml:space="preserve">dataset without re-fitting?</w:t>
      </w:r>
    </w:p>
    <w:p>
      <w:pPr>
        <w:pStyle w:val="BodyText"/>
      </w:pPr>
      <w:r>
        <w:rPr>
          <w:b/>
          <w:bCs/>
        </w:rPr>
        <w:t xml:space="preserve">Addresses.</w:t>
      </w:r>
      <w:r>
        <w:t xml:space="preserve"> </w:t>
      </w:r>
      <w:r>
        <w:t xml:space="preserve">Limitation 1 (synthetic data) in combination</w:t>
      </w:r>
      <w:r>
        <w:t xml:space="preserve"> </w:t>
      </w:r>
      <w:r>
        <w:t xml:space="preserve">with Limitation 6 (calibration mismatch).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Combine F2 and F6: take the locked LightGBM</w:t>
      </w:r>
      <w:r>
        <w:t xml:space="preserve"> </w:t>
      </w:r>
      <w:r>
        <w:t xml:space="preserve">tuned + Platt model from this thesis (saved at</w:t>
      </w:r>
      <w:r>
        <w:t xml:space="preserve"> </w:t>
      </w:r>
      <w:r>
        <w:rPr>
          <w:rStyle w:val="VerbatimChar"/>
        </w:rPr>
        <w:t xml:space="preserve">artifacts/pd_model/lightgbm_tuned_model.pkl</w:t>
      </w:r>
      <w:r>
        <w:t xml:space="preserve">) and</w:t>
      </w:r>
      <w:r>
        <w:t xml:space="preserve"> </w:t>
      </w:r>
      <w:r>
        <w:rPr>
          <w:i/>
          <w:iCs/>
        </w:rPr>
        <w:t xml:space="preserve">score</w:t>
      </w:r>
      <w:r>
        <w:t xml:space="preserve"> </w:t>
      </w:r>
      <w:r>
        <w:t xml:space="preserve">it on a real public dataset such as Lending Club, without</w:t>
      </w:r>
      <w:r>
        <w:t xml:space="preserve"> </w:t>
      </w:r>
      <w:r>
        <w:t xml:space="preserve">refitting. Measure (i) discrimination metrics on the real</w:t>
      </w:r>
      <w:r>
        <w:t xml:space="preserve"> </w:t>
      </w:r>
      <w:r>
        <w:t xml:space="preserve">data versus the synthetic OOT, (ii) calibration drift under</w:t>
      </w:r>
      <w:r>
        <w:t xml:space="preserve"> </w:t>
      </w:r>
      <w:r>
        <w:t xml:space="preserve">transfer (predicted-to-observed ratio on the real-data base</w:t>
      </w:r>
      <w:r>
        <w:t xml:space="preserve"> </w:t>
      </w:r>
      <w:r>
        <w:t xml:space="preserve">rate), and (iii) the profit-vs-Youden uplift on the</w:t>
      </w:r>
      <w:r>
        <w:t xml:space="preserve"> </w:t>
      </w:r>
      <w:r>
        <w:t xml:space="preserve">real-data analogue of the eco-OOT subset. Two outcomes are</w:t>
      </w:r>
      <w:r>
        <w:t xml:space="preserve"> </w:t>
      </w:r>
      <w:r>
        <w:t xml:space="preserve">informative: if the simulator-trained model retains</w:t>
      </w:r>
      <w:r>
        <w:t xml:space="preserve"> </w:t>
      </w:r>
      <w:r>
        <w:t xml:space="preserve">discrimination and the profit-vs-Youden finding holds, the</w:t>
      </w:r>
      <w:r>
        <w:t xml:space="preserve"> </w:t>
      </w:r>
      <w:r>
        <w:t xml:space="preserve">synthetic methodology has demonstrated transfer; if either</w:t>
      </w:r>
      <w:r>
        <w:t xml:space="preserve"> </w:t>
      </w:r>
      <w:r>
        <w:t xml:space="preserve">collapses, the synthetic methodology is locally valid but</w:t>
      </w:r>
      <w:r>
        <w:t xml:space="preserve"> </w:t>
      </w:r>
      <w:r>
        <w:t xml:space="preserve">not transferable, and the contribution is strictly</w:t>
      </w:r>
      <w:r>
        <w:t xml:space="preserve"> </w:t>
      </w:r>
      <w:r>
        <w:t xml:space="preserve">methodological rather than predictive. Where direct feature</w:t>
      </w:r>
      <w:r>
        <w:t xml:space="preserve"> </w:t>
      </w:r>
      <w:r>
        <w:t xml:space="preserve">overlap is not possible, the transfer experiment should be</w:t>
      </w:r>
      <w:r>
        <w:t xml:space="preserve"> </w:t>
      </w:r>
      <w:r>
        <w:t xml:space="preserve">interpreted as pipeline-level transfer rather than exact model</w:t>
      </w:r>
      <w:r>
        <w:t xml:space="preserve"> </w:t>
      </w:r>
      <w:r>
        <w:t xml:space="preserve">transfer; feature harmonisation or a shared reduced feature</w:t>
      </w:r>
      <w:r>
        <w:t xml:space="preserve"> </w:t>
      </w:r>
      <w:r>
        <w:t xml:space="preserve">set would be required.</w:t>
      </w:r>
    </w:p>
    <w:p>
      <w:pPr>
        <w:pStyle w:val="BodyText"/>
      </w:pPr>
      <w:r>
        <w:rPr>
          <w:b/>
          <w:bCs/>
        </w:rPr>
        <w:t xml:space="preserve">Effort estimate.</w:t>
      </w:r>
      <w:r>
        <w:t xml:space="preserve"> </w:t>
      </w:r>
      <w:r>
        <w:t xml:space="preserve">Substantial — combines F2 effort (real</w:t>
      </w:r>
      <w:r>
        <w:t xml:space="preserve"> </w:t>
      </w:r>
      <w:r>
        <w:t xml:space="preserve">dataset acquisition, feature mapping, target alignment) with</w:t>
      </w:r>
      <w:r>
        <w:t xml:space="preserve"> </w:t>
      </w:r>
      <w:r>
        <w:t xml:space="preserve">the additional complexity of feature-name reconciliation</w:t>
      </w:r>
      <w:r>
        <w:t xml:space="preserve"> </w:t>
      </w:r>
      <w:r>
        <w:t xml:space="preserve">between the simulator’s columns and the real dataset’s</w:t>
      </w:r>
      <w:r>
        <w:t xml:space="preserve"> </w:t>
      </w:r>
      <w:r>
        <w:t xml:space="preserve">columns. Approximately 4-6 weeks of focused effort per</w:t>
      </w:r>
      <w:r>
        <w:t xml:space="preserve"> </w:t>
      </w:r>
      <w:r>
        <w:t xml:space="preserve">real dataset.</w:t>
      </w:r>
    </w:p>
    <w:p>
      <w:pPr>
        <w:pStyle w:val="BodyText"/>
      </w:pPr>
      <w:r>
        <w:rPr>
          <w:b/>
          <w:bCs/>
        </w:rPr>
        <w:t xml:space="preserve">Priority.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This is the most ambitious Future</w:t>
      </w:r>
      <w:r>
        <w:t xml:space="preserve"> </w:t>
      </w:r>
      <w:r>
        <w:t xml:space="preserve">Work item but also the strongest test of external validity.</w:t>
      </w:r>
      <w:r>
        <w:t xml:space="preserve"> </w:t>
      </w:r>
      <w:r>
        <w:t xml:space="preserve">Most usefully attempted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F2 has been completed on</w:t>
      </w:r>
      <w:r>
        <w:t xml:space="preserve"> </w:t>
      </w:r>
      <w:r>
        <w:t xml:space="preserve">the chosen real dataset (so that the dataset preparation is</w:t>
      </w:r>
      <w:r>
        <w:t xml:space="preserve"> </w:t>
      </w:r>
      <w:r>
        <w:t xml:space="preserve">already in place).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summary-of-future-work-prioritisatio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Summary of Future Work prioritisation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584"/>
        <w:gridCol w:w="1267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Limitation(s) 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— Empirical LGD recovery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~10 min compute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— Real-data replication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2-4 weeks per dataset</w:t>
            </w:r>
          </w:p>
        </w:tc>
        <w:tc>
          <w:tcPr/>
          <w:p>
            <w:pPr>
              <w:pStyle w:val="Compact"/>
            </w:pPr>
            <w:r>
              <w:t xml:space="preserve">1 (full), 8 (partial), 9 (partial)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— Alternative 12-month default definitions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— Declining-hazard alternative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 — Market-calibrated APR tiers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1-2 weeks survey + 1 hr compute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— Multi-seed simulator robustness</w:t>
            </w:r>
          </w:p>
        </w:tc>
        <w:tc>
          <w:tcPr/>
          <w:p>
            <w:pPr>
              <w:pStyle w:val="Compact"/>
            </w:pPr>
            <w:r>
              <w:t xml:space="preserve">Medium-low</w:t>
            </w:r>
          </w:p>
        </w:tc>
        <w:tc>
          <w:tcPr/>
          <w:p>
            <w:pPr>
              <w:pStyle w:val="Compact"/>
            </w:pPr>
            <w:r>
              <w:t xml:space="preserve">~200 hrs compute + 1 week orchestration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 — External validation via transfer scoring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4-6 weeks per dataset, after F2</w:t>
            </w:r>
          </w:p>
        </w:tc>
        <w:tc>
          <w:tcPr/>
          <w:p>
            <w:pPr>
              <w:pStyle w:val="Compact"/>
            </w:pPr>
            <w:r>
              <w:t xml:space="preserve">1 + 6 (combined)</w:t>
            </w:r>
          </w:p>
        </w:tc>
      </w:tr>
    </w:tbl>
    <w:p>
      <w:pPr>
        <w:pStyle w:val="BodyText"/>
      </w:pPr>
      <w:r>
        <w:t xml:space="preserve">The two High-priority items (F1 empirical LGD and F2 real-data</w:t>
      </w:r>
      <w:r>
        <w:t xml:space="preserve"> </w:t>
      </w:r>
      <w:r>
        <w:t xml:space="preserve">replication) address the two most prominent limitations: the</w:t>
      </w:r>
      <w:r>
        <w:t xml:space="preserve"> </w:t>
      </w:r>
      <w:r>
        <w:t xml:space="preserve">exogenous LGD assumption and the synthetic-data origin. Together</w:t>
      </w:r>
      <w:r>
        <w:t xml:space="preserve"> </w:t>
      </w:r>
      <w:r>
        <w:t xml:space="preserve">they would cover the largest share of the boundary-condition</w:t>
      </w:r>
      <w:r>
        <w:t xml:space="preserve"> </w:t>
      </w:r>
      <w:r>
        <w:t xml:space="preserve">volume identified in §6.1 and would substantially strengthen the</w:t>
      </w:r>
      <w:r>
        <w:t xml:space="preserve"> </w:t>
      </w:r>
      <w:r>
        <w:t xml:space="preserve">external-validity claim that the thesis can make about its</w:t>
      </w:r>
      <w:r>
        <w:t xml:space="preserve"> </w:t>
      </w:r>
      <w:r>
        <w:t xml:space="preserve">findings.</w:t>
      </w:r>
    </w:p>
    <w:p>
      <w:r>
        <w:pict>
          <v:rect style="width:0;height:1.5pt" o:hralign="center" o:hrstd="t" o:hr="t"/>
        </w:pict>
      </w:r>
    </w:p>
    <w:bookmarkEnd w:id="139"/>
    <w:bookmarkStart w:id="140" w:name="closing-remark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Closing remark</w:t>
      </w:r>
    </w:p>
    <w:p>
      <w:pPr>
        <w:pStyle w:val="FirstParagraph"/>
      </w:pPr>
      <w:r>
        <w:t xml:space="preserve">The thesis’s claims are deliberately modest in scope: profit-driven</w:t>
      </w:r>
      <w:r>
        <w:t xml:space="preserve"> </w:t>
      </w:r>
      <w:r>
        <w:t xml:space="preserve">cut-off selection produces strictly higher dollar Expected Profit</w:t>
      </w:r>
      <w:r>
        <w:t xml:space="preserve"> </w:t>
      </w:r>
      <w:r>
        <w:t xml:space="preserve">than Youden’s J in 64 of 64 stress cells and 4,000 of 4,000</w:t>
      </w:r>
      <w:r>
        <w:t xml:space="preserve"> </w:t>
      </w:r>
      <w:r>
        <w:t xml:space="preserve">bootstrap × anchor combinations</w:t>
      </w:r>
      <w:r>
        <w:t xml:space="preserve"> </w:t>
      </w:r>
      <w:r>
        <w:rPr>
          <w:i/>
          <w:iCs/>
        </w:rPr>
        <w:t xml:space="preserve">within the tested scenario space</w:t>
      </w:r>
      <w:r>
        <w:t xml:space="preserve">.</w:t>
      </w:r>
      <w:r>
        <w:t xml:space="preserve"> </w:t>
      </w:r>
      <w:r>
        <w:t xml:space="preserve">The boundary conditions enumerated in §6.1 constrain the scope of</w:t>
      </w:r>
      <w:r>
        <w:t xml:space="preserve"> </w:t>
      </w:r>
      <w:r>
        <w:t xml:space="preserve">that claim; the Future Work programme of §6.2 charts the path by</w:t>
      </w:r>
      <w:r>
        <w:t xml:space="preserve"> </w:t>
      </w:r>
      <w:r>
        <w:t xml:space="preserve">which subsequent research could extend it. Neither chapter aims to</w:t>
      </w:r>
      <w:r>
        <w:t xml:space="preserve"> </w:t>
      </w:r>
      <w:r>
        <w:t xml:space="preserve">diminish the thesis’s findings — they aim to make explicit the</w:t>
      </w:r>
      <w:r>
        <w:t xml:space="preserve"> </w:t>
      </w:r>
      <w:r>
        <w:t xml:space="preserve">conditions under which those findings hold, so that subsequent work</w:t>
      </w:r>
      <w:r>
        <w:t xml:space="preserve"> </w:t>
      </w:r>
      <w:r>
        <w:t xml:space="preserve">can build on them with confidence in what is known and what</w:t>
      </w:r>
      <w:r>
        <w:t xml:space="preserve"> </w:t>
      </w:r>
      <w:r>
        <w:t xml:space="preserve">remains to be tested.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2026-05-13T17:11:05Z</dcterms:created>
  <dcterms:modified xsi:type="dcterms:W3CDTF">2026-05-13T17:11:05Z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