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pervisor-handoff-package"/>
    <w:p>
      <w:pPr>
        <w:pStyle w:val="Heading1"/>
      </w:pPr>
      <w:r>
        <w:t xml:space="preserve">Supervisor Handoff Package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2026-05-11</w:t>
      </w:r>
      <w:r>
        <w:t xml:space="preserve"> </w:t>
      </w:r>
      <w:r>
        <w:rPr>
          <w:b/>
          <w:bCs/>
        </w:rPr>
        <w:t xml:space="preserve">Phase</w:t>
      </w:r>
      <w:r>
        <w:t xml:space="preserve">: 8 — Supervisor Handoff Preparation</w:t>
      </w:r>
      <w:r>
        <w:t xml:space="preserve"> </w:t>
      </w:r>
      <w:r>
        <w:rPr>
          <w:b/>
          <w:bCs/>
        </w:rPr>
        <w:t xml:space="preserve">Author</w:t>
      </w:r>
      <w:r>
        <w:t xml:space="preserve">: [thesis author]</w:t>
      </w:r>
      <w:r>
        <w:t xml:space="preserve"> </w:t>
      </w:r>
      <w:r>
        <w:rPr>
          <w:b/>
          <w:bCs/>
        </w:rPr>
        <w:t xml:space="preserve">Supervisor</w:t>
      </w:r>
      <w:r>
        <w:t xml:space="preserve">: [supervisor name]</w:t>
      </w:r>
    </w:p>
    <w:p>
      <w:r>
        <w:pict>
          <v:rect style="width:0;height:1.5pt" o:hralign="center" o:hrstd="t" o:hr="t"/>
        </w:pict>
      </w:r>
    </w:p>
    <w:bookmarkStart w:id="9" w:name="thesis-title"/>
    <w:p>
      <w:pPr>
        <w:pStyle w:val="Heading2"/>
      </w:pPr>
      <w:r>
        <w:t xml:space="preserve">Thesis title</w:t>
      </w:r>
    </w:p>
    <w:p>
      <w:pPr>
        <w:pStyle w:val="FirstParagraph"/>
      </w:pPr>
      <w:r>
        <w:rPr>
          <w:b/>
          <w:bCs/>
        </w:rPr>
        <w:t xml:space="preserve">Profit-Driven Credit Scoring: Optimizing Cut-off Strategies for</w:t>
      </w:r>
      <w:r>
        <w:rPr>
          <w:b/>
          <w:bCs/>
        </w:rPr>
        <w:t xml:space="preserve"> </w:t>
      </w:r>
      <w:r>
        <w:rPr>
          <w:b/>
          <w:bCs/>
        </w:rPr>
        <w:t xml:space="preserve">Maximum Lending Profitability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✅ Full content draft complete (Abstract + 6 chapters)</w:t>
      </w:r>
    </w:p>
    <w:p>
      <w:pPr>
        <w:pStyle w:val="Compact"/>
        <w:numPr>
          <w:ilvl w:val="0"/>
          <w:numId w:val="1001"/>
        </w:numPr>
      </w:pPr>
      <w:r>
        <w:t xml:space="preserve">✅ Global consistency audit complete (</w:t>
      </w:r>
      <w:r>
        <w:rPr>
          <w:rStyle w:val="VerbatimChar"/>
        </w:rPr>
        <w:t xml:space="preserve">global_consistency_audit.md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 Post-audit fixes applied (Figure 1 citation in Ch4 §4.4; Ch6 §6.1</w:t>
      </w:r>
      <w:r>
        <w:t xml:space="preserve"> </w:t>
      </w:r>
      <w:r>
        <w:t xml:space="preserve">hedge-opening sentence)</w:t>
      </w:r>
    </w:p>
    <w:p>
      <w:pPr>
        <w:pStyle w:val="Compact"/>
        <w:numPr>
          <w:ilvl w:val="0"/>
          <w:numId w:val="1001"/>
        </w:numPr>
      </w:pPr>
      <w:r>
        <w:t xml:space="preserve">⏸</w:t>
      </w:r>
      <w:r>
        <w:t xml:space="preserve"> </w:t>
      </w:r>
      <w:r>
        <w:rPr>
          <w:b/>
          <w:bCs/>
        </w:rPr>
        <w:t xml:space="preserve">Citation finalization pending</w:t>
      </w:r>
      <w:r>
        <w:t xml:space="preserve"> </w:t>
      </w:r>
      <w:r>
        <w:t xml:space="preserve">— see open issue below</w:t>
      </w:r>
    </w:p>
    <w:p>
      <w:pPr>
        <w:pStyle w:val="Compact"/>
        <w:numPr>
          <w:ilvl w:val="0"/>
          <w:numId w:val="1001"/>
        </w:numPr>
      </w:pPr>
      <w:r>
        <w:t xml:space="preserve">⏸ Supervisor methodology / content review pending</w:t>
      </w:r>
    </w:p>
    <w:p>
      <w:r>
        <w:pict>
          <v:rect style="width:0;height:1.5pt" o:hralign="center" o:hrstd="t" o:hr="t"/>
        </w:pict>
      </w:r>
    </w:p>
    <w:bookmarkEnd w:id="10"/>
    <w:bookmarkStart w:id="11" w:name="chapter-inventory"/>
    <w:p>
      <w:pPr>
        <w:pStyle w:val="Heading2"/>
      </w:pPr>
      <w:r>
        <w:t xml:space="preserve">Chapter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Word 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00_abstract.md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01_introduction.md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3,395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02_literature_review.md</w:t>
            </w:r>
          </w:p>
        </w:tc>
        <w:tc>
          <w:tcPr/>
          <w:p>
            <w:pPr>
              <w:pStyle w:val="Compact"/>
            </w:pPr>
            <w:r>
              <w:t xml:space="preserve">Literature Review</w:t>
            </w:r>
          </w:p>
        </w:tc>
        <w:tc>
          <w:tcPr/>
          <w:p>
            <w:pPr>
              <w:pStyle w:val="Compact"/>
            </w:pPr>
            <w:r>
              <w:t xml:space="preserve">4,363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03_methodology.md</w:t>
            </w:r>
          </w:p>
        </w:tc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5,673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04_results.md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5,803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05_discussion.md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4,402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06_limitations.md</w:t>
            </w:r>
          </w:p>
        </w:tc>
        <w:tc>
          <w:tcPr/>
          <w:p>
            <w:pPr>
              <w:pStyle w:val="Compact"/>
            </w:pPr>
            <w:r>
              <w:t xml:space="preserve">Limitations and Future Work</w:t>
            </w:r>
          </w:p>
        </w:tc>
        <w:tc>
          <w:tcPr/>
          <w:p>
            <w:pPr>
              <w:pStyle w:val="Compact"/>
            </w:pPr>
            <w:r>
              <w:t xml:space="preserve">4,259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~28,241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9 publication figures (</w:t>
      </w:r>
      <w:r>
        <w:rPr>
          <w:rStyle w:val="VerbatimChar"/>
        </w:rPr>
        <w:t xml:space="preserve">fig1_profit_curves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fig9_sensitivity_hierarchy</w:t>
      </w:r>
      <w:r>
        <w:t xml:space="preserve">) are saved at 300 DPI in PDF + PNG and</w:t>
      </w:r>
      <w:r>
        <w:t xml:space="preserve"> </w:t>
      </w:r>
      <w:r>
        <w:t xml:space="preserve">are referenced in chapter prose post-audit.</w:t>
      </w:r>
    </w:p>
    <w:p>
      <w:r>
        <w:pict>
          <v:rect style="width:0;height:1.5pt" o:hralign="center" o:hrstd="t" o:hr="t"/>
        </w:pict>
      </w:r>
    </w:p>
    <w:bookmarkEnd w:id="11"/>
    <w:bookmarkStart w:id="12" w:name="main-research-question"/>
    <w:p>
      <w:pPr>
        <w:pStyle w:val="Heading2"/>
      </w:pPr>
      <w:r>
        <w:t xml:space="preserve">Main research question</w:t>
      </w:r>
    </w:p>
    <w:p>
      <w:pPr>
        <w:pStyle w:val="BlockText"/>
      </w:pPr>
      <w:r>
        <w:rPr>
          <w:i/>
          <w:iCs/>
        </w:rPr>
        <w:t xml:space="preserve">Under what conditions do profit-driven cut-offs outperform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discrimination-driven cut-offs in expected dollar profit?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“under what conditions”</w:t>
      </w:r>
      <w:r>
        <w:t xml:space="preserve"> </w:t>
      </w:r>
      <w:r>
        <w:t xml:space="preserve">framing is deliberate: the question is</w:t>
      </w:r>
      <w:r>
        <w:t xml:space="preserve"> </w:t>
      </w:r>
      <w:r>
        <w:t xml:space="preserve">not whether profit-driven cut-offs ever outperform Youden’s J (the</w:t>
      </w:r>
      <w:r>
        <w:t xml:space="preserve"> </w:t>
      </w:r>
      <w:r>
        <w:t xml:space="preserve">textbook literature establishes this on principled grounds), but</w:t>
      </w:r>
      <w:r>
        <w:t xml:space="preserve"> </w:t>
      </w:r>
      <w:r>
        <w:t xml:space="preserve">whether the outperformance is robust across the joint space of</w:t>
      </w:r>
      <w:r>
        <w:t xml:space="preserve"> </w:t>
      </w:r>
      <w:r>
        <w:t xml:space="preserve">economic assumptions, PD-signal regimes, and operating cost levels</w:t>
      </w:r>
      <w:r>
        <w:t xml:space="preserve"> </w:t>
      </w:r>
      <w:r>
        <w:t xml:space="preserve">that a real institution would face.</w:t>
      </w:r>
    </w:p>
    <w:p>
      <w:pPr>
        <w:pStyle w:val="BodyText"/>
      </w:pPr>
      <w:r>
        <w:t xml:space="preserve">The main question decomposes into four sub-questions, addressed by</w:t>
      </w:r>
      <w:r>
        <w:t xml:space="preserve"> </w:t>
      </w:r>
      <w:r>
        <w:t xml:space="preserve">distinct phases of the empirical analysis in Chapter 4:</w:t>
      </w:r>
    </w:p>
    <w:p>
      <w:pPr>
        <w:pStyle w:val="Compact"/>
        <w:numPr>
          <w:ilvl w:val="0"/>
          <w:numId w:val="1002"/>
        </w:numPr>
      </w:pPr>
      <w:r>
        <w:t xml:space="preserve">How do profit-driven cut-offs differ from Youden’s J cut-offs in</w:t>
      </w:r>
      <w:r>
        <w:t xml:space="preserve"> </w:t>
      </w:r>
      <w:r>
        <w:t xml:space="preserve">approval-rate and dollar-profit terms?</w:t>
      </w:r>
      <w:r>
        <w:t xml:space="preserve"> </w:t>
      </w:r>
      <w:r>
        <w:rPr>
          <w:i/>
          <w:iCs/>
        </w:rPr>
        <w:t xml:space="preserve">(Ch4 §4.2-§4.4)</w:t>
      </w:r>
    </w:p>
    <w:p>
      <w:pPr>
        <w:pStyle w:val="Compact"/>
        <w:numPr>
          <w:ilvl w:val="0"/>
          <w:numId w:val="1002"/>
        </w:numPr>
      </w:pPr>
      <w:r>
        <w:t xml:space="preserve">How does PD signal informativeness affect the</w:t>
      </w:r>
      <w:r>
        <w:t xml:space="preserve"> </w:t>
      </w:r>
      <w:r>
        <w:t xml:space="preserve">profit-versus-Youden cut-off gap?</w:t>
      </w:r>
      <w:r>
        <w:t xml:space="preserve"> </w:t>
      </w:r>
      <w:r>
        <w:rPr>
          <w:i/>
          <w:iCs/>
        </w:rPr>
        <w:t xml:space="preserve">(Ch4 §4.5)</w:t>
      </w:r>
    </w:p>
    <w:p>
      <w:pPr>
        <w:pStyle w:val="Compact"/>
        <w:numPr>
          <w:ilvl w:val="0"/>
          <w:numId w:val="1002"/>
        </w:numPr>
      </w:pPr>
      <w:r>
        <w:t xml:space="preserve">How sensitive are the optimal cut-offs to APR pricing strategy,</w:t>
      </w:r>
      <w:r>
        <w:t xml:space="preserve"> </w:t>
      </w:r>
      <w:r>
        <w:t xml:space="preserve">LGD, acquisition cost, funding cost, and operating cost?</w:t>
      </w:r>
      <w:r>
        <w:t xml:space="preserve"> </w:t>
      </w:r>
      <w:r>
        <w:rPr>
          <w:i/>
          <w:iCs/>
        </w:rPr>
        <w:t xml:space="preserve">(Ch4 §4.3, §4.6)</w:t>
      </w:r>
    </w:p>
    <w:p>
      <w:pPr>
        <w:pStyle w:val="Compact"/>
        <w:numPr>
          <w:ilvl w:val="0"/>
          <w:numId w:val="1002"/>
        </w:numPr>
      </w:pPr>
      <w:r>
        <w:t xml:space="preserve">Does the tenor-aware Lifetime Net Margin framework materially</w:t>
      </w:r>
      <w:r>
        <w:t xml:space="preserve"> </w:t>
      </w:r>
      <w:r>
        <w:t xml:space="preserve">differ from a simpler single-period benchmark?</w:t>
      </w:r>
      <w:r>
        <w:t xml:space="preserve"> </w:t>
      </w:r>
      <w:r>
        <w:rPr>
          <w:i/>
          <w:iCs/>
        </w:rPr>
        <w:t xml:space="preserve">(Ch4 §4.2)</w:t>
      </w:r>
    </w:p>
    <w:p>
      <w:r>
        <w:pict>
          <v:rect style="width:0;height:1.5pt" o:hralign="center" o:hrstd="t" o:hr="t"/>
        </w:pict>
      </w:r>
    </w:p>
    <w:bookmarkEnd w:id="12"/>
    <w:bookmarkStart w:id="13" w:name="X6592f0e0942203e8ba60f4bb5194f3ff626af4c"/>
    <w:p>
      <w:pPr>
        <w:pStyle w:val="Heading2"/>
      </w:pPr>
      <w:r>
        <w:t xml:space="preserve">Refined thesis claim (from Ch4 §4.7, restated in Ch1 §1.3)</w:t>
      </w:r>
    </w:p>
    <w:p>
      <w:pPr>
        <w:pStyle w:val="BlockText"/>
      </w:pPr>
      <w:r>
        <w:rPr>
          <w:i/>
          <w:iCs/>
        </w:rPr>
        <w:t xml:space="preserve">Within the tested scenario space, profit-driven cut-offs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beat Youden’s J in dollar terms, regardless of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profit-optimal cut-off is more or less permissive than Youden’s in</w:t>
      </w:r>
      <w:r>
        <w:rPr>
          <w:i/>
          <w:iCs/>
        </w:rPr>
        <w:t xml:space="preserve"> </w:t>
      </w:r>
      <w:r>
        <w:rPr>
          <w:i/>
          <w:iCs/>
        </w:rPr>
        <w:t xml:space="preserve">approval-rate terms.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claimed as a universal real-market law; it is an</w:t>
      </w:r>
      <w:r>
        <w:t xml:space="preserve"> </w:t>
      </w:r>
      <w:r>
        <w:t xml:space="preserve">empirical finding under the locked simulator (Ch3 §3.1), the locked</w:t>
      </w:r>
      <w:r>
        <w:t xml:space="preserve"> </w:t>
      </w:r>
      <w:r>
        <w:t xml:space="preserve">PD model (Ch3 §3.3, with the LightGBM tuned + Platt model as</w:t>
      </w:r>
      <w:r>
        <w:t xml:space="preserve"> </w:t>
      </w:r>
      <w:r>
        <w:t xml:space="preserve">primary), the locked Lifetime Net Margin formula stack (Ch3 §3.4),</w:t>
      </w:r>
      <w:r>
        <w:t xml:space="preserve"> </w:t>
      </w:r>
      <w:r>
        <w:t xml:space="preserve">and the explicit stress-test design (Ch3 §3.5). The boundary</w:t>
      </w:r>
      <w:r>
        <w:t xml:space="preserve"> </w:t>
      </w:r>
      <w:r>
        <w:t xml:space="preserve">conditions under which the claim is valid are enumerated in Ch5 §5.5</w:t>
      </w:r>
      <w:r>
        <w:t xml:space="preserve"> </w:t>
      </w:r>
      <w:r>
        <w:t xml:space="preserve">and treated formally as Limitations in Ch6 §6.1. The replication</w:t>
      </w:r>
      <w:r>
        <w:t xml:space="preserve"> </w:t>
      </w:r>
      <w:r>
        <w:t xml:space="preserve">directions that would extend the claim’s scope are catalogued as</w:t>
      </w:r>
      <w:r>
        <w:t xml:space="preserve"> </w:t>
      </w:r>
      <w:r>
        <w:t xml:space="preserve">Future Work F1-F7 in Ch6 §6.2.</w:t>
      </w:r>
    </w:p>
    <w:p>
      <w:r>
        <w:pict>
          <v:rect style="width:0;height:1.5pt" o:hralign="center" o:hrstd="t" o:hr="t"/>
        </w:pict>
      </w:r>
    </w:p>
    <w:bookmarkEnd w:id="13"/>
    <w:bookmarkStart w:id="14" w:name="four-contributions"/>
    <w:p>
      <w:pPr>
        <w:pStyle w:val="Heading2"/>
      </w:pPr>
      <w:r>
        <w:t xml:space="preserve">Four contributions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Tenor-aware Lifetime Net Margin framework for cut-off</w:t>
      </w:r>
      <w:r>
        <w:rPr>
          <w:b/>
          <w:bCs/>
        </w:rPr>
        <w:t xml:space="preserve"> </w:t>
      </w:r>
      <w:r>
        <w:rPr>
          <w:b/>
          <w:bCs/>
        </w:rPr>
        <w:t xml:space="preserve">optimisation</w:t>
      </w:r>
      <w:r>
        <w:t xml:space="preserve"> </w:t>
      </w:r>
      <w:r>
        <w:t xml:space="preserve">(Ch3 §3.4; reference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). The simpler ASB single-period benchmark</w:t>
      </w:r>
      <w:r>
        <w:t xml:space="preserve"> </w:t>
      </w:r>
      <w:r>
        <w:t xml:space="preserve">understates the lifetime metric by approximately 40% on 36-month</w:t>
      </w:r>
      <w:r>
        <w:t xml:space="preserve"> </w:t>
      </w:r>
      <w:r>
        <w:t xml:space="preserve">loans because amortization and survival weighting are</w:t>
      </w:r>
      <w:r>
        <w:t xml:space="preserve"> </w:t>
      </w:r>
      <w:r>
        <w:t xml:space="preserve">systematically ignored.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Multi-dimensional stress-test design</w:t>
      </w:r>
      <w:r>
        <w:t xml:space="preserve"> </w:t>
      </w:r>
      <w:r>
        <w:t xml:space="preserve">— a 576-cell economic</w:t>
      </w:r>
      <w:r>
        <w:t xml:space="preserve"> </w:t>
      </w:r>
      <w:r>
        <w:t xml:space="preserve">stress grid (Ch4 §4.3) plus a 64-cell Phase 4.2 PD-signal ×</w:t>
      </w:r>
      <w:r>
        <w:t xml:space="preserve"> </w:t>
      </w:r>
      <w:r>
        <w:t xml:space="preserve">operating-cost stress space (Ch4 §4.5-§4.7). Motivated by the</w:t>
      </w:r>
      <w:r>
        <w:t xml:space="preserve"> </w:t>
      </w:r>
      <w:r>
        <w:t xml:space="preserve">finding that the only reject-most regime in the entire 64-cell</w:t>
      </w:r>
      <w:r>
        <w:t xml:space="preserve"> </w:t>
      </w:r>
      <w:r>
        <w:t xml:space="preserve">space appears at the simultaneous extreme of all six stress</w:t>
      </w:r>
      <w:r>
        <w:t xml:space="preserve"> </w:t>
      </w:r>
      <w:r>
        <w:t xml:space="preserve">dimensions — a regime that no single-axis study would have</w:t>
      </w:r>
      <w:r>
        <w:t xml:space="preserve"> </w:t>
      </w:r>
      <w:r>
        <w:t xml:space="preserve">detected.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PD-signal inversion finding</w:t>
      </w:r>
      <w:r>
        <w:t xml:space="preserve"> </w:t>
      </w:r>
      <w:r>
        <w:rPr>
          <w:i/>
          <w:iCs/>
        </w:rPr>
        <w:t xml:space="preserve">(highlighted as the most novel)</w:t>
      </w:r>
      <w:r>
        <w:t xml:space="preserve"> </w:t>
      </w:r>
      <w:r>
        <w:t xml:space="preserve">— the cut-off gap between profit-driven and Youden’s J cut-offs</w:t>
      </w:r>
      <w:r>
        <w:t xml:space="preserve"> </w:t>
      </w:r>
      <w:r>
        <w:t xml:space="preserve">widens monotonically as PD signal informativeness falls, from</w:t>
      </w:r>
      <w:r>
        <w:t xml:space="preserve"> </w:t>
      </w:r>
      <w:r>
        <w:t xml:space="preserve">approximately +15.5 percentage points at the LightGBM raw Gini ≈</w:t>
      </w:r>
      <w:r>
        <w:t xml:space="preserve"> </w:t>
      </w:r>
      <w:r>
        <w:t xml:space="preserve">0.80 to approximately +35.7 pp at Gini 0.30. To the author’s</w:t>
      </w:r>
      <w:r>
        <w:t xml:space="preserve"> </w:t>
      </w:r>
      <w:r>
        <w:t xml:space="preserve">knowledge, this inversion has not been explicitly reported in</w:t>
      </w:r>
      <w:r>
        <w:t xml:space="preserve"> </w:t>
      </w:r>
      <w:r>
        <w:t xml:space="preserve">the published profit-driven credit-scoring literature.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Bootstrap-versus-assumption uncertainty discipline</w:t>
      </w:r>
      <w:r>
        <w:t xml:space="preserve"> </w:t>
      </w:r>
      <w:r>
        <w:t xml:space="preserve">— the</w:t>
      </w:r>
      <w:r>
        <w:t xml:space="preserve"> </w:t>
      </w:r>
      <w:r>
        <w:t xml:space="preserve">Phase 4.1 1,000-resample stratified bootstrap on the OOT</w:t>
      </w:r>
      <w:r>
        <w:t xml:space="preserve"> </w:t>
      </w:r>
      <w:r>
        <w:t xml:space="preserve">economics population quantifies sampling uncertainty within a</w:t>
      </w:r>
      <w:r>
        <w:t xml:space="preserve"> </w:t>
      </w:r>
      <w:r>
        <w:t xml:space="preserve">fixed locked pipeline; assumption uncertainty is addressed</w:t>
      </w:r>
      <w:r>
        <w:t xml:space="preserve"> </w:t>
      </w:r>
      <w:r>
        <w:t xml:space="preserve">separately by the multi-dimensional stress grids. The discipline</w:t>
      </w:r>
      <w:r>
        <w:t xml:space="preserve"> </w:t>
      </w:r>
      <w:r>
        <w:t xml:space="preserve">prevents the bootstrap CIs from being misread as estimates of</w:t>
      </w:r>
      <w:r>
        <w:t xml:space="preserve"> </w:t>
      </w:r>
      <w:r>
        <w:t xml:space="preserve">total uncertainty.</w:t>
      </w:r>
    </w:p>
    <w:p>
      <w:r>
        <w:pict>
          <v:rect style="width:0;height:1.5pt" o:hralign="center" o:hrstd="t" o:hr="t"/>
        </w:pict>
      </w:r>
    </w:p>
    <w:bookmarkEnd w:id="14"/>
    <w:bookmarkStart w:id="15" w:name="four-headline-findings-from-ch5-5.1"/>
    <w:p>
      <w:pPr>
        <w:pStyle w:val="Heading2"/>
      </w:pPr>
      <w:r>
        <w:t xml:space="preserve">Four headline findings (from Ch5 §5.1)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Profit-driven cut-offs strictly beat Youden’s J in dollar</w:t>
      </w:r>
      <w:r>
        <w:rPr>
          <w:b/>
          <w:bCs/>
        </w:rPr>
        <w:t xml:space="preserve"> </w:t>
      </w:r>
      <w:r>
        <w:rPr>
          <w:b/>
          <w:bCs/>
        </w:rPr>
        <w:t xml:space="preserve">terms</w:t>
      </w:r>
      <w:r>
        <w:t xml:space="preserve"> </w:t>
      </w:r>
      <w:r>
        <w:t xml:space="preserve">— point-estimate uplift positive in 64 of 64 stress</w:t>
      </w:r>
      <w:r>
        <w:t xml:space="preserve"> </w:t>
      </w:r>
      <w:r>
        <w:t xml:space="preserve">cells; uplift positive in 4,000 of 4,000 anchor × bootstrap</w:t>
      </w:r>
      <w:r>
        <w:t xml:space="preserve"> </w:t>
      </w:r>
      <w:r>
        <w:t xml:space="preserve">combinations; per-anchor 95% bootstrap CIs do not cross zero in</w:t>
      </w:r>
      <w:r>
        <w:t xml:space="preserve"> </w:t>
      </w:r>
      <w:r>
        <w:t xml:space="preserve">any of the four anchor scenarios. Dollar magnitude ranges from</w:t>
      </w:r>
      <w:r>
        <w:t xml:space="preserve"> </w:t>
      </w:r>
      <w:r>
        <w:t xml:space="preserve">approximately $0.46M (adverse_stress anchor) to approximately</w:t>
      </w:r>
      <w:r>
        <w:t xml:space="preserve"> </w:t>
      </w:r>
      <w:r>
        <w:t xml:space="preserve">$30.75M (optimistic_base anchor) on the 64,027-row OOT</w:t>
      </w:r>
      <w:r>
        <w:t xml:space="preserve"> </w:t>
      </w:r>
      <w:r>
        <w:t xml:space="preserve">economics population.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cut-off gap widens as the PD signal weakens</w:t>
      </w:r>
      <w:r>
        <w:t xml:space="preserve"> </w:t>
      </w:r>
      <w:r>
        <w:t xml:space="preserve">— from</w:t>
      </w:r>
      <w:r>
        <w:t xml:space="preserve"> </w:t>
      </w:r>
      <w:r>
        <w:t xml:space="preserve">approximately +15.5 pp at the raw Gini of 0.80 to approximately</w:t>
      </w:r>
      <w:r>
        <w:t xml:space="preserve"> </w:t>
      </w:r>
      <w:r>
        <w:t xml:space="preserve">+35.7 pp at Gini 0.30 (mean cut-off gap, Phase 4.2 PART 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framework adapts to severe stress</w:t>
      </w:r>
      <w:r>
        <w:t xml:space="preserve"> </w:t>
      </w:r>
      <w:r>
        <w:t xml:space="preserve">— one reject-most cell</w:t>
      </w:r>
      <w:r>
        <w:t xml:space="preserve"> </w:t>
      </w:r>
      <w:r>
        <w:t xml:space="preserve">in the 64-cell stress space (adverse_stress at op_cost = 0.04;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= 0.31%; mean profit −$387; total profit −$24.8M) confirms</w:t>
      </w:r>
      <w:r>
        <w:t xml:space="preserve"> </w:t>
      </w:r>
      <w:r>
        <w:t xml:space="preserve">that the framework is an adaptive optimisation rule rather than</w:t>
      </w:r>
      <w:r>
        <w:t xml:space="preserve"> </w:t>
      </w:r>
      <w:r>
        <w:t xml:space="preserve">a uniformly permissive recommendation.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Tenor-aware Lifetime Net Margin formula outperforms ASB by</w:t>
      </w:r>
      <w:r>
        <w:rPr>
          <w:b/>
          <w:bCs/>
        </w:rPr>
        <w:t xml:space="preserve"> </w:t>
      </w:r>
      <w:r>
        <w:rPr>
          <w:b/>
          <w:bCs/>
        </w:rPr>
        <w:t xml:space="preserve">approximately 40% on 36-month loans</w:t>
      </w:r>
      <w:r>
        <w:t xml:space="preserve"> </w:t>
      </w:r>
      <w:r>
        <w:t xml:space="preserve">— the locked Lifetime total</w:t>
      </w:r>
      <w:r>
        <w:t xml:space="preserve"> </w:t>
      </w:r>
      <w:r>
        <w:t xml:space="preserve">($352.3M) exceeds the simpler ASB total ($250.9M) on the</w:t>
      </w:r>
      <w:r>
        <w:t xml:space="preserve"> </w:t>
      </w:r>
      <w:r>
        <w:t xml:space="preserve">235,968-row economics-eligible population; the gap grows with</w:t>
      </w:r>
      <w:r>
        <w:t xml:space="preserve"> </w:t>
      </w:r>
      <w:r>
        <w:t xml:space="preserve">tenor (ASB/Lifetime ratio = 0.91 on 24-month loans, 0.60 on</w:t>
      </w:r>
      <w:r>
        <w:t xml:space="preserve"> </w:t>
      </w:r>
      <w:r>
        <w:t xml:space="preserve">36-month loans).</w:t>
      </w:r>
    </w:p>
    <w:p>
      <w:r>
        <w:pict>
          <v:rect style="width:0;height:1.5pt" o:hralign="center" o:hrstd="t" o:hr="t"/>
        </w:pict>
      </w:r>
    </w:p>
    <w:bookmarkEnd w:id="15"/>
    <w:bookmarkStart w:id="16" w:name="key-caveats-from-ch5-5.5-and-ch6-6.1"/>
    <w:p>
      <w:pPr>
        <w:pStyle w:val="Heading2"/>
      </w:pPr>
      <w:r>
        <w:t xml:space="preserve">Key caveats (from Ch5 §5.5 and Ch6 §6.1)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Synthetic-simulator data, not real-world data.</w:t>
      </w:r>
      <w:r>
        <w:t xml:space="preserve"> </w:t>
      </w:r>
      <w:r>
        <w:t xml:space="preserve">All empirical</w:t>
      </w:r>
      <w:r>
        <w:t xml:space="preserve"> </w:t>
      </w:r>
      <w:r>
        <w:t xml:space="preserve">results derive from a single production run of the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</w:t>
      </w:r>
      <w:r>
        <w:t xml:space="preserve"> </w:t>
      </w:r>
      <w:r>
        <w:t xml:space="preserve">800 clients/day, 60-month window). Quantitative magnitudes are</w:t>
      </w:r>
      <w:r>
        <w:t xml:space="preserve"> </w:t>
      </w:r>
      <w:r>
        <w:t xml:space="preserve">not expected to transfer numerically to real data; qualitative</w:t>
      </w:r>
      <w:r>
        <w:t xml:space="preserve"> </w:t>
      </w:r>
      <w:r>
        <w:t xml:space="preserve">findings are expected to transfer in direction (Future Work F2</w:t>
      </w:r>
      <w:r>
        <w:t xml:space="preserve"> </w:t>
      </w:r>
      <w:r>
        <w:t xml:space="preserve">and F7 test this).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12-month loan exclusion.</w:t>
      </w:r>
      <w:r>
        <w:t xml:space="preserve"> </w:t>
      </w:r>
      <w:r>
        <w:t xml:space="preserve">The simulator’s writeoff trigger is</w:t>
      </w:r>
      <w:r>
        <w:t xml:space="preserve"> </w:t>
      </w:r>
      <w:r>
        <w:t xml:space="preserve">structurally unreachable within the 12-month forward target</w:t>
      </w:r>
      <w:r>
        <w:t xml:space="preserve"> </w:t>
      </w:r>
      <w:r>
        <w:t xml:space="preserve">window for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. The economic-analysis</w:t>
      </w:r>
      <w:r>
        <w:t xml:space="preserve"> </w:t>
      </w:r>
      <w:r>
        <w:t xml:space="preserve">population is therefore restricted to 24-month and 36-month</w:t>
      </w:r>
      <w:r>
        <w:t xml:space="preserve"> </w:t>
      </w:r>
      <w:r>
        <w:t xml:space="preserve">loans (235,968 rows of 534,314 modelling rows). Future Work F3</w:t>
      </w:r>
      <w:r>
        <w:t xml:space="preserve"> </w:t>
      </w:r>
      <w:r>
        <w:t xml:space="preserve">addresses the alternative-default-definition extension.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APR and LGD as exogenous assumptions.</w:t>
      </w:r>
      <w:r>
        <w:t xml:space="preserve"> </w:t>
      </w:r>
      <w:r>
        <w:t xml:space="preserve">The simulator does</w:t>
      </w:r>
      <w:r>
        <w:t xml:space="preserve"> </w:t>
      </w:r>
      <w:r>
        <w:t xml:space="preserve">not produce APR or LGD; both are supplied as locked thesis</w:t>
      </w:r>
      <w:r>
        <w:t xml:space="preserve"> </w:t>
      </w:r>
      <w:r>
        <w:t xml:space="preserve">assumptions (Ch3 §3.4). LGD is exogenous (0.65 base case,</w:t>
      </w:r>
      <w:r>
        <w:t xml:space="preserve"> </w:t>
      </w:r>
      <w:r>
        <w:t xml:space="preserve">sensitivity grid {0.45-0.85}); empirical LGD recovery is</w:t>
      </w:r>
      <w:r>
        <w:t xml:space="preserve"> </w:t>
      </w:r>
      <w:r>
        <w:t xml:space="preserve">catalogued as Future Work F1.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LightGBM under-prediction on the eco-OOT subset</w:t>
      </w:r>
      <w:r>
        <w:t xml:space="preserve"> </w:t>
      </w:r>
      <w:r>
        <w:t xml:space="preserve">—</w:t>
      </w:r>
      <w:r>
        <w:t xml:space="preserve"> </w:t>
      </w:r>
      <w:r>
        <w:t xml:space="preserve">predicted-to-observed ratio approximately 0.49 on the 64,027-row</w:t>
      </w:r>
      <w:r>
        <w:t xml:space="preserve"> </w:t>
      </w:r>
      <w:r>
        <w:t xml:space="preserve">OOT economics population (calibration drift between the</w:t>
      </w:r>
      <w:r>
        <w:t xml:space="preserve"> </w:t>
      </w:r>
      <w:r>
        <w:t xml:space="preserve">202611-202612 calibration slice base rate ≈0.85% and the</w:t>
      </w:r>
      <w:r>
        <w:t xml:space="preserve"> </w:t>
      </w:r>
      <w:r>
        <w:t xml:space="preserve">eco-OOT base rate ≈1.92%). The PD-multiplier scenarios in Phase</w:t>
      </w:r>
      <w:r>
        <w:t xml:space="preserve"> </w:t>
      </w:r>
      <w:r>
        <w:t xml:space="preserve">3 and 4 bracket this calibration drift; the profit-vs-Youden</w:t>
      </w:r>
      <w:r>
        <w:t xml:space="preserve"> </w:t>
      </w:r>
      <w:r>
        <w:t xml:space="preserve">hypothesis survives at every multiplier.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Constant monthly hazard assumption.</w:t>
      </w:r>
      <w:r>
        <w:t xml:space="preserve"> </w:t>
      </w:r>
      <w:r>
        <w:t xml:space="preserve">The lifetime-EL formula</w:t>
      </w:r>
      <w:r>
        <w:t xml:space="preserve"> </w:t>
      </w:r>
      <w:r>
        <w:t xml:space="preserve">extrapolates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across the full</w:t>
      </w:r>
      <w:r>
        <w:t xml:space="preserve"> </w:t>
      </w:r>
      <w:r>
        <w:t xml:space="preserve">amortization schedule. Real-world hazards typically decline with</w:t>
      </w:r>
      <w:r>
        <w:t xml:space="preserve"> </w:t>
      </w:r>
      <w:r>
        <w:t xml:space="preserve">loan age. The net effect on the profit-uplift metric is an</w:t>
      </w:r>
      <w:r>
        <w:t xml:space="preserve"> </w:t>
      </w:r>
      <w:r>
        <w:t xml:space="preserve">empirical question for Future Work F4.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Bootstrap captures sampling uncertainty only.</w:t>
      </w:r>
      <w:r>
        <w:t xml:space="preserve"> </w:t>
      </w:r>
      <w:r>
        <w:t xml:space="preserve">Assumption</w:t>
      </w:r>
      <w:r>
        <w:t xml:space="preserve"> </w:t>
      </w:r>
      <w:r>
        <w:t xml:space="preserve">uncertainty is addressed separately by the multi-dimensional</w:t>
      </w:r>
      <w:r>
        <w:t xml:space="preserve"> </w:t>
      </w:r>
      <w:r>
        <w:t xml:space="preserve">stress grids; cross-configuration variance (alternative seeds /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levels) is deferred to Future Work F6.</w:t>
      </w:r>
    </w:p>
    <w:p>
      <w:pPr>
        <w:pStyle w:val="FirstParagraph"/>
      </w:pPr>
      <w:r>
        <w:t xml:space="preserve">The full enumeration is at Ch6 §6.1 (10 limitations).</w:t>
      </w:r>
    </w:p>
    <w:p>
      <w:r>
        <w:pict>
          <v:rect style="width:0;height:1.5pt" o:hralign="center" o:hrstd="t" o:hr="t"/>
        </w:pict>
      </w:r>
    </w:p>
    <w:bookmarkEnd w:id="16"/>
    <w:bookmarkStart w:id="17" w:name="open-citation-issue"/>
    <w:p>
      <w:pPr>
        <w:pStyle w:val="Heading2"/>
      </w:pPr>
      <w:r>
        <w:t xml:space="preserve">Open citation issue</w:t>
      </w:r>
    </w:p>
    <w:p>
      <w:pPr>
        <w:pStyle w:val="FirstParagraph"/>
      </w:pPr>
      <w:r>
        <w:rPr>
          <w:b/>
          <w:bCs/>
        </w:rPr>
        <w:t xml:space="preserve">Operating-cost benchmark (Group AA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citation_pass_inventory.md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— PENDING RESEARCH.</w:t>
      </w:r>
      <w:r>
        <w:t xml:space="preserve"> </w:t>
      </w:r>
      <w:r>
        <w:t xml:space="preserve">The thesis cites a</w:t>
      </w:r>
      <w:r>
        <w:t xml:space="preserve"> </w:t>
      </w:r>
      <w:r>
        <w:t xml:space="preserve">“1-5% operating cost range”</w:t>
      </w:r>
      <w:r>
        <w:t xml:space="preserve"> </w:t>
      </w:r>
      <w:r>
        <w:t xml:space="preserve">in Ch4 §4.6 and Ch6 §6.1 Limitation 7. Neither location currently</w:t>
      </w:r>
      <w:r>
        <w:t xml:space="preserve"> </w:t>
      </w:r>
      <w:r>
        <w:t xml:space="preserve">backs the empirical claim with a verified source. This is the only</w:t>
      </w:r>
      <w:r>
        <w:t xml:space="preserve"> </w:t>
      </w:r>
      <w:r>
        <w:t xml:space="preserve">HIGH-PRIORITY citation gap identified by the global consistency</w:t>
      </w:r>
      <w:r>
        <w:t xml:space="preserve"> </w:t>
      </w:r>
      <w:r>
        <w:t xml:space="preserve">audit and is the single open citation issue that may merit attention</w:t>
      </w:r>
      <w:r>
        <w:t xml:space="preserve"> </w:t>
      </w:r>
      <w:r>
        <w:t xml:space="preserve">before the supervisor methodology review.</w:t>
      </w:r>
    </w:p>
    <w:p>
      <w:pPr>
        <w:pStyle w:val="BodyText"/>
      </w:pPr>
      <w:r>
        <w:t xml:space="preserve">Candidate canonical sources to verify (none invented, none</w:t>
      </w:r>
      <w:r>
        <w:t xml:space="preserve"> </w:t>
      </w:r>
      <w:r>
        <w:t xml:space="preserve">selected — see</w:t>
      </w:r>
      <w:r>
        <w:t xml:space="preserve"> </w:t>
      </w:r>
      <w:r>
        <w:rPr>
          <w:rStyle w:val="VerbatimChar"/>
        </w:rPr>
        <w:t xml:space="preserve">citation_pass_inventory.md</w:t>
      </w:r>
      <w:r>
        <w:t xml:space="preserve"> </w:t>
      </w:r>
      <w:r>
        <w:t xml:space="preserve">for details):</w:t>
      </w:r>
      <w:r>
        <w:t xml:space="preserve"> </w:t>
      </w:r>
      <w:r>
        <w:t xml:space="preserve">- McKinsey global banking benchmark report</w:t>
      </w:r>
      <w:r>
        <w:t xml:space="preserve"> </w:t>
      </w:r>
      <w:r>
        <w:t xml:space="preserve">- Federal Reserve cost-to-income ratio statistics for retail banks</w:t>
      </w:r>
      <w:r>
        <w:t xml:space="preserve"> </w:t>
      </w:r>
      <w:r>
        <w:t xml:space="preserve">- EBA retail-bank operating-cost statistics</w:t>
      </w:r>
      <w:r>
        <w:t xml:space="preserve"> </w:t>
      </w:r>
      <w:r>
        <w:t xml:space="preserve">- A consultant practitioner report on consumer-lending operating-</w:t>
      </w:r>
      <w:r>
        <w:t xml:space="preserve"> </w:t>
      </w:r>
      <w:r>
        <w:t xml:space="preserve">cost ranges</w:t>
      </w:r>
    </w:p>
    <w:p>
      <w:pPr>
        <w:pStyle w:val="BodyText"/>
      </w:pPr>
      <w:r>
        <w:t xml:space="preserve">The remaining 49</w:t>
      </w:r>
      <w:r>
        <w:t xml:space="preserve"> </w:t>
      </w:r>
      <w:r>
        <w:rPr>
          <w:rStyle w:val="VerbatimChar"/>
        </w:rPr>
        <w:t xml:space="preserve">[TODO: cite]</w:t>
      </w:r>
      <w:r>
        <w:t xml:space="preserve"> </w:t>
      </w:r>
      <w:r>
        <w:t xml:space="preserve">markers are catalogued in</w:t>
      </w:r>
      <w:r>
        <w:t xml:space="preserve"> </w:t>
      </w:r>
      <w:r>
        <w:rPr>
          <w:rStyle w:val="VerbatimChar"/>
        </w:rPr>
        <w:t xml:space="preserve">citation_pass_inventory.md</w:t>
      </w:r>
      <w:r>
        <w:t xml:space="preserve"> </w:t>
      </w:r>
      <w:r>
        <w:t xml:space="preserve">as 32 source groups (5 HIGH-priority,</w:t>
      </w:r>
      <w:r>
        <w:t xml:space="preserve"> </w:t>
      </w:r>
      <w:r>
        <w:t xml:space="preserve">14 MEDIUM, 13 LOW) and primarily require user / library lookup</w:t>
      </w:r>
      <w:r>
        <w:t xml:space="preserve"> </w:t>
      </w:r>
      <w:r>
        <w:t xml:space="preserve">rather than independent research; they do not block supervisor</w:t>
      </w:r>
      <w:r>
        <w:t xml:space="preserve"> </w:t>
      </w:r>
      <w:r>
        <w:t xml:space="preserve">methodology review.</w:t>
      </w:r>
    </w:p>
    <w:p>
      <w:r>
        <w:pict>
          <v:rect style="width:0;height:1.5pt" o:hralign="center" o:hrstd="t" o:hr="t"/>
        </w:pict>
      </w:r>
    </w:p>
    <w:bookmarkEnd w:id="17"/>
    <w:bookmarkStart w:id="23" w:name="recommended-supervisor-review-focus"/>
    <w:p>
      <w:pPr>
        <w:pStyle w:val="Heading2"/>
      </w:pPr>
      <w:r>
        <w:t xml:space="preserve">Recommended supervisor review focus</w:t>
      </w:r>
    </w:p>
    <w:p>
      <w:pPr>
        <w:pStyle w:val="FirstParagraph"/>
      </w:pPr>
      <w:r>
        <w:t xml:space="preserve">Listed in priority order — supervisor input on (1)-(4) is most</w:t>
      </w:r>
      <w:r>
        <w:t xml:space="preserve"> </w:t>
      </w:r>
      <w:r>
        <w:t xml:space="preserve">valuable; input on (5) determines the next-phase workflow.</w:t>
      </w:r>
    </w:p>
    <w:bookmarkStart w:id="18" w:name="research-framing"/>
    <w:p>
      <w:pPr>
        <w:pStyle w:val="Heading3"/>
      </w:pPr>
      <w:r>
        <w:t xml:space="preserve">1. Research framing</w:t>
      </w:r>
    </w:p>
    <w:p>
      <w:pPr>
        <w:pStyle w:val="Compact"/>
        <w:numPr>
          <w:ilvl w:val="0"/>
          <w:numId w:val="1006"/>
        </w:numPr>
      </w:pPr>
      <w:r>
        <w:t xml:space="preserve">Does the central question —</w:t>
      </w:r>
      <w:r>
        <w:t xml:space="preserve"> </w:t>
      </w:r>
      <w:r>
        <w:t xml:space="preserve">“under what conditions do</w:t>
      </w:r>
      <w:r>
        <w:t xml:space="preserve"> </w:t>
      </w:r>
      <w:r>
        <w:t xml:space="preserve">profit-driven cut-offs outperform discrimination-driven cut-offs</w:t>
      </w:r>
      <w:r>
        <w:t xml:space="preserve"> </w:t>
      </w:r>
      <w:r>
        <w:t xml:space="preserve">in expected dollar profit?”</w:t>
      </w:r>
      <w:r>
        <w:t xml:space="preserve"> </w:t>
      </w:r>
      <w:r>
        <w:t xml:space="preserve">— match the field’s open question?</w:t>
      </w:r>
    </w:p>
    <w:p>
      <w:pPr>
        <w:pStyle w:val="Compact"/>
        <w:numPr>
          <w:ilvl w:val="0"/>
          <w:numId w:val="1006"/>
        </w:numPr>
      </w:pPr>
      <w:r>
        <w:t xml:space="preserve">Is the four-sub-question decomposition complete, and is the</w:t>
      </w:r>
      <w:r>
        <w:t xml:space="preserve"> </w:t>
      </w:r>
      <w:r>
        <w:t xml:space="preserve">scope appropriate for a Master’s thesis?</w:t>
      </w:r>
    </w:p>
    <w:p>
      <w:pPr>
        <w:pStyle w:val="Compact"/>
        <w:numPr>
          <w:ilvl w:val="0"/>
          <w:numId w:val="1006"/>
        </w:numPr>
      </w:pPr>
      <w:r>
        <w:t xml:space="preserve">Is the synthetic-data positioning (Ch1 §1.1, Ch2 §2.6, Ch5 §5.4)</w:t>
      </w:r>
      <w:r>
        <w:t xml:space="preserve"> </w:t>
      </w:r>
      <w:r>
        <w:t xml:space="preserve">defensible, particularly given the unusual choice to bypass real</w:t>
      </w:r>
      <w:r>
        <w:t xml:space="preserve"> </w:t>
      </w:r>
      <w:r>
        <w:t xml:space="preserve">public credit datasets?</w:t>
      </w:r>
    </w:p>
    <w:bookmarkEnd w:id="18"/>
    <w:bookmarkStart w:id="19" w:name="methodology-appropriateness"/>
    <w:p>
      <w:pPr>
        <w:pStyle w:val="Heading3"/>
      </w:pPr>
      <w:r>
        <w:t xml:space="preserve">2. Methodology appropriateness</w:t>
      </w:r>
    </w:p>
    <w:p>
      <w:pPr>
        <w:pStyle w:val="Compact"/>
        <w:numPr>
          <w:ilvl w:val="0"/>
          <w:numId w:val="1007"/>
        </w:numPr>
      </w:pPr>
      <w:r>
        <w:t xml:space="preserve">Is the locked tenor-aware Lifetime Net Margin formula stack</w:t>
      </w:r>
      <w:r>
        <w:t xml:space="preserve"> </w:t>
      </w:r>
      <w:r>
        <w:t xml:space="preserve">(Ch3 §3.4; reference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)</w:t>
      </w:r>
      <w:r>
        <w:t xml:space="preserve"> </w:t>
      </w:r>
      <w:r>
        <w:t xml:space="preserve">appropriate for cut-off optimisation rather than provisioning?</w:t>
      </w:r>
    </w:p>
    <w:p>
      <w:pPr>
        <w:pStyle w:val="Compact"/>
        <w:numPr>
          <w:ilvl w:val="0"/>
          <w:numId w:val="1007"/>
        </w:numPr>
      </w:pPr>
      <w:r>
        <w:t xml:space="preserve">Is the dual-track PD modelling design (LightGBM primary +</w:t>
      </w:r>
      <w:r>
        <w:t xml:space="preserve"> </w:t>
      </w:r>
      <w:r>
        <w:t xml:space="preserve">Logistic Regression + Scorecard) defensible? Is the leak-free</w:t>
      </w:r>
      <w:r>
        <w:t xml:space="preserve"> </w:t>
      </w:r>
      <w:r>
        <w:t xml:space="preserve">Platt calibration on cohorts 202611-202612 a sound design?</w:t>
      </w:r>
    </w:p>
    <w:p>
      <w:pPr>
        <w:pStyle w:val="Compact"/>
        <w:numPr>
          <w:ilvl w:val="0"/>
          <w:numId w:val="1007"/>
        </w:numPr>
      </w:pPr>
      <w:r>
        <w:t xml:space="preserve">Is the multi-dimensional stress design (576-cell + 64-cell</w:t>
      </w:r>
      <w:r>
        <w:t xml:space="preserve"> </w:t>
      </w:r>
      <w:r>
        <w:t xml:space="preserve">Phase 4.2 stress space) proportionate, or does the supervisor see</w:t>
      </w:r>
      <w:r>
        <w:t xml:space="preserve"> </w:t>
      </w:r>
      <w:r>
        <w:t xml:space="preserve">redundancy or coverage gaps?</w:t>
      </w:r>
    </w:p>
    <w:p>
      <w:pPr>
        <w:pStyle w:val="Compact"/>
        <w:numPr>
          <w:ilvl w:val="0"/>
          <w:numId w:val="1007"/>
        </w:numPr>
      </w:pPr>
      <w:r>
        <w:t xml:space="preserve">Does the bootstrap-versus-assumption uncertainty separation</w:t>
      </w:r>
      <w:r>
        <w:t xml:space="preserve"> </w:t>
      </w:r>
      <w:r>
        <w:t xml:space="preserve">(Ch3 §3.6, Ch5 §5.4) cleanly delineate sampling vs assumption</w:t>
      </w:r>
      <w:r>
        <w:t xml:space="preserve"> </w:t>
      </w:r>
      <w:r>
        <w:t xml:space="preserve">uncertainty?</w:t>
      </w:r>
    </w:p>
    <w:bookmarkEnd w:id="19"/>
    <w:bookmarkStart w:id="20" w:name="strength-of-the-empirical-claim"/>
    <w:p>
      <w:pPr>
        <w:pStyle w:val="Heading3"/>
      </w:pPr>
      <w:r>
        <w:t xml:space="preserve">3. Strength of the empirical claim</w:t>
      </w:r>
    </w:p>
    <w:p>
      <w:pPr>
        <w:pStyle w:val="Compact"/>
        <w:numPr>
          <w:ilvl w:val="0"/>
          <w:numId w:val="1008"/>
        </w:numPr>
      </w:pPr>
      <w:r>
        <w:t xml:space="preserve">Is the dollar-anchored refined claim (</w:t>
      </w:r>
      <w:r>
        <w:t xml:space="preserve">“strictly beat Youden’s J in</w:t>
      </w:r>
      <w:r>
        <w:t xml:space="preserve"> </w:t>
      </w:r>
      <w:r>
        <w:t xml:space="preserve">dollar terms regardless of approval-rate direction”</w:t>
      </w:r>
      <w:r>
        <w:t xml:space="preserve">) an</w:t>
      </w:r>
      <w:r>
        <w:t xml:space="preserve"> </w:t>
      </w:r>
      <w:r>
        <w:t xml:space="preserve">appropriate substitute for the earlier direction-anchored claim</w:t>
      </w:r>
      <w:r>
        <w:t xml:space="preserve"> </w:t>
      </w:r>
      <w:r>
        <w:t xml:space="preserve">that the empirical evidence did not uniformly support?</w:t>
      </w:r>
    </w:p>
    <w:p>
      <w:pPr>
        <w:pStyle w:val="Compact"/>
        <w:numPr>
          <w:ilvl w:val="0"/>
          <w:numId w:val="1008"/>
        </w:numPr>
      </w:pPr>
      <w:r>
        <w:t xml:space="preserve">Is 64-of-64 stress cells + 4,000-of-4,000 bootstrap-anchor</w:t>
      </w:r>
      <w:r>
        <w:t xml:space="preserve"> </w:t>
      </w:r>
      <w:r>
        <w:t xml:space="preserve">combinations + per-anchor CIs not crossing zero an evidence base</w:t>
      </w:r>
      <w:r>
        <w:t xml:space="preserve"> </w:t>
      </w:r>
      <w:r>
        <w:t xml:space="preserve">that the supervisor finds compelling?</w:t>
      </w:r>
    </w:p>
    <w:p>
      <w:pPr>
        <w:pStyle w:val="Compact"/>
        <w:numPr>
          <w:ilvl w:val="0"/>
          <w:numId w:val="1008"/>
        </w:numPr>
      </w:pPr>
      <w:r>
        <w:t xml:space="preserve">Is the PD-signal inversion finding (Contribution 3) sufficiently</w:t>
      </w:r>
      <w:r>
        <w:t xml:space="preserve"> </w:t>
      </w:r>
      <w:r>
        <w:t xml:space="preserve">novel to be highlighted as the central methodological</w:t>
      </w:r>
      <w:r>
        <w:t xml:space="preserve"> </w:t>
      </w:r>
      <w:r>
        <w:t xml:space="preserve">contribution? The inversion is described in approval-rate-gap</w:t>
      </w:r>
      <w:r>
        <w:t xml:space="preserve"> </w:t>
      </w:r>
      <w:r>
        <w:t xml:space="preserve">terms (not directly tabulated relative dollar uplift) — is this</w:t>
      </w:r>
      <w:r>
        <w:t xml:space="preserve"> </w:t>
      </w:r>
      <w:r>
        <w:t xml:space="preserve">hedge appropriate?</w:t>
      </w:r>
    </w:p>
    <w:bookmarkEnd w:id="20"/>
    <w:bookmarkStart w:id="21" w:name="limitations-future-work-framing"/>
    <w:p>
      <w:pPr>
        <w:pStyle w:val="Heading3"/>
      </w:pPr>
      <w:r>
        <w:t xml:space="preserve">4. Limitations / Future Work framing</w:t>
      </w:r>
    </w:p>
    <w:p>
      <w:pPr>
        <w:pStyle w:val="Compact"/>
        <w:numPr>
          <w:ilvl w:val="0"/>
          <w:numId w:val="1009"/>
        </w:numPr>
      </w:pPr>
      <w:r>
        <w:t xml:space="preserve">Is the boundary-condition discipline (Ch5 §5.5 + Ch6 §6.1) honest</w:t>
      </w:r>
      <w:r>
        <w:t xml:space="preserve"> </w:t>
      </w:r>
      <w:r>
        <w:t xml:space="preserve">enough? Are any limitations missing from the 10-item list?</w:t>
      </w:r>
    </w:p>
    <w:p>
      <w:pPr>
        <w:pStyle w:val="Compact"/>
        <w:numPr>
          <w:ilvl w:val="0"/>
          <w:numId w:val="1009"/>
        </w:numPr>
      </w:pPr>
      <w:r>
        <w:t xml:space="preserve">Is the Future Work catalogue (Ch6 §6.2) appropriately</w:t>
      </w:r>
      <w:r>
        <w:t xml:space="preserve"> </w:t>
      </w:r>
      <w:r>
        <w:t xml:space="preserve">prioritised, with F1 (empirical LGD recovery) and F2 (real-data</w:t>
      </w:r>
      <w:r>
        <w:t xml:space="preserve"> </w:t>
      </w:r>
      <w:r>
        <w:t xml:space="preserve">replication) as the two HIGH-priority directions?</w:t>
      </w:r>
    </w:p>
    <w:p>
      <w:pPr>
        <w:pStyle w:val="Compact"/>
        <w:numPr>
          <w:ilvl w:val="0"/>
          <w:numId w:val="1009"/>
        </w:numPr>
      </w:pPr>
      <w:r>
        <w:t xml:space="preserve">Does the LightGBM under-prediction caveat (Limitation 6;</w:t>
      </w:r>
      <w:r>
        <w:t xml:space="preserve"> </w:t>
      </w:r>
      <w:r>
        <w:t xml:space="preserve">predicted-to-observed ratio 0.49 on eco-OOT) need a more</w:t>
      </w:r>
      <w:r>
        <w:t xml:space="preserve"> </w:t>
      </w:r>
      <w:r>
        <w:t xml:space="preserve">prominent treatment, or is the current bracketing-by-PD-multiplier</w:t>
      </w:r>
      <w:r>
        <w:t xml:space="preserve"> </w:t>
      </w:r>
      <w:r>
        <w:t xml:space="preserve">framing sufficient?</w:t>
      </w:r>
    </w:p>
    <w:bookmarkEnd w:id="21"/>
    <w:bookmarkStart w:id="22" w:name="citation-finalization-sequencing"/>
    <w:p>
      <w:pPr>
        <w:pStyle w:val="Heading3"/>
      </w:pPr>
      <w:r>
        <w:t xml:space="preserve">5. Citation finalization sequencing</w:t>
      </w:r>
    </w:p>
    <w:p>
      <w:pPr>
        <w:pStyle w:val="Compact"/>
        <w:numPr>
          <w:ilvl w:val="0"/>
          <w:numId w:val="1010"/>
        </w:numPr>
      </w:pPr>
      <w:r>
        <w:t xml:space="preserve">Should citation finalization happen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supervisor</w:t>
      </w:r>
      <w:r>
        <w:t xml:space="preserve"> </w:t>
      </w:r>
      <w:r>
        <w:t xml:space="preserve">methodology review (so the supervisor reads the thesis with full</w:t>
      </w:r>
      <w:r>
        <w:t xml:space="preserve"> </w:t>
      </w:r>
      <w:r>
        <w:t xml:space="preserve">citations), or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supervisor methodology review (so</w:t>
      </w:r>
      <w:r>
        <w:t xml:space="preserve"> </w:t>
      </w:r>
      <w:r>
        <w:t xml:space="preserve">citation work is concentrated in a single pass after any</w:t>
      </w:r>
      <w:r>
        <w:t xml:space="preserve"> </w:t>
      </w:r>
      <w:r>
        <w:t xml:space="preserve">methodology revisions)?</w:t>
      </w:r>
    </w:p>
    <w:p>
      <w:pPr>
        <w:pStyle w:val="Compact"/>
        <w:numPr>
          <w:ilvl w:val="0"/>
          <w:numId w:val="1010"/>
        </w:numPr>
      </w:pPr>
      <w:r>
        <w:t xml:space="preserve">The 49 non-blocking</w:t>
      </w:r>
      <w:r>
        <w:t xml:space="preserve"> </w:t>
      </w:r>
      <w:r>
        <w:rPr>
          <w:rStyle w:val="VerbatimChar"/>
        </w:rPr>
        <w:t xml:space="preserve">[TODO: cite]</w:t>
      </w:r>
      <w:r>
        <w:t xml:space="preserve"> </w:t>
      </w:r>
      <w:r>
        <w:t xml:space="preserve">markers can be resolved in</w:t>
      </w:r>
      <w:r>
        <w:t xml:space="preserve"> </w:t>
      </w:r>
      <w:r>
        <w:t xml:space="preserve">approximately one focused citation-pass session (estimated</w:t>
      </w:r>
      <w:r>
        <w:t xml:space="preserve"> </w:t>
      </w:r>
      <w:r>
        <w:t xml:space="preserve">effort 2-4 hours) by a research assistant or by the author with</w:t>
      </w:r>
      <w:r>
        <w:t xml:space="preserve"> </w:t>
      </w:r>
      <w:r>
        <w:t xml:space="preserve">citation-database access.</w:t>
      </w:r>
    </w:p>
    <w:p>
      <w:pPr>
        <w:pStyle w:val="Compact"/>
        <w:numPr>
          <w:ilvl w:val="0"/>
          <w:numId w:val="1010"/>
        </w:numPr>
      </w:pPr>
      <w:r>
        <w:t xml:space="preserve">The 1 HIGH-PRIORITY operating-cost benchmark (Group AA) requires</w:t>
      </w:r>
      <w:r>
        <w:t xml:space="preserve"> </w:t>
      </w:r>
      <w:r>
        <w:t xml:space="preserve">a substantive source-research decision and is the only citation</w:t>
      </w:r>
      <w:r>
        <w:t xml:space="preserve"> </w:t>
      </w:r>
      <w:r>
        <w:t xml:space="preserve">whose absence affects the empirical interpretation of Ch4 §4.6 /</w:t>
      </w:r>
      <w:r>
        <w:t xml:space="preserve"> </w:t>
      </w:r>
      <w:r>
        <w:t xml:space="preserve">Ch6 §6.1 Limitation 7.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panion-documents"/>
    <w:p>
      <w:pPr>
        <w:pStyle w:val="Heading2"/>
      </w:pPr>
      <w:r>
        <w:t xml:space="preserve">Companion documents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global_consistency_audit.md</w:t>
      </w:r>
      <w:r>
        <w:t xml:space="preserve"> </w:t>
      </w:r>
      <w:r>
        <w:t xml:space="preserve">— full Phase 7 audit report</w:t>
      </w:r>
      <w:r>
        <w:t xml:space="preserve"> </w:t>
      </w:r>
      <w:r>
        <w:t xml:space="preserve">(numbers, section references, hedge enforcement, Tables/Figures</w:t>
      </w:r>
      <w:r>
        <w:t xml:space="preserve"> </w:t>
      </w:r>
      <w:r>
        <w:t xml:space="preserve">inventory, forward references)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citation_pass_inventory.md</w:t>
      </w:r>
      <w:r>
        <w:t xml:space="preserve"> </w:t>
      </w:r>
      <w:r>
        <w:t xml:space="preserve">— full Phase 8 Task 1 citation</w:t>
      </w:r>
      <w:r>
        <w:t xml:space="preserve"> </w:t>
      </w:r>
      <w:r>
        <w:t xml:space="preserve">inventory (32 groups, 50 markers, status + priority)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thesis_evidence_map.md</w:t>
      </w:r>
      <w:r>
        <w:t xml:space="preserve"> </w:t>
      </w:r>
      <w:r>
        <w:t xml:space="preserve">— every claim mapped to artifact +</w:t>
      </w:r>
      <w:r>
        <w:t xml:space="preserve"> </w:t>
      </w:r>
      <w:r>
        <w:t xml:space="preserve">figure + numerical value + caveat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thesis_methodology_lock.md</w:t>
      </w:r>
      <w:r>
        <w:t xml:space="preserve"> </w:t>
      </w:r>
      <w:r>
        <w:t xml:space="preserve">— locked decisions across the</w:t>
      </w:r>
      <w:r>
        <w:t xml:space="preserve"> </w:t>
      </w:r>
      <w:r>
        <w:t xml:space="preserve">empirical chain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thesis_results_summary.md</w:t>
      </w:r>
      <w:r>
        <w:t xml:space="preserve"> </w:t>
      </w:r>
      <w:r>
        <w:t xml:space="preserve">— every numerical result consolidated</w:t>
      </w:r>
      <w:r>
        <w:t xml:space="preserve"> </w:t>
      </w:r>
      <w:r>
        <w:t xml:space="preserve">into thesis-ready tables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thesis_limitations.md</w:t>
      </w:r>
      <w:r>
        <w:t xml:space="preserve"> </w:t>
      </w:r>
      <w:r>
        <w:t xml:space="preserve">— enumeration of 10 limitations + 7</w:t>
      </w:r>
      <w:r>
        <w:t xml:space="preserve"> </w:t>
      </w:r>
      <w:r>
        <w:t xml:space="preserve">Future Work items (mirrors Ch6 §6.1 + §6.2)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artifact_inventory.md</w:t>
      </w:r>
      <w:r>
        <w:t xml:space="preserve"> </w:t>
      </w:r>
      <w:r>
        <w:t xml:space="preserve">— every file path + size + purpose +</w:t>
      </w:r>
      <w:r>
        <w:t xml:space="preserve"> </w:t>
      </w:r>
      <w:r>
        <w:t xml:space="preserve">chapter mapping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writing_readiness_report.md</w:t>
      </w:r>
      <w:r>
        <w:t xml:space="preserve"> </w:t>
      </w:r>
      <w:r>
        <w:t xml:space="preserve">— pre-writing readiness assessment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supervisor handoff package.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2026-05-13T18:49:53Z</dcterms:created>
  <dcterms:modified xsi:type="dcterms:W3CDTF">2026-05-13T18:49:53Z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