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6252"/>
      </w:tblGrid>
      <w:tr w:rsidR="00E85278" w:rsidRPr="00D61123" w14:paraId="52299E06" w14:textId="77777777" w:rsidTr="000776FA">
        <w:trPr>
          <w:trHeight w:val="853"/>
        </w:trPr>
        <w:tc>
          <w:tcPr>
            <w:tcW w:w="4219" w:type="dxa"/>
          </w:tcPr>
          <w:p w14:paraId="61C13E64" w14:textId="77777777" w:rsidR="002F6E9F" w:rsidRPr="00D61123" w:rsidRDefault="002F6E9F" w:rsidP="002F6E9F">
            <w:pPr>
              <w:pStyle w:val="Bodytext30"/>
              <w:shd w:val="clear" w:color="auto" w:fill="auto"/>
              <w:tabs>
                <w:tab w:val="left" w:pos="630"/>
                <w:tab w:val="right" w:pos="3003"/>
                <w:tab w:val="center" w:pos="4890"/>
                <w:tab w:val="right" w:pos="6164"/>
                <w:tab w:val="left" w:pos="6225"/>
              </w:tabs>
              <w:spacing w:line="276" w:lineRule="auto"/>
              <w:jc w:val="center"/>
              <w:rPr>
                <w:rStyle w:val="Bodytext313pt"/>
                <w:b/>
              </w:rPr>
            </w:pPr>
            <w:r w:rsidRPr="00D61123">
              <w:rPr>
                <w:rStyle w:val="Bodytext313pt"/>
                <w:b/>
              </w:rPr>
              <w:t>CÔNG TY ĐẤU GIÁ</w:t>
            </w:r>
          </w:p>
          <w:p w14:paraId="4D836130" w14:textId="77777777" w:rsidR="002F6E9F" w:rsidRPr="00D61123" w:rsidRDefault="00000000" w:rsidP="002F6E9F">
            <w:pPr>
              <w:pStyle w:val="Bodytext30"/>
              <w:shd w:val="clear" w:color="auto" w:fill="auto"/>
              <w:tabs>
                <w:tab w:val="left" w:pos="630"/>
                <w:tab w:val="right" w:pos="3003"/>
                <w:tab w:val="center" w:pos="4890"/>
                <w:tab w:val="right" w:pos="6164"/>
                <w:tab w:val="left" w:pos="6225"/>
              </w:tabs>
              <w:spacing w:line="276" w:lineRule="auto"/>
              <w:jc w:val="center"/>
              <w:rPr>
                <w:rStyle w:val="Bodytext313pt"/>
                <w:b/>
                <w:sz w:val="28"/>
                <w:szCs w:val="28"/>
              </w:rPr>
            </w:pPr>
            <w:r>
              <w:rPr>
                <w:i w:val="0"/>
                <w:iCs w:val="0"/>
                <w:noProof/>
                <w:sz w:val="28"/>
                <w:szCs w:val="28"/>
              </w:rPr>
              <w:pict w14:anchorId="27DC0D53">
                <v:line id="Straight Connector 6" o:spid="_x0000_s1026" style="position:absolute;left:0;text-align:left;z-index:251659264;visibility:visible" from="42pt,18.05pt" to="15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I2tQEAALcDAAAOAAAAZHJzL2Uyb0RvYy54bWysU8GOEzEMvSPxD1HudKarVV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" strokecolor="black [3200]" strokeweight=".5pt">
                  <v:stroke joinstyle="miter"/>
                </v:line>
              </w:pict>
            </w:r>
            <w:r w:rsidR="002F6E9F" w:rsidRPr="00D61123">
              <w:rPr>
                <w:rStyle w:val="Bodytext313pt"/>
                <w:b/>
              </w:rPr>
              <w:t>HỢP DANH CƯỜNG PHÁT</w:t>
            </w:r>
          </w:p>
        </w:tc>
        <w:tc>
          <w:tcPr>
            <w:tcW w:w="6252" w:type="dxa"/>
          </w:tcPr>
          <w:p w14:paraId="443446A1" w14:textId="77777777" w:rsidR="002F6E9F" w:rsidRPr="00D61123" w:rsidRDefault="002F6E9F" w:rsidP="002F6E9F">
            <w:pPr>
              <w:pStyle w:val="Bodytext30"/>
              <w:shd w:val="clear" w:color="auto" w:fill="auto"/>
              <w:tabs>
                <w:tab w:val="right" w:pos="3003"/>
                <w:tab w:val="center" w:pos="4890"/>
                <w:tab w:val="right" w:pos="6164"/>
                <w:tab w:val="left" w:pos="6225"/>
              </w:tabs>
              <w:spacing w:line="276" w:lineRule="auto"/>
              <w:jc w:val="center"/>
              <w:rPr>
                <w:rStyle w:val="Bodytext313pt"/>
                <w:b/>
              </w:rPr>
            </w:pPr>
            <w:r w:rsidRPr="00D61123">
              <w:rPr>
                <w:rStyle w:val="Bodytext313pt"/>
                <w:b/>
              </w:rPr>
              <w:t>CỘNG HÒA XÃ HỘI CHỦ NGHĨA VIỆT NAM</w:t>
            </w:r>
          </w:p>
          <w:p w14:paraId="24866050" w14:textId="77777777" w:rsidR="002F6E9F" w:rsidRPr="00D61123" w:rsidRDefault="00000000" w:rsidP="002F6E9F">
            <w:pPr>
              <w:pStyle w:val="Bodytext30"/>
              <w:shd w:val="clear" w:color="auto" w:fill="auto"/>
              <w:tabs>
                <w:tab w:val="right" w:pos="3003"/>
                <w:tab w:val="center" w:pos="4890"/>
                <w:tab w:val="right" w:pos="6164"/>
                <w:tab w:val="left" w:pos="6225"/>
              </w:tabs>
              <w:spacing w:line="276" w:lineRule="auto"/>
              <w:jc w:val="center"/>
              <w:rPr>
                <w:rStyle w:val="Bodytext313pt"/>
                <w:b/>
                <w:sz w:val="28"/>
                <w:szCs w:val="28"/>
              </w:rPr>
            </w:pPr>
            <w:r>
              <w:rPr>
                <w:iCs w:val="0"/>
                <w:noProof/>
                <w:sz w:val="28"/>
                <w:szCs w:val="28"/>
              </w:rPr>
              <w:pict w14:anchorId="3FF7FC79">
                <v:line id="Straight Connector 7" o:spid="_x0000_s1027" style="position:absolute;left:0;text-align:left;z-index:251660288;visibility:visible" from="83.05pt,18.05pt" to="212.3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" strokecolor="black [3200]" strokeweight=".5pt">
                  <v:stroke joinstyle="miter"/>
                </v:line>
              </w:pict>
            </w:r>
            <w:r w:rsidR="002F6E9F" w:rsidRPr="00D61123">
              <w:rPr>
                <w:rStyle w:val="Bodytext313pt"/>
                <w:b/>
                <w:sz w:val="28"/>
                <w:szCs w:val="28"/>
              </w:rPr>
              <w:t>Độc lập – Tự do – Hạnh phúc</w:t>
            </w:r>
          </w:p>
        </w:tc>
      </w:tr>
      <w:tr w:rsidR="00E85278" w:rsidRPr="00D61123" w14:paraId="554F42CB" w14:textId="77777777" w:rsidTr="000776FA">
        <w:tc>
          <w:tcPr>
            <w:tcW w:w="4219" w:type="dxa"/>
          </w:tcPr>
          <w:p w14:paraId="21A03887" w14:textId="3E10FE08" w:rsidR="002F6E9F" w:rsidRPr="00D61123" w:rsidRDefault="000776FA" w:rsidP="00D36DFD">
            <w:pPr>
              <w:pStyle w:val="Bodytext30"/>
              <w:shd w:val="clear" w:color="auto" w:fill="auto"/>
              <w:tabs>
                <w:tab w:val="right" w:pos="3003"/>
                <w:tab w:val="center" w:pos="4890"/>
                <w:tab w:val="right" w:pos="6164"/>
                <w:tab w:val="left" w:pos="6225"/>
              </w:tabs>
              <w:spacing w:before="120" w:line="276" w:lineRule="auto"/>
              <w:jc w:val="center"/>
              <w:rPr>
                <w:rStyle w:val="Bodytext313pt"/>
              </w:rPr>
            </w:pPr>
            <w:r w:rsidRPr="00D61123">
              <w:rPr>
                <w:rStyle w:val="Bodytext313pt"/>
              </w:rPr>
              <w:t>Số</w:t>
            </w:r>
            <w:r w:rsidR="00FF0ABA" w:rsidRPr="00D61123">
              <w:rPr>
                <w:rStyle w:val="Bodytext313pt"/>
              </w:rPr>
              <w:t>:</w:t>
            </w:r>
            <w:r w:rsidR="005603A8" w:rsidRPr="00D61123">
              <w:rPr>
                <w:rStyle w:val="Bodytext313pt"/>
              </w:rPr>
              <w:t xml:space="preserve"> </w:t>
            </w:r>
            <w:r w:rsidR="009C7113">
              <w:rPr>
                <w:rStyle w:val="Bodytext313pt"/>
                <w:color w:val="FF0000"/>
              </w:rPr>
              <w:t>55</w:t>
            </w:r>
            <w:r w:rsidRPr="00C23273">
              <w:rPr>
                <w:rStyle w:val="Bodytext313pt"/>
                <w:color w:val="FF0000"/>
              </w:rPr>
              <w:t>/QĐ-ĐGCP</w:t>
            </w:r>
          </w:p>
        </w:tc>
        <w:tc>
          <w:tcPr>
            <w:tcW w:w="6252" w:type="dxa"/>
          </w:tcPr>
          <w:p w14:paraId="1AA55F8C" w14:textId="3C914E9D" w:rsidR="002F6E9F" w:rsidRPr="00D61123" w:rsidRDefault="00E85278" w:rsidP="00D36DFD">
            <w:pPr>
              <w:pStyle w:val="Bodytext30"/>
              <w:shd w:val="clear" w:color="auto" w:fill="auto"/>
              <w:tabs>
                <w:tab w:val="left" w:pos="900"/>
                <w:tab w:val="right" w:pos="3003"/>
                <w:tab w:val="center" w:pos="4890"/>
                <w:tab w:val="right" w:pos="6164"/>
                <w:tab w:val="left" w:pos="6225"/>
              </w:tabs>
              <w:spacing w:before="120" w:line="276" w:lineRule="auto"/>
              <w:jc w:val="left"/>
              <w:rPr>
                <w:rStyle w:val="Bodytext313pt"/>
                <w:i/>
                <w:sz w:val="28"/>
                <w:szCs w:val="28"/>
              </w:rPr>
            </w:pPr>
            <w:r w:rsidRPr="00D61123">
              <w:rPr>
                <w:rStyle w:val="Bodytext313pt"/>
                <w:i/>
                <w:sz w:val="28"/>
                <w:szCs w:val="28"/>
              </w:rPr>
              <w:tab/>
              <w:t xml:space="preserve">Thanh Hóa, </w:t>
            </w:r>
            <w:r w:rsidRPr="00D61123">
              <w:rPr>
                <w:rStyle w:val="Bodytext313pt"/>
                <w:i/>
                <w:sz w:val="28"/>
                <w:szCs w:val="28"/>
                <w:shd w:val="clear" w:color="auto" w:fill="auto"/>
              </w:rPr>
              <w:t xml:space="preserve">ngày </w:t>
            </w:r>
            <w:r w:rsidR="009C7113">
              <w:rPr>
                <w:rStyle w:val="Bodytext313pt"/>
                <w:i/>
                <w:color w:val="FF0000"/>
                <w:sz w:val="28"/>
                <w:szCs w:val="28"/>
                <w:shd w:val="clear" w:color="auto" w:fill="auto"/>
              </w:rPr>
              <w:t>03</w:t>
            </w:r>
            <w:r w:rsidR="009C7113">
              <w:rPr>
                <w:rStyle w:val="Bodytext313pt"/>
                <w:i/>
                <w:color w:val="FF0000"/>
                <w:sz w:val="28"/>
                <w:szCs w:val="28"/>
                <w:shd w:val="clear" w:color="auto" w:fill="auto"/>
                <w:lang w:val="vi-VN"/>
              </w:rPr>
              <w:t xml:space="preserve"> </w:t>
            </w:r>
            <w:r w:rsidRPr="00C23273">
              <w:rPr>
                <w:rStyle w:val="Bodytext313pt"/>
                <w:i/>
                <w:color w:val="FF0000"/>
                <w:sz w:val="28"/>
                <w:szCs w:val="28"/>
                <w:shd w:val="clear" w:color="auto" w:fill="auto"/>
              </w:rPr>
              <w:t xml:space="preserve">tháng </w:t>
            </w:r>
            <w:r w:rsidR="009C7113">
              <w:rPr>
                <w:rStyle w:val="Bodytext313pt"/>
                <w:i/>
                <w:color w:val="FF0000"/>
                <w:sz w:val="28"/>
                <w:szCs w:val="28"/>
                <w:shd w:val="clear" w:color="auto" w:fill="auto"/>
              </w:rPr>
              <w:t>2</w:t>
            </w:r>
            <w:r w:rsidR="009C7113">
              <w:rPr>
                <w:rStyle w:val="Bodytext313pt"/>
                <w:i/>
                <w:color w:val="FF0000"/>
                <w:sz w:val="28"/>
                <w:szCs w:val="28"/>
                <w:shd w:val="clear" w:color="auto" w:fill="auto"/>
                <w:lang w:val="vi-VN"/>
              </w:rPr>
              <w:t xml:space="preserve"> </w:t>
            </w:r>
            <w:r w:rsidR="000776FA" w:rsidRPr="00C23273">
              <w:rPr>
                <w:rStyle w:val="Bodytext313pt"/>
                <w:i/>
                <w:color w:val="FF0000"/>
                <w:sz w:val="28"/>
                <w:szCs w:val="28"/>
                <w:shd w:val="clear" w:color="auto" w:fill="auto"/>
              </w:rPr>
              <w:t xml:space="preserve">năm </w:t>
            </w:r>
            <w:r w:rsidR="009C7113">
              <w:rPr>
                <w:rStyle w:val="Bodytext313pt"/>
                <w:i/>
                <w:color w:val="FF0000"/>
                <w:sz w:val="28"/>
                <w:szCs w:val="28"/>
                <w:shd w:val="clear" w:color="auto" w:fill="auto"/>
              </w:rPr>
              <w:t>2025</w:t>
            </w:r>
            <w:r w:rsidR="000776FA" w:rsidRPr="00D61123">
              <w:rPr>
                <w:rStyle w:val="Bodytext313pt"/>
                <w:i/>
                <w:sz w:val="28"/>
                <w:szCs w:val="28"/>
              </w:rPr>
              <w:tab/>
            </w:r>
            <w:r w:rsidR="000776FA" w:rsidRPr="00D61123">
              <w:rPr>
                <w:rStyle w:val="Bodytext313pt"/>
                <w:i/>
                <w:sz w:val="28"/>
                <w:szCs w:val="28"/>
              </w:rPr>
              <w:tab/>
            </w:r>
          </w:p>
        </w:tc>
      </w:tr>
    </w:tbl>
    <w:p w14:paraId="5CC243C8" w14:textId="77777777" w:rsidR="00F76C22" w:rsidRPr="00D61123" w:rsidRDefault="00F76C22" w:rsidP="00F76C22">
      <w:pPr>
        <w:pStyle w:val="Bodytext30"/>
        <w:shd w:val="clear" w:color="auto" w:fill="auto"/>
        <w:tabs>
          <w:tab w:val="right" w:pos="3003"/>
          <w:tab w:val="center" w:pos="4890"/>
          <w:tab w:val="right" w:pos="6164"/>
          <w:tab w:val="left" w:pos="6225"/>
        </w:tabs>
        <w:spacing w:line="276" w:lineRule="auto"/>
        <w:ind w:firstLine="360"/>
        <w:jc w:val="right"/>
        <w:rPr>
          <w:rStyle w:val="Bodytext713pt"/>
          <w:b w:val="0"/>
          <w:bCs w:val="0"/>
          <w:i/>
          <w:iCs/>
          <w:sz w:val="28"/>
          <w:szCs w:val="28"/>
        </w:rPr>
      </w:pPr>
      <w:r w:rsidRPr="00D61123">
        <w:rPr>
          <w:rStyle w:val="Bodytext313pt"/>
          <w:sz w:val="28"/>
          <w:szCs w:val="28"/>
        </w:rPr>
        <w:tab/>
      </w:r>
    </w:p>
    <w:p w14:paraId="23AF27ED" w14:textId="77777777" w:rsidR="00F76C22" w:rsidRPr="00D61123" w:rsidRDefault="00F76C22" w:rsidP="00172934">
      <w:pPr>
        <w:pStyle w:val="Bodytext70"/>
        <w:shd w:val="clear" w:color="auto" w:fill="auto"/>
        <w:spacing w:line="288" w:lineRule="auto"/>
        <w:rPr>
          <w:rStyle w:val="Bodytext713pt"/>
          <w:b/>
          <w:bCs/>
          <w:iCs/>
          <w:sz w:val="28"/>
        </w:rPr>
      </w:pPr>
      <w:r w:rsidRPr="00D61123">
        <w:rPr>
          <w:rStyle w:val="Bodytext713pt"/>
          <w:b/>
          <w:sz w:val="28"/>
        </w:rPr>
        <w:t>QUYẾT ĐỊNH</w:t>
      </w:r>
    </w:p>
    <w:p w14:paraId="6EE008DC" w14:textId="00269616" w:rsidR="00920EA7" w:rsidRPr="00920EA7" w:rsidRDefault="00920EA7" w:rsidP="00920EA7">
      <w:pPr>
        <w:pStyle w:val="Bodytext70"/>
        <w:shd w:val="clear" w:color="auto" w:fill="auto"/>
        <w:spacing w:before="120" w:after="120" w:line="276" w:lineRule="auto"/>
        <w:rPr>
          <w:rStyle w:val="Bodytext713pt"/>
          <w:bCs/>
          <w:iCs/>
          <w:sz w:val="27"/>
          <w:szCs w:val="27"/>
        </w:rPr>
      </w:pPr>
      <w:r w:rsidRPr="00920EA7">
        <w:rPr>
          <w:rStyle w:val="Bodytext713pt"/>
          <w:b/>
          <w:i/>
          <w:sz w:val="27"/>
          <w:szCs w:val="27"/>
        </w:rPr>
        <w:t xml:space="preserve">Về việc ban hành Quy chế cuộc đấu giá tài sản thi hành án thuộc Chi cục thi hành án dân sự </w:t>
      </w:r>
      <w:r w:rsidRPr="00920EA7">
        <w:rPr>
          <w:sz w:val="27"/>
          <w:szCs w:val="27"/>
        </w:rPr>
        <w:t>thành phố Sầm S</w:t>
      </w:r>
      <w:r w:rsidRPr="00920EA7">
        <w:rPr>
          <w:rFonts w:hint="eastAsia"/>
          <w:sz w:val="27"/>
          <w:szCs w:val="27"/>
        </w:rPr>
        <w:t>ơ</w:t>
      </w:r>
      <w:r w:rsidRPr="00920EA7">
        <w:rPr>
          <w:sz w:val="27"/>
          <w:szCs w:val="27"/>
        </w:rPr>
        <w:t>n, tỉnh Thanh Hoá</w:t>
      </w:r>
    </w:p>
    <w:p w14:paraId="10F934E3" w14:textId="77777777" w:rsidR="00F76C22" w:rsidRPr="00920EA7" w:rsidRDefault="00C4478B" w:rsidP="00172934">
      <w:pPr>
        <w:spacing w:line="288" w:lineRule="auto"/>
        <w:ind w:firstLine="720"/>
        <w:jc w:val="both"/>
        <w:rPr>
          <w:rFonts w:ascii="Times New Roman" w:hAnsi="Times New Roman"/>
          <w:b/>
          <w:i/>
          <w:color w:val="auto"/>
          <w:sz w:val="27"/>
          <w:szCs w:val="27"/>
        </w:rPr>
      </w:pPr>
      <w:r w:rsidRPr="00920EA7">
        <w:rPr>
          <w:rFonts w:ascii="Times New Roman" w:hAnsi="Times New Roman"/>
          <w:i/>
          <w:color w:val="auto"/>
          <w:sz w:val="27"/>
          <w:szCs w:val="27"/>
          <w:lang w:val="en-US"/>
        </w:rPr>
        <w:t>Căn cứ Luật thi hành án dân sự 2008 sửa đổi, bổ sung 2014;</w:t>
      </w:r>
    </w:p>
    <w:p w14:paraId="436EAED3" w14:textId="6FD491DB" w:rsidR="00F76C22" w:rsidRPr="00920EA7" w:rsidRDefault="00F76C22" w:rsidP="00172934">
      <w:pPr>
        <w:spacing w:line="288" w:lineRule="auto"/>
        <w:ind w:firstLine="720"/>
        <w:jc w:val="both"/>
        <w:rPr>
          <w:rFonts w:ascii="Times New Roman" w:hAnsi="Times New Roman"/>
          <w:b/>
          <w:i/>
          <w:color w:val="auto"/>
          <w:sz w:val="27"/>
          <w:szCs w:val="27"/>
        </w:rPr>
      </w:pPr>
      <w:r w:rsidRPr="00920EA7">
        <w:rPr>
          <w:rFonts w:ascii="Times New Roman" w:hAnsi="Times New Roman"/>
          <w:i/>
          <w:color w:val="auto"/>
          <w:sz w:val="27"/>
          <w:szCs w:val="27"/>
        </w:rPr>
        <w:t>Căn cứ Luật Đấu giá tài sản</w:t>
      </w:r>
      <w:r w:rsidR="00ED553A" w:rsidRPr="00920EA7">
        <w:rPr>
          <w:rFonts w:ascii="Times New Roman" w:hAnsi="Times New Roman"/>
          <w:i/>
          <w:color w:val="auto"/>
          <w:sz w:val="27"/>
          <w:szCs w:val="27"/>
          <w:lang w:val="en-US"/>
        </w:rPr>
        <w:t xml:space="preserve"> năm 2016</w:t>
      </w:r>
      <w:r w:rsidR="009C7113">
        <w:rPr>
          <w:rFonts w:ascii="Times New Roman" w:hAnsi="Times New Roman"/>
          <w:i/>
          <w:color w:val="auto"/>
          <w:sz w:val="27"/>
          <w:szCs w:val="27"/>
        </w:rPr>
        <w:t xml:space="preserve"> </w:t>
      </w:r>
      <w:r w:rsidR="009C7113" w:rsidRPr="00AF5F84">
        <w:rPr>
          <w:rStyle w:val="Emphasis"/>
          <w:rFonts w:ascii="Times New Roman" w:hAnsi="Times New Roman" w:cs="Times New Roman"/>
          <w:sz w:val="26"/>
          <w:szCs w:val="26"/>
        </w:rPr>
        <w:t>được sửa đổi, bổ sung một số điều theo Luật số 37/2024/QH15</w:t>
      </w:r>
      <w:r w:rsidRPr="00920EA7">
        <w:rPr>
          <w:rFonts w:ascii="Times New Roman" w:hAnsi="Times New Roman"/>
          <w:i/>
          <w:color w:val="auto"/>
          <w:sz w:val="27"/>
          <w:szCs w:val="27"/>
        </w:rPr>
        <w:t>;</w:t>
      </w:r>
    </w:p>
    <w:p w14:paraId="08359DA3" w14:textId="740C7D95" w:rsidR="00F76C22" w:rsidRPr="00920EA7" w:rsidRDefault="009F5D9F" w:rsidP="00172934">
      <w:pPr>
        <w:pStyle w:val="Bodytext70"/>
        <w:shd w:val="clear" w:color="auto" w:fill="auto"/>
        <w:spacing w:line="288" w:lineRule="auto"/>
        <w:jc w:val="both"/>
        <w:rPr>
          <w:b w:val="0"/>
          <w:sz w:val="27"/>
          <w:szCs w:val="27"/>
          <w:lang w:val="nl-NL"/>
        </w:rPr>
      </w:pPr>
      <w:r w:rsidRPr="00920EA7">
        <w:rPr>
          <w:b w:val="0"/>
          <w:spacing w:val="2"/>
          <w:sz w:val="27"/>
          <w:szCs w:val="27"/>
        </w:rPr>
        <w:t xml:space="preserve">         </w:t>
      </w:r>
      <w:r w:rsidR="00F76C22" w:rsidRPr="00920EA7">
        <w:rPr>
          <w:b w:val="0"/>
          <w:spacing w:val="2"/>
          <w:sz w:val="27"/>
          <w:szCs w:val="27"/>
        </w:rPr>
        <w:t>Căn cứ Hợp đồng  dịch vụ</w:t>
      </w:r>
      <w:r w:rsidR="001E3E9C" w:rsidRPr="00920EA7">
        <w:rPr>
          <w:b w:val="0"/>
          <w:spacing w:val="2"/>
          <w:sz w:val="27"/>
          <w:szCs w:val="27"/>
        </w:rPr>
        <w:t xml:space="preserve"> </w:t>
      </w:r>
      <w:r w:rsidR="00F76C22" w:rsidRPr="00920EA7">
        <w:rPr>
          <w:b w:val="0"/>
          <w:spacing w:val="2"/>
          <w:sz w:val="27"/>
          <w:szCs w:val="27"/>
        </w:rPr>
        <w:t>đấu giá tài sả</w:t>
      </w:r>
      <w:r w:rsidR="004C57E7" w:rsidRPr="00920EA7">
        <w:rPr>
          <w:b w:val="0"/>
          <w:spacing w:val="2"/>
          <w:sz w:val="27"/>
          <w:szCs w:val="27"/>
        </w:rPr>
        <w:t xml:space="preserve">n </w:t>
      </w:r>
      <w:r w:rsidR="00F76C22" w:rsidRPr="00920EA7">
        <w:rPr>
          <w:b w:val="0"/>
          <w:spacing w:val="2"/>
          <w:sz w:val="27"/>
          <w:szCs w:val="27"/>
        </w:rPr>
        <w:t>số</w:t>
      </w:r>
      <w:r w:rsidR="00E85278" w:rsidRPr="00920EA7">
        <w:rPr>
          <w:b w:val="0"/>
          <w:sz w:val="27"/>
          <w:szCs w:val="27"/>
          <w:lang w:val="nl-NL"/>
        </w:rPr>
        <w:t xml:space="preserve">: </w:t>
      </w:r>
      <w:r w:rsidR="00F15D20">
        <w:rPr>
          <w:b w:val="0"/>
          <w:color w:val="FF0000"/>
          <w:sz w:val="27"/>
          <w:szCs w:val="27"/>
          <w:lang w:val="nl-NL"/>
        </w:rPr>
        <w:t>77</w:t>
      </w:r>
      <w:r w:rsidR="00F96DC4" w:rsidRPr="00920EA7">
        <w:rPr>
          <w:b w:val="0"/>
          <w:color w:val="FF0000"/>
          <w:sz w:val="27"/>
          <w:szCs w:val="27"/>
          <w:lang w:val="nl-NL"/>
        </w:rPr>
        <w:t>/2024</w:t>
      </w:r>
      <w:r w:rsidR="00F76C22" w:rsidRPr="00920EA7">
        <w:rPr>
          <w:b w:val="0"/>
          <w:color w:val="FF0000"/>
          <w:sz w:val="27"/>
          <w:szCs w:val="27"/>
          <w:lang w:val="nl-NL"/>
        </w:rPr>
        <w:t>/HĐ-DVĐ</w:t>
      </w:r>
      <w:r w:rsidR="00235FE2" w:rsidRPr="00920EA7">
        <w:rPr>
          <w:b w:val="0"/>
          <w:color w:val="FF0000"/>
          <w:sz w:val="27"/>
          <w:szCs w:val="27"/>
          <w:lang w:val="nl-NL"/>
        </w:rPr>
        <w:t>G</w:t>
      </w:r>
      <w:r w:rsidR="00E85278" w:rsidRPr="00920EA7">
        <w:rPr>
          <w:b w:val="0"/>
          <w:color w:val="FF0000"/>
          <w:sz w:val="27"/>
          <w:szCs w:val="27"/>
          <w:lang w:val="nl-NL"/>
        </w:rPr>
        <w:t xml:space="preserve"> ngày </w:t>
      </w:r>
      <w:r w:rsidR="00920EA7">
        <w:rPr>
          <w:b w:val="0"/>
          <w:color w:val="FF0000"/>
          <w:sz w:val="27"/>
          <w:szCs w:val="27"/>
          <w:lang w:val="nl-NL"/>
        </w:rPr>
        <w:t>13</w:t>
      </w:r>
      <w:r w:rsidR="00920EA7">
        <w:rPr>
          <w:b w:val="0"/>
          <w:color w:val="FF0000"/>
          <w:sz w:val="27"/>
          <w:szCs w:val="27"/>
          <w:lang w:val="vi-VN"/>
        </w:rPr>
        <w:t xml:space="preserve"> </w:t>
      </w:r>
      <w:r w:rsidR="008F39E3" w:rsidRPr="00920EA7">
        <w:rPr>
          <w:b w:val="0"/>
          <w:color w:val="FF0000"/>
          <w:sz w:val="27"/>
          <w:szCs w:val="27"/>
          <w:lang w:val="nl-NL"/>
        </w:rPr>
        <w:t xml:space="preserve">tháng </w:t>
      </w:r>
      <w:r w:rsidR="00920EA7">
        <w:rPr>
          <w:b w:val="0"/>
          <w:color w:val="FF0000"/>
          <w:sz w:val="27"/>
          <w:szCs w:val="27"/>
          <w:lang w:val="nl-NL"/>
        </w:rPr>
        <w:t>12</w:t>
      </w:r>
      <w:r w:rsidR="00920EA7">
        <w:rPr>
          <w:b w:val="0"/>
          <w:color w:val="FF0000"/>
          <w:sz w:val="27"/>
          <w:szCs w:val="27"/>
          <w:lang w:val="vi-VN"/>
        </w:rPr>
        <w:t xml:space="preserve"> </w:t>
      </w:r>
      <w:r w:rsidR="00235FE2" w:rsidRPr="00920EA7">
        <w:rPr>
          <w:b w:val="0"/>
          <w:color w:val="FF0000"/>
          <w:sz w:val="27"/>
          <w:szCs w:val="27"/>
          <w:lang w:val="nl-NL"/>
        </w:rPr>
        <w:t>năm 202</w:t>
      </w:r>
      <w:r w:rsidR="00F96DC4" w:rsidRPr="00920EA7">
        <w:rPr>
          <w:b w:val="0"/>
          <w:color w:val="FF0000"/>
          <w:sz w:val="27"/>
          <w:szCs w:val="27"/>
          <w:lang w:val="nl-NL"/>
        </w:rPr>
        <w:t>4</w:t>
      </w:r>
      <w:r w:rsidR="00F76C22" w:rsidRPr="00920EA7">
        <w:rPr>
          <w:b w:val="0"/>
          <w:color w:val="FF0000"/>
          <w:sz w:val="27"/>
          <w:szCs w:val="27"/>
          <w:lang w:val="nl-NL"/>
        </w:rPr>
        <w:t xml:space="preserve"> </w:t>
      </w:r>
      <w:r w:rsidR="009C7113">
        <w:rPr>
          <w:b w:val="0"/>
          <w:color w:val="FF0000"/>
          <w:sz w:val="27"/>
          <w:szCs w:val="27"/>
          <w:lang w:val="nl-NL"/>
        </w:rPr>
        <w:t>và</w:t>
      </w:r>
      <w:r w:rsidR="009C7113">
        <w:rPr>
          <w:b w:val="0"/>
          <w:color w:val="FF0000"/>
          <w:sz w:val="27"/>
          <w:szCs w:val="27"/>
          <w:lang w:val="vi-VN"/>
        </w:rPr>
        <w:t xml:space="preserve"> phụ lục hợp đồng số 01 ngày 03/2/2025 </w:t>
      </w:r>
      <w:r w:rsidR="00F76C22" w:rsidRPr="00920EA7">
        <w:rPr>
          <w:b w:val="0"/>
          <w:sz w:val="27"/>
          <w:szCs w:val="27"/>
          <w:lang w:val="nl-NL"/>
        </w:rPr>
        <w:t xml:space="preserve">giữa Công ty Đấu giá hợp danh Cường Phát và </w:t>
      </w:r>
      <w:r w:rsidR="00920EA7" w:rsidRPr="00920EA7">
        <w:rPr>
          <w:rStyle w:val="Bodytext713pt"/>
          <w:bCs/>
          <w:i/>
          <w:sz w:val="27"/>
          <w:szCs w:val="27"/>
        </w:rPr>
        <w:t xml:space="preserve">Chi cục thi hành án dân sự </w:t>
      </w:r>
      <w:r w:rsidR="00920EA7" w:rsidRPr="00920EA7">
        <w:rPr>
          <w:b w:val="0"/>
          <w:iCs w:val="0"/>
          <w:sz w:val="27"/>
          <w:szCs w:val="27"/>
        </w:rPr>
        <w:t>thành phố Sầm S</w:t>
      </w:r>
      <w:r w:rsidR="00920EA7" w:rsidRPr="00920EA7">
        <w:rPr>
          <w:rFonts w:hint="eastAsia"/>
          <w:b w:val="0"/>
          <w:iCs w:val="0"/>
          <w:sz w:val="27"/>
          <w:szCs w:val="27"/>
        </w:rPr>
        <w:t>ơ</w:t>
      </w:r>
      <w:r w:rsidR="00920EA7" w:rsidRPr="00920EA7">
        <w:rPr>
          <w:b w:val="0"/>
          <w:iCs w:val="0"/>
          <w:sz w:val="27"/>
          <w:szCs w:val="27"/>
        </w:rPr>
        <w:t>n, tỉnh Thanh Hoá</w:t>
      </w:r>
      <w:r w:rsidR="00F76C22" w:rsidRPr="00920EA7">
        <w:rPr>
          <w:b w:val="0"/>
          <w:sz w:val="27"/>
          <w:szCs w:val="27"/>
          <w:lang w:val="nl-NL"/>
        </w:rPr>
        <w:t>.</w:t>
      </w:r>
    </w:p>
    <w:p w14:paraId="0BED268C" w14:textId="77777777" w:rsidR="00F76C22" w:rsidRPr="00920EA7" w:rsidRDefault="00F76C22" w:rsidP="00172934">
      <w:pPr>
        <w:pStyle w:val="Bodytext70"/>
        <w:shd w:val="clear" w:color="auto" w:fill="auto"/>
        <w:spacing w:line="288" w:lineRule="auto"/>
        <w:rPr>
          <w:i w:val="0"/>
          <w:sz w:val="27"/>
          <w:szCs w:val="27"/>
          <w:lang w:val="nl-NL"/>
        </w:rPr>
      </w:pPr>
      <w:r w:rsidRPr="00920EA7">
        <w:rPr>
          <w:i w:val="0"/>
          <w:sz w:val="27"/>
          <w:szCs w:val="27"/>
          <w:lang w:val="nl-NL"/>
        </w:rPr>
        <w:t>QUYẾT ĐỊNH</w:t>
      </w:r>
    </w:p>
    <w:p w14:paraId="23EC8268" w14:textId="35EFBB36" w:rsidR="00F76C22" w:rsidRPr="00920EA7" w:rsidRDefault="00F76C22" w:rsidP="005150D7">
      <w:pPr>
        <w:pStyle w:val="Bodytext70"/>
        <w:shd w:val="clear" w:color="auto" w:fill="auto"/>
        <w:spacing w:line="288" w:lineRule="auto"/>
        <w:jc w:val="both"/>
        <w:rPr>
          <w:b w:val="0"/>
          <w:i w:val="0"/>
          <w:color w:val="FF0000"/>
          <w:sz w:val="27"/>
          <w:szCs w:val="27"/>
          <w:lang w:val="nl-NL"/>
        </w:rPr>
      </w:pPr>
      <w:r w:rsidRPr="00920EA7">
        <w:rPr>
          <w:b w:val="0"/>
          <w:i w:val="0"/>
          <w:sz w:val="27"/>
          <w:szCs w:val="27"/>
          <w:lang w:val="nl-NL"/>
        </w:rPr>
        <w:tab/>
      </w:r>
      <w:r w:rsidRPr="00920EA7">
        <w:rPr>
          <w:i w:val="0"/>
          <w:sz w:val="27"/>
          <w:szCs w:val="27"/>
          <w:lang w:val="nl-NL"/>
        </w:rPr>
        <w:t>Điều 1</w:t>
      </w:r>
      <w:r w:rsidRPr="00920EA7">
        <w:rPr>
          <w:b w:val="0"/>
          <w:i w:val="0"/>
          <w:sz w:val="27"/>
          <w:szCs w:val="27"/>
          <w:lang w:val="nl-NL"/>
        </w:rPr>
        <w:t xml:space="preserve">: Ban hành kèm theo Quyết định này là Quy chế cuộc đấu giá tài sản </w:t>
      </w:r>
      <w:r w:rsidR="00596EEC" w:rsidRPr="00920EA7">
        <w:rPr>
          <w:b w:val="0"/>
          <w:i w:val="0"/>
          <w:sz w:val="27"/>
          <w:szCs w:val="27"/>
          <w:lang w:val="nl-NL"/>
        </w:rPr>
        <w:t>thế chấp</w:t>
      </w:r>
      <w:r w:rsidRPr="00920EA7">
        <w:rPr>
          <w:b w:val="0"/>
          <w:i w:val="0"/>
          <w:sz w:val="27"/>
          <w:szCs w:val="27"/>
          <w:lang w:val="nl-NL"/>
        </w:rPr>
        <w:t xml:space="preserve"> thuộc </w:t>
      </w:r>
      <w:r w:rsidRPr="00920EA7">
        <w:rPr>
          <w:b w:val="0"/>
          <w:i w:val="0"/>
          <w:color w:val="FF0000"/>
          <w:sz w:val="27"/>
          <w:szCs w:val="27"/>
          <w:lang w:val="nl-NL"/>
        </w:rPr>
        <w:t xml:space="preserve">Chi cục </w:t>
      </w:r>
      <w:r w:rsidR="00235FE2" w:rsidRPr="00920EA7">
        <w:rPr>
          <w:b w:val="0"/>
          <w:i w:val="0"/>
          <w:color w:val="FF0000"/>
          <w:sz w:val="27"/>
          <w:szCs w:val="27"/>
          <w:lang w:val="nl-NL"/>
        </w:rPr>
        <w:t xml:space="preserve">Thi hành án dân sự </w:t>
      </w:r>
      <w:r w:rsidR="00920EA7" w:rsidRPr="00920EA7">
        <w:rPr>
          <w:b w:val="0"/>
          <w:i w:val="0"/>
          <w:sz w:val="27"/>
          <w:szCs w:val="27"/>
        </w:rPr>
        <w:t>thành phố Sầm S</w:t>
      </w:r>
      <w:r w:rsidR="00920EA7" w:rsidRPr="00920EA7">
        <w:rPr>
          <w:rFonts w:hint="eastAsia"/>
          <w:b w:val="0"/>
          <w:i w:val="0"/>
          <w:sz w:val="27"/>
          <w:szCs w:val="27"/>
        </w:rPr>
        <w:t>ơ</w:t>
      </w:r>
      <w:r w:rsidR="00920EA7" w:rsidRPr="00920EA7">
        <w:rPr>
          <w:b w:val="0"/>
          <w:i w:val="0"/>
          <w:sz w:val="27"/>
          <w:szCs w:val="27"/>
        </w:rPr>
        <w:t>n</w:t>
      </w:r>
      <w:r w:rsidR="00172934" w:rsidRPr="00920EA7">
        <w:rPr>
          <w:b w:val="0"/>
          <w:i w:val="0"/>
          <w:color w:val="FF0000"/>
          <w:sz w:val="27"/>
          <w:szCs w:val="27"/>
          <w:lang w:val="nl-NL"/>
        </w:rPr>
        <w:t>:</w:t>
      </w:r>
      <w:bookmarkStart w:id="0" w:name="_Hlk172722178"/>
      <w:r w:rsidR="00172934" w:rsidRPr="00920EA7">
        <w:rPr>
          <w:sz w:val="27"/>
          <w:szCs w:val="27"/>
        </w:rPr>
        <w:t xml:space="preserve"> </w:t>
      </w:r>
      <w:bookmarkEnd w:id="0"/>
      <w:r w:rsidR="00920EA7" w:rsidRPr="00920EA7">
        <w:rPr>
          <w:rFonts w:eastAsia="Calibri"/>
          <w:b w:val="0"/>
          <w:bCs w:val="0"/>
          <w:i w:val="0"/>
          <w:iCs w:val="0"/>
          <w:color w:val="000000"/>
          <w:spacing w:val="-8"/>
          <w:sz w:val="27"/>
          <w:szCs w:val="27"/>
          <w:lang w:val="vi-VN"/>
        </w:rPr>
        <w:t>Xe ô tô tải thùng kín, nhãn hiệu THACO, biển số đăng  ký 36C-253.30, số loại HD650,Số khung: RNHA999AKHC063846, Số máy: D4DBHJ650898, Giấy chứng nhận đăng  ký xe ô tô số 054660 do phòng Cảnh sát giao thông, Công an tỉnh Thanh Hóa cấp ngày 18/6/2018 thuộc quyền sở hữu, sử dụng của ông Nguyễn Hữu Hạnh, bà Nguyễn Thị Nhung</w:t>
      </w:r>
      <w:r w:rsidR="005150D7" w:rsidRPr="00920EA7">
        <w:rPr>
          <w:rFonts w:eastAsia="Calibri"/>
          <w:b w:val="0"/>
          <w:bCs w:val="0"/>
          <w:i w:val="0"/>
          <w:iCs w:val="0"/>
          <w:color w:val="000000"/>
          <w:spacing w:val="-8"/>
          <w:sz w:val="27"/>
          <w:szCs w:val="27"/>
          <w:lang w:val="vi-VN"/>
        </w:rPr>
        <w:t>.</w:t>
      </w:r>
    </w:p>
    <w:p w14:paraId="43539670" w14:textId="77777777" w:rsidR="00F76C22" w:rsidRPr="00920EA7" w:rsidRDefault="00ED553A" w:rsidP="00172934">
      <w:pPr>
        <w:pStyle w:val="Bodytext70"/>
        <w:shd w:val="clear" w:color="auto" w:fill="auto"/>
        <w:spacing w:line="288" w:lineRule="auto"/>
        <w:jc w:val="both"/>
        <w:rPr>
          <w:b w:val="0"/>
          <w:i w:val="0"/>
          <w:spacing w:val="2"/>
          <w:sz w:val="27"/>
          <w:szCs w:val="27"/>
        </w:rPr>
      </w:pPr>
      <w:r w:rsidRPr="00920EA7">
        <w:rPr>
          <w:i w:val="0"/>
          <w:spacing w:val="2"/>
          <w:sz w:val="27"/>
          <w:szCs w:val="27"/>
        </w:rPr>
        <w:t xml:space="preserve">          </w:t>
      </w:r>
      <w:r w:rsidR="00F76C22" w:rsidRPr="00920EA7">
        <w:rPr>
          <w:i w:val="0"/>
          <w:spacing w:val="2"/>
          <w:sz w:val="27"/>
          <w:szCs w:val="27"/>
        </w:rPr>
        <w:t>Điều 2</w:t>
      </w:r>
      <w:r w:rsidR="00F76C22" w:rsidRPr="00920EA7">
        <w:rPr>
          <w:b w:val="0"/>
          <w:i w:val="0"/>
          <w:spacing w:val="2"/>
          <w:sz w:val="27"/>
          <w:szCs w:val="27"/>
        </w:rPr>
        <w:t>: Công ty Đấu giá hợp danh Cường phát chịu trách nhiệm tổ chức, triển khai thực hiện Nội quy của Quy chế nêu trên; phối hợp với các Phòng, ban, đơn vị có liên quan để triển khai thực hiện việc đấu giá theo đúng quy định của Pháp luật.</w:t>
      </w:r>
    </w:p>
    <w:p w14:paraId="78BF2B8A" w14:textId="77777777" w:rsidR="00F76C22" w:rsidRPr="00920EA7" w:rsidRDefault="00F76C22" w:rsidP="00172934">
      <w:pPr>
        <w:pStyle w:val="Bodytext70"/>
        <w:shd w:val="clear" w:color="auto" w:fill="auto"/>
        <w:spacing w:line="288" w:lineRule="auto"/>
        <w:ind w:left="709" w:hanging="709"/>
        <w:jc w:val="both"/>
        <w:rPr>
          <w:b w:val="0"/>
          <w:i w:val="0"/>
          <w:spacing w:val="2"/>
          <w:sz w:val="27"/>
          <w:szCs w:val="27"/>
        </w:rPr>
      </w:pPr>
      <w:r w:rsidRPr="00920EA7">
        <w:rPr>
          <w:b w:val="0"/>
          <w:i w:val="0"/>
          <w:spacing w:val="2"/>
          <w:sz w:val="27"/>
          <w:szCs w:val="27"/>
        </w:rPr>
        <w:tab/>
      </w:r>
      <w:r w:rsidRPr="00920EA7">
        <w:rPr>
          <w:i w:val="0"/>
          <w:spacing w:val="2"/>
          <w:sz w:val="27"/>
          <w:szCs w:val="27"/>
        </w:rPr>
        <w:t>Điều 3</w:t>
      </w:r>
      <w:r w:rsidRPr="00920EA7">
        <w:rPr>
          <w:b w:val="0"/>
          <w:i w:val="0"/>
          <w:spacing w:val="2"/>
          <w:sz w:val="27"/>
          <w:szCs w:val="27"/>
        </w:rPr>
        <w:t>: Quyết định này có hiệu lực kể từ ngày ký.</w:t>
      </w:r>
    </w:p>
    <w:p w14:paraId="58F639B4" w14:textId="77777777" w:rsidR="00F76C22" w:rsidRPr="00920EA7" w:rsidRDefault="006768F9" w:rsidP="00172934">
      <w:pPr>
        <w:pStyle w:val="Bodytext70"/>
        <w:shd w:val="clear" w:color="auto" w:fill="auto"/>
        <w:spacing w:line="288" w:lineRule="auto"/>
        <w:jc w:val="both"/>
        <w:rPr>
          <w:rFonts w:eastAsia="Times New Roman"/>
          <w:sz w:val="27"/>
          <w:szCs w:val="27"/>
        </w:rPr>
      </w:pPr>
      <w:r w:rsidRPr="00920EA7">
        <w:rPr>
          <w:b w:val="0"/>
          <w:i w:val="0"/>
          <w:spacing w:val="2"/>
          <w:sz w:val="27"/>
          <w:szCs w:val="27"/>
        </w:rPr>
        <w:tab/>
      </w:r>
      <w:r w:rsidR="00F76C22" w:rsidRPr="00920EA7">
        <w:rPr>
          <w:b w:val="0"/>
          <w:i w:val="0"/>
          <w:spacing w:val="2"/>
          <w:sz w:val="27"/>
          <w:szCs w:val="27"/>
        </w:rPr>
        <w:t>Giám đốc Công ty, các thành viên Công ty và khách hàng tham gia đấ</w:t>
      </w:r>
      <w:r w:rsidR="008F39E3" w:rsidRPr="00920EA7">
        <w:rPr>
          <w:b w:val="0"/>
          <w:i w:val="0"/>
          <w:spacing w:val="2"/>
          <w:sz w:val="27"/>
          <w:szCs w:val="27"/>
        </w:rPr>
        <w:t xml:space="preserve">u giá </w:t>
      </w:r>
      <w:r w:rsidR="00F76C22" w:rsidRPr="00920EA7">
        <w:rPr>
          <w:b w:val="0"/>
          <w:i w:val="0"/>
          <w:spacing w:val="2"/>
          <w:sz w:val="27"/>
          <w:szCs w:val="27"/>
        </w:rPr>
        <w:t>chịu trách nhiệm thi hành quyết định này./.</w:t>
      </w:r>
    </w:p>
    <w:tbl>
      <w:tblPr>
        <w:tblStyle w:val="TableGrid"/>
        <w:tblpPr w:leftFromText="180" w:rightFromText="180" w:vertAnchor="text" w:horzAnchor="margin" w:tblpY="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8"/>
        <w:gridCol w:w="5180"/>
      </w:tblGrid>
      <w:tr w:rsidR="00E85278" w:rsidRPr="00D61123" w14:paraId="1B154DC4" w14:textId="77777777" w:rsidTr="00185967">
        <w:tc>
          <w:tcPr>
            <w:tcW w:w="5178" w:type="dxa"/>
          </w:tcPr>
          <w:p w14:paraId="79108FDF" w14:textId="77777777" w:rsidR="00F76C22" w:rsidRPr="00D61123" w:rsidRDefault="00F76C22" w:rsidP="00185967">
            <w:pPr>
              <w:widowControl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 w:eastAsia="en-US"/>
              </w:rPr>
            </w:pPr>
            <w:r w:rsidRPr="00D61123">
              <w:rPr>
                <w:rFonts w:ascii="Times New Roman" w:eastAsia="Times New Roman" w:hAnsi="Times New Roman" w:cs="Times New Roman"/>
                <w:b/>
                <w:i/>
                <w:color w:val="auto"/>
                <w:sz w:val="24"/>
                <w:lang w:val="en-US" w:eastAsia="en-US"/>
              </w:rPr>
              <w:t>Nơi nhận:</w:t>
            </w:r>
            <w:r w:rsidRPr="00D61123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n-US" w:eastAsia="en-US"/>
              </w:rPr>
              <w:tab/>
            </w:r>
          </w:p>
          <w:p w14:paraId="0B6C43EB" w14:textId="77777777" w:rsidR="00F76C22" w:rsidRPr="00D61123" w:rsidRDefault="00F76C22" w:rsidP="00185967">
            <w:pPr>
              <w:widowControl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  <w:r w:rsidRPr="00D611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- Như điều 3;</w:t>
            </w:r>
          </w:p>
          <w:p w14:paraId="5376430B" w14:textId="77777777" w:rsidR="00F76C22" w:rsidRPr="00D61123" w:rsidRDefault="00F76C22" w:rsidP="00185967">
            <w:pPr>
              <w:widowControl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/>
              </w:rPr>
            </w:pPr>
            <w:r w:rsidRPr="00D611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- Lưu</w:t>
            </w:r>
            <w:r w:rsidR="00386120" w:rsidRPr="00D611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:</w:t>
            </w:r>
            <w:r w:rsidRPr="00D611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 xml:space="preserve"> VP</w:t>
            </w:r>
            <w:r w:rsidR="00386120" w:rsidRPr="00D611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F6F16E" w14:textId="77777777" w:rsidR="00F76C22" w:rsidRPr="00D61123" w:rsidRDefault="00F76C22" w:rsidP="00185967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en-US"/>
              </w:rPr>
            </w:pPr>
          </w:p>
        </w:tc>
        <w:tc>
          <w:tcPr>
            <w:tcW w:w="5180" w:type="dxa"/>
          </w:tcPr>
          <w:p w14:paraId="6E991380" w14:textId="77777777" w:rsidR="00F76C22" w:rsidRPr="00920EA7" w:rsidRDefault="00F76C22" w:rsidP="00386120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7"/>
                <w:szCs w:val="27"/>
                <w:lang w:val="en-US" w:eastAsia="en-US"/>
              </w:rPr>
            </w:pPr>
            <w:r w:rsidRPr="00920EA7">
              <w:rPr>
                <w:rFonts w:ascii="Times New Roman" w:eastAsia="Times New Roman" w:hAnsi="Times New Roman" w:cs="Times New Roman"/>
                <w:b/>
                <w:color w:val="auto"/>
                <w:sz w:val="27"/>
                <w:szCs w:val="27"/>
                <w:lang w:val="en-US" w:eastAsia="en-US"/>
              </w:rPr>
              <w:t>GIÁM ĐỐC</w:t>
            </w:r>
          </w:p>
          <w:p w14:paraId="018E1029" w14:textId="77777777" w:rsidR="00F76C22" w:rsidRPr="00920EA7" w:rsidRDefault="00F76C22" w:rsidP="00386120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7"/>
                <w:szCs w:val="27"/>
                <w:lang w:val="en-US" w:eastAsia="en-US"/>
              </w:rPr>
            </w:pPr>
          </w:p>
          <w:p w14:paraId="420EB5B5" w14:textId="77777777" w:rsidR="00386120" w:rsidRPr="00920EA7" w:rsidRDefault="00386120" w:rsidP="00386120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7"/>
                <w:szCs w:val="27"/>
                <w:lang w:val="en-US" w:eastAsia="en-US"/>
              </w:rPr>
            </w:pPr>
          </w:p>
          <w:p w14:paraId="495DBF2A" w14:textId="77777777" w:rsidR="004C57E7" w:rsidRPr="00920EA7" w:rsidRDefault="004C57E7" w:rsidP="00386120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7"/>
                <w:szCs w:val="27"/>
                <w:lang w:val="en-US" w:eastAsia="en-US"/>
              </w:rPr>
            </w:pPr>
          </w:p>
          <w:p w14:paraId="2C7B8E78" w14:textId="77777777" w:rsidR="00F76C22" w:rsidRPr="00D61123" w:rsidRDefault="00F76C22" w:rsidP="00386120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en-US" w:eastAsia="en-US"/>
              </w:rPr>
            </w:pPr>
            <w:r w:rsidRPr="00920EA7">
              <w:rPr>
                <w:rFonts w:ascii="Times New Roman" w:eastAsia="Times New Roman" w:hAnsi="Times New Roman" w:cs="Times New Roman"/>
                <w:b/>
                <w:color w:val="auto"/>
                <w:sz w:val="27"/>
                <w:szCs w:val="27"/>
                <w:lang w:val="en-US" w:eastAsia="en-US"/>
              </w:rPr>
              <w:t>Hoàng Văn Hưng</w:t>
            </w:r>
          </w:p>
        </w:tc>
      </w:tr>
    </w:tbl>
    <w:p w14:paraId="1B550636" w14:textId="77777777" w:rsidR="006B0666" w:rsidRPr="00D61123" w:rsidRDefault="006B0666" w:rsidP="002F6E9F">
      <w:pPr>
        <w:widowControl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sectPr w:rsidR="006B0666" w:rsidRPr="00D61123" w:rsidSect="00811B72">
      <w:footerReference w:type="default" r:id="rId7"/>
      <w:pgSz w:w="12240" w:h="15840"/>
      <w:pgMar w:top="851" w:right="851" w:bottom="567" w:left="113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3B068" w14:textId="77777777" w:rsidR="001C6D2C" w:rsidRDefault="001C6D2C">
      <w:r>
        <w:separator/>
      </w:r>
    </w:p>
  </w:endnote>
  <w:endnote w:type="continuationSeparator" w:id="0">
    <w:p w14:paraId="5CE85832" w14:textId="77777777" w:rsidR="001C6D2C" w:rsidRDefault="001C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05F8F" w14:textId="77777777" w:rsidR="00E43445" w:rsidRPr="008255BC" w:rsidRDefault="00E43445">
    <w:pPr>
      <w:pStyle w:val="Footer"/>
      <w:jc w:val="center"/>
      <w:rPr>
        <w:rFonts w:ascii="Times New Roman" w:hAnsi="Times New Roman" w:cs="Times New Roman"/>
      </w:rPr>
    </w:pPr>
  </w:p>
  <w:p w14:paraId="5FAEB954" w14:textId="77777777" w:rsidR="00E43445" w:rsidRDefault="00E43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77540" w14:textId="77777777" w:rsidR="001C6D2C" w:rsidRDefault="001C6D2C">
      <w:r>
        <w:separator/>
      </w:r>
    </w:p>
  </w:footnote>
  <w:footnote w:type="continuationSeparator" w:id="0">
    <w:p w14:paraId="6FF2FE35" w14:textId="77777777" w:rsidR="001C6D2C" w:rsidRDefault="001C6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C22"/>
    <w:rsid w:val="000515C5"/>
    <w:rsid w:val="00074C3D"/>
    <w:rsid w:val="000776FA"/>
    <w:rsid w:val="00087D10"/>
    <w:rsid w:val="000B5BD3"/>
    <w:rsid w:val="000F2FB4"/>
    <w:rsid w:val="00110212"/>
    <w:rsid w:val="00134D28"/>
    <w:rsid w:val="00172934"/>
    <w:rsid w:val="001C6637"/>
    <w:rsid w:val="001C6D2C"/>
    <w:rsid w:val="001D03E5"/>
    <w:rsid w:val="001E3E9C"/>
    <w:rsid w:val="00223E01"/>
    <w:rsid w:val="0022611C"/>
    <w:rsid w:val="00231C3E"/>
    <w:rsid w:val="002323BD"/>
    <w:rsid w:val="00235FE2"/>
    <w:rsid w:val="002445D6"/>
    <w:rsid w:val="0025754A"/>
    <w:rsid w:val="002747D0"/>
    <w:rsid w:val="002A165D"/>
    <w:rsid w:val="002C47FB"/>
    <w:rsid w:val="002D0A25"/>
    <w:rsid w:val="002E0E30"/>
    <w:rsid w:val="002F6E9F"/>
    <w:rsid w:val="00324F88"/>
    <w:rsid w:val="00335CE7"/>
    <w:rsid w:val="00386120"/>
    <w:rsid w:val="003E1C8F"/>
    <w:rsid w:val="00406E85"/>
    <w:rsid w:val="00430D30"/>
    <w:rsid w:val="00466908"/>
    <w:rsid w:val="004C57E7"/>
    <w:rsid w:val="004F1FCE"/>
    <w:rsid w:val="004F4B57"/>
    <w:rsid w:val="005150D7"/>
    <w:rsid w:val="0052624E"/>
    <w:rsid w:val="005603A8"/>
    <w:rsid w:val="00596EEC"/>
    <w:rsid w:val="00597C4E"/>
    <w:rsid w:val="005B7646"/>
    <w:rsid w:val="005D4F2A"/>
    <w:rsid w:val="005F7144"/>
    <w:rsid w:val="0060079B"/>
    <w:rsid w:val="00603644"/>
    <w:rsid w:val="0064168E"/>
    <w:rsid w:val="00645516"/>
    <w:rsid w:val="006768F9"/>
    <w:rsid w:val="006A11E1"/>
    <w:rsid w:val="006A1EB3"/>
    <w:rsid w:val="006A79F7"/>
    <w:rsid w:val="006B0666"/>
    <w:rsid w:val="006C675E"/>
    <w:rsid w:val="0070323F"/>
    <w:rsid w:val="0072561D"/>
    <w:rsid w:val="00731209"/>
    <w:rsid w:val="0076103F"/>
    <w:rsid w:val="00770200"/>
    <w:rsid w:val="007725B3"/>
    <w:rsid w:val="00776521"/>
    <w:rsid w:val="00780351"/>
    <w:rsid w:val="00782098"/>
    <w:rsid w:val="00786D8B"/>
    <w:rsid w:val="007B104D"/>
    <w:rsid w:val="007B2D59"/>
    <w:rsid w:val="007E6BAE"/>
    <w:rsid w:val="007E7E46"/>
    <w:rsid w:val="008039FB"/>
    <w:rsid w:val="008122AD"/>
    <w:rsid w:val="00827C89"/>
    <w:rsid w:val="00860750"/>
    <w:rsid w:val="00870316"/>
    <w:rsid w:val="00872B42"/>
    <w:rsid w:val="00897BC5"/>
    <w:rsid w:val="008A2B04"/>
    <w:rsid w:val="008C3BF9"/>
    <w:rsid w:val="008E3E34"/>
    <w:rsid w:val="008E7E40"/>
    <w:rsid w:val="008F071E"/>
    <w:rsid w:val="008F39E3"/>
    <w:rsid w:val="00920EA7"/>
    <w:rsid w:val="00963840"/>
    <w:rsid w:val="00992353"/>
    <w:rsid w:val="009B4888"/>
    <w:rsid w:val="009C7113"/>
    <w:rsid w:val="009D66B0"/>
    <w:rsid w:val="009F5D9F"/>
    <w:rsid w:val="00A0072E"/>
    <w:rsid w:val="00A03ACB"/>
    <w:rsid w:val="00A12A7C"/>
    <w:rsid w:val="00A25439"/>
    <w:rsid w:val="00A25B3D"/>
    <w:rsid w:val="00A526DA"/>
    <w:rsid w:val="00A85D38"/>
    <w:rsid w:val="00A95FB5"/>
    <w:rsid w:val="00AD163D"/>
    <w:rsid w:val="00AD4AF7"/>
    <w:rsid w:val="00B0135A"/>
    <w:rsid w:val="00B33645"/>
    <w:rsid w:val="00B40C69"/>
    <w:rsid w:val="00B63E63"/>
    <w:rsid w:val="00B8622C"/>
    <w:rsid w:val="00B868A4"/>
    <w:rsid w:val="00BA5386"/>
    <w:rsid w:val="00BA7FB6"/>
    <w:rsid w:val="00BB0D2C"/>
    <w:rsid w:val="00BC6618"/>
    <w:rsid w:val="00BF3080"/>
    <w:rsid w:val="00C21A95"/>
    <w:rsid w:val="00C23273"/>
    <w:rsid w:val="00C4478B"/>
    <w:rsid w:val="00C95C8D"/>
    <w:rsid w:val="00CB2C6A"/>
    <w:rsid w:val="00CE1CEE"/>
    <w:rsid w:val="00D36654"/>
    <w:rsid w:val="00D36DFD"/>
    <w:rsid w:val="00D446AA"/>
    <w:rsid w:val="00D45A68"/>
    <w:rsid w:val="00D61123"/>
    <w:rsid w:val="00D803CF"/>
    <w:rsid w:val="00DA1CF6"/>
    <w:rsid w:val="00DC5175"/>
    <w:rsid w:val="00DC71E7"/>
    <w:rsid w:val="00DD0F55"/>
    <w:rsid w:val="00DE4393"/>
    <w:rsid w:val="00DF6E15"/>
    <w:rsid w:val="00E03111"/>
    <w:rsid w:val="00E427A5"/>
    <w:rsid w:val="00E43445"/>
    <w:rsid w:val="00E46949"/>
    <w:rsid w:val="00E64C0E"/>
    <w:rsid w:val="00E742E1"/>
    <w:rsid w:val="00E84203"/>
    <w:rsid w:val="00E85278"/>
    <w:rsid w:val="00E91E4D"/>
    <w:rsid w:val="00EA6508"/>
    <w:rsid w:val="00EB31F8"/>
    <w:rsid w:val="00ED2541"/>
    <w:rsid w:val="00ED4059"/>
    <w:rsid w:val="00ED553A"/>
    <w:rsid w:val="00F061E6"/>
    <w:rsid w:val="00F15D20"/>
    <w:rsid w:val="00F328D2"/>
    <w:rsid w:val="00F575D5"/>
    <w:rsid w:val="00F76C22"/>
    <w:rsid w:val="00F8767E"/>
    <w:rsid w:val="00F96DC4"/>
    <w:rsid w:val="00FC4B40"/>
    <w:rsid w:val="00FF0ABA"/>
    <w:rsid w:val="00FF3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7B1EA3"/>
  <w15:docId w15:val="{762B4EE0-80DF-45F5-95E3-C004BA0A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2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1"/>
    <w:rsid w:val="00F76C22"/>
    <w:rPr>
      <w:rFonts w:cs="Times New Roman"/>
      <w:sz w:val="25"/>
      <w:szCs w:val="25"/>
      <w:shd w:val="clear" w:color="auto" w:fill="FFFFFF"/>
    </w:rPr>
  </w:style>
  <w:style w:type="character" w:customStyle="1" w:styleId="Bodytext">
    <w:name w:val="Body text_"/>
    <w:basedOn w:val="DefaultParagraphFont"/>
    <w:link w:val="Bodytext1"/>
    <w:rsid w:val="00F76C22"/>
    <w:rPr>
      <w:rFonts w:cs="Times New Roman"/>
      <w:sz w:val="26"/>
      <w:szCs w:val="26"/>
      <w:shd w:val="clear" w:color="auto" w:fill="FFFFFF"/>
    </w:rPr>
  </w:style>
  <w:style w:type="character" w:customStyle="1" w:styleId="BodyText10">
    <w:name w:val="Body Text1"/>
    <w:basedOn w:val="Bodytext"/>
    <w:rsid w:val="00F76C22"/>
    <w:rPr>
      <w:rFonts w:cs="Times New Roman"/>
      <w:sz w:val="26"/>
      <w:szCs w:val="26"/>
      <w:u w:val="single"/>
      <w:shd w:val="clear" w:color="auto" w:fill="FFFFFF"/>
    </w:rPr>
  </w:style>
  <w:style w:type="character" w:customStyle="1" w:styleId="Bodytext3">
    <w:name w:val="Body text (3)_"/>
    <w:basedOn w:val="DefaultParagraphFont"/>
    <w:link w:val="Bodytext30"/>
    <w:rsid w:val="00F76C22"/>
    <w:rPr>
      <w:rFonts w:cs="Times New Roman"/>
      <w:i/>
      <w:iCs/>
      <w:sz w:val="27"/>
      <w:szCs w:val="27"/>
      <w:shd w:val="clear" w:color="auto" w:fill="FFFFFF"/>
    </w:rPr>
  </w:style>
  <w:style w:type="character" w:customStyle="1" w:styleId="Bodytext313pt">
    <w:name w:val="Body text (3) + 13 pt"/>
    <w:aliases w:val="Not Italic"/>
    <w:basedOn w:val="Bodytext3"/>
    <w:rsid w:val="00F76C22"/>
    <w:rPr>
      <w:rFonts w:cs="Times New Roman"/>
      <w:i/>
      <w:iCs/>
      <w:sz w:val="26"/>
      <w:szCs w:val="26"/>
      <w:shd w:val="clear" w:color="auto" w:fill="FFFFFF"/>
    </w:rPr>
  </w:style>
  <w:style w:type="character" w:customStyle="1" w:styleId="Bodytext4">
    <w:name w:val="Body text (4)_"/>
    <w:basedOn w:val="DefaultParagraphFont"/>
    <w:link w:val="Bodytext41"/>
    <w:rsid w:val="00F76C22"/>
    <w:rPr>
      <w:rFonts w:cs="Times New Roman"/>
      <w:b/>
      <w:bCs/>
      <w:sz w:val="26"/>
      <w:szCs w:val="26"/>
      <w:shd w:val="clear" w:color="auto" w:fill="FFFFFF"/>
    </w:rPr>
  </w:style>
  <w:style w:type="character" w:customStyle="1" w:styleId="Bodytext7">
    <w:name w:val="Body text (7)_"/>
    <w:basedOn w:val="DefaultParagraphFont"/>
    <w:link w:val="Bodytext70"/>
    <w:rsid w:val="00F76C22"/>
    <w:rPr>
      <w:rFonts w:cs="Times New Roman"/>
      <w:b/>
      <w:bCs/>
      <w:i/>
      <w:iCs/>
      <w:szCs w:val="28"/>
      <w:shd w:val="clear" w:color="auto" w:fill="FFFFFF"/>
    </w:rPr>
  </w:style>
  <w:style w:type="character" w:customStyle="1" w:styleId="Bodytext713pt">
    <w:name w:val="Body text (7) + 13 pt"/>
    <w:aliases w:val="Not Italic3"/>
    <w:basedOn w:val="Bodytext7"/>
    <w:rsid w:val="00F76C22"/>
    <w:rPr>
      <w:rFonts w:cs="Times New Roman"/>
      <w:b/>
      <w:bCs/>
      <w:i/>
      <w:iCs/>
      <w:sz w:val="26"/>
      <w:szCs w:val="26"/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F76C22"/>
    <w:pPr>
      <w:shd w:val="clear" w:color="auto" w:fill="FFFFFF"/>
      <w:spacing w:line="299" w:lineRule="exact"/>
      <w:jc w:val="both"/>
    </w:pPr>
    <w:rPr>
      <w:rFonts w:ascii="Times New Roman" w:eastAsiaTheme="minorHAnsi" w:hAnsi="Times New Roman" w:cs="Times New Roman"/>
      <w:color w:val="auto"/>
      <w:sz w:val="25"/>
      <w:szCs w:val="25"/>
      <w:lang w:val="en-US" w:eastAsia="en-US"/>
    </w:rPr>
  </w:style>
  <w:style w:type="paragraph" w:customStyle="1" w:styleId="Bodytext1">
    <w:name w:val="Body text1"/>
    <w:basedOn w:val="Normal"/>
    <w:link w:val="Bodytext"/>
    <w:rsid w:val="00F76C22"/>
    <w:pPr>
      <w:shd w:val="clear" w:color="auto" w:fill="FFFFFF"/>
      <w:spacing w:line="299" w:lineRule="exact"/>
      <w:jc w:val="both"/>
    </w:pPr>
    <w:rPr>
      <w:rFonts w:ascii="Times New Roman" w:eastAsiaTheme="minorHAnsi" w:hAnsi="Times New Roman" w:cs="Times New Roman"/>
      <w:color w:val="auto"/>
      <w:sz w:val="26"/>
      <w:szCs w:val="26"/>
      <w:lang w:val="en-US" w:eastAsia="en-US"/>
    </w:rPr>
  </w:style>
  <w:style w:type="paragraph" w:customStyle="1" w:styleId="Bodytext30">
    <w:name w:val="Body text (3)"/>
    <w:basedOn w:val="Normal"/>
    <w:link w:val="Bodytext3"/>
    <w:rsid w:val="00F76C22"/>
    <w:pPr>
      <w:shd w:val="clear" w:color="auto" w:fill="FFFFFF"/>
      <w:spacing w:line="240" w:lineRule="atLeast"/>
      <w:jc w:val="both"/>
    </w:pPr>
    <w:rPr>
      <w:rFonts w:ascii="Times New Roman" w:eastAsiaTheme="minorHAnsi" w:hAnsi="Times New Roman" w:cs="Times New Roman"/>
      <w:i/>
      <w:iCs/>
      <w:color w:val="auto"/>
      <w:sz w:val="27"/>
      <w:szCs w:val="27"/>
      <w:lang w:val="en-US" w:eastAsia="en-US"/>
    </w:rPr>
  </w:style>
  <w:style w:type="paragraph" w:customStyle="1" w:styleId="Bodytext41">
    <w:name w:val="Body text (4)1"/>
    <w:basedOn w:val="Normal"/>
    <w:link w:val="Bodytext4"/>
    <w:rsid w:val="00F76C22"/>
    <w:pPr>
      <w:shd w:val="clear" w:color="auto" w:fill="FFFFFF"/>
      <w:spacing w:line="240" w:lineRule="atLeast"/>
      <w:jc w:val="center"/>
    </w:pPr>
    <w:rPr>
      <w:rFonts w:ascii="Times New Roman" w:eastAsiaTheme="minorHAnsi" w:hAnsi="Times New Roman" w:cs="Times New Roman"/>
      <w:b/>
      <w:bCs/>
      <w:color w:val="auto"/>
      <w:sz w:val="26"/>
      <w:szCs w:val="26"/>
      <w:lang w:val="en-US" w:eastAsia="en-US"/>
    </w:rPr>
  </w:style>
  <w:style w:type="paragraph" w:customStyle="1" w:styleId="Bodytext70">
    <w:name w:val="Body text (7)"/>
    <w:basedOn w:val="Normal"/>
    <w:link w:val="Bodytext7"/>
    <w:rsid w:val="00F76C22"/>
    <w:pPr>
      <w:shd w:val="clear" w:color="auto" w:fill="FFFFFF"/>
      <w:spacing w:line="396" w:lineRule="exact"/>
      <w:jc w:val="center"/>
    </w:pPr>
    <w:rPr>
      <w:rFonts w:ascii="Times New Roman" w:eastAsiaTheme="minorHAnsi" w:hAnsi="Times New Roman" w:cs="Times New Roman"/>
      <w:b/>
      <w:bCs/>
      <w:i/>
      <w:iCs/>
      <w:color w:val="auto"/>
      <w:szCs w:val="28"/>
      <w:lang w:val="en-US" w:eastAsia="en-US"/>
    </w:rPr>
  </w:style>
  <w:style w:type="table" w:styleId="TableGrid">
    <w:name w:val="Table Grid"/>
    <w:basedOn w:val="TableNormal"/>
    <w:rsid w:val="00F76C22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76C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C22"/>
    <w:rPr>
      <w:rFonts w:ascii="Courier New" w:eastAsia="Courier New" w:hAnsi="Courier New" w:cs="Courier New"/>
      <w:color w:val="000000"/>
      <w:szCs w:val="24"/>
      <w:lang w:val="vi-VN" w:eastAsia="vi-VN"/>
    </w:rPr>
  </w:style>
  <w:style w:type="paragraph" w:styleId="BodyText0">
    <w:name w:val="Body Text"/>
    <w:basedOn w:val="Normal"/>
    <w:link w:val="BodyTextChar"/>
    <w:rsid w:val="00F76C22"/>
    <w:pPr>
      <w:widowControl/>
      <w:jc w:val="both"/>
    </w:pPr>
    <w:rPr>
      <w:rFonts w:ascii=".VnTime" w:eastAsia="Times New Roman" w:hAnsi=".VnTime" w:cs="Times New Roman"/>
      <w:color w:val="auto"/>
      <w:sz w:val="26"/>
      <w:szCs w:val="20"/>
    </w:rPr>
  </w:style>
  <w:style w:type="character" w:customStyle="1" w:styleId="BodyTextChar">
    <w:name w:val="Body Text Char"/>
    <w:basedOn w:val="DefaultParagraphFont"/>
    <w:link w:val="BodyText0"/>
    <w:rsid w:val="00F76C22"/>
    <w:rPr>
      <w:rFonts w:ascii=".VnTime" w:eastAsia="Times New Roman" w:hAnsi=".VnTime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7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5E"/>
    <w:rPr>
      <w:rFonts w:ascii="Segoe UI" w:eastAsia="Courier New" w:hAnsi="Segoe UI" w:cs="Segoe UI"/>
      <w:color w:val="000000"/>
      <w:sz w:val="18"/>
      <w:szCs w:val="18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0776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6FA"/>
    <w:rPr>
      <w:rFonts w:ascii="Courier New" w:eastAsia="Courier New" w:hAnsi="Courier New" w:cs="Courier New"/>
      <w:color w:val="000000"/>
      <w:szCs w:val="24"/>
      <w:lang w:val="vi-VN" w:eastAsia="vi-VN"/>
    </w:rPr>
  </w:style>
  <w:style w:type="character" w:styleId="Emphasis">
    <w:name w:val="Emphasis"/>
    <w:qFormat/>
    <w:rsid w:val="00172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883C5-5FC0-4992-BDD9-20EC4A7D5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100</cp:revision>
  <cp:lastPrinted>2023-11-21T08:26:00Z</cp:lastPrinted>
  <dcterms:created xsi:type="dcterms:W3CDTF">2021-12-23T07:18:00Z</dcterms:created>
  <dcterms:modified xsi:type="dcterms:W3CDTF">2025-02-03T03:02:00Z</dcterms:modified>
</cp:coreProperties>
</file>