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509" w:type="dxa"/>
        <w:jc w:val="center"/>
        <w:tblLayout w:type="fixed"/>
        <w:tblLook w:val="0000" w:firstRow="0" w:lastRow="0" w:firstColumn="0" w:lastColumn="0" w:noHBand="0" w:noVBand="0"/>
      </w:tblPr>
      <w:tblGrid>
        <w:gridCol w:w="4254"/>
        <w:gridCol w:w="6255"/>
      </w:tblGrid>
      <w:tr w:rsidR="00506BD0" w:rsidRPr="00506BD0" w14:paraId="4BE905DF" w14:textId="77777777" w:rsidTr="00364122">
        <w:trPr>
          <w:trHeight w:val="851"/>
          <w:jc w:val="center"/>
        </w:trPr>
        <w:tc>
          <w:tcPr>
            <w:tcW w:w="4254" w:type="dxa"/>
            <w:tcBorders>
              <w:top w:val="nil"/>
              <w:left w:val="nil"/>
              <w:bottom w:val="nil"/>
              <w:right w:val="nil"/>
            </w:tcBorders>
          </w:tcPr>
          <w:p w14:paraId="48CE8A9F" w14:textId="77777777" w:rsidR="003853B8" w:rsidRPr="00506BD0" w:rsidRDefault="003853B8" w:rsidP="00364122">
            <w:pPr>
              <w:spacing w:after="0" w:line="264" w:lineRule="auto"/>
              <w:jc w:val="center"/>
              <w:rPr>
                <w:rFonts w:eastAsia="Times New Roman"/>
                <w:b/>
                <w:bCs/>
                <w:sz w:val="25"/>
                <w:szCs w:val="25"/>
              </w:rPr>
            </w:pPr>
            <w:r w:rsidRPr="00506BD0">
              <w:rPr>
                <w:rFonts w:eastAsia="Times New Roman"/>
                <w:b/>
                <w:bCs/>
                <w:sz w:val="25"/>
                <w:szCs w:val="25"/>
              </w:rPr>
              <w:t>CÔNG TY ĐẤU GIÁ HỢP DANH MINH NHẬT</w:t>
            </w:r>
          </w:p>
          <w:p w14:paraId="36A8C2CA" w14:textId="77777777" w:rsidR="003853B8" w:rsidRPr="00506BD0" w:rsidRDefault="003853B8" w:rsidP="00364122">
            <w:pPr>
              <w:spacing w:after="0" w:line="240" w:lineRule="auto"/>
              <w:jc w:val="center"/>
              <w:rPr>
                <w:rFonts w:eastAsia="Times New Roman"/>
                <w:sz w:val="27"/>
                <w:szCs w:val="27"/>
              </w:rPr>
            </w:pPr>
            <w:r w:rsidRPr="00506BD0">
              <w:rPr>
                <w:noProof/>
                <w:sz w:val="27"/>
                <w:szCs w:val="27"/>
                <w:lang w:eastAsia="en-US"/>
              </w:rPr>
              <mc:AlternateContent>
                <mc:Choice Requires="wps">
                  <w:drawing>
                    <wp:anchor distT="4294967295" distB="4294967295" distL="114300" distR="114300" simplePos="0" relativeHeight="251660288" behindDoc="0" locked="0" layoutInCell="1" allowOverlap="1" wp14:anchorId="29064070" wp14:editId="6FE2D2A4">
                      <wp:simplePos x="0" y="0"/>
                      <wp:positionH relativeFrom="column">
                        <wp:posOffset>940435</wp:posOffset>
                      </wp:positionH>
                      <wp:positionV relativeFrom="paragraph">
                        <wp:posOffset>-684</wp:posOffset>
                      </wp:positionV>
                      <wp:extent cx="6477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7D1FFE"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05pt,-.05pt" to="125.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">
                      <o:lock v:ext="edit" shapetype="f"/>
                    </v:line>
                  </w:pict>
                </mc:Fallback>
              </mc:AlternateContent>
            </w:r>
          </w:p>
        </w:tc>
        <w:tc>
          <w:tcPr>
            <w:tcW w:w="6255" w:type="dxa"/>
            <w:tcBorders>
              <w:top w:val="nil"/>
              <w:left w:val="nil"/>
              <w:bottom w:val="nil"/>
              <w:right w:val="nil"/>
            </w:tcBorders>
          </w:tcPr>
          <w:p w14:paraId="03458EBC" w14:textId="77777777" w:rsidR="003853B8" w:rsidRPr="00506BD0" w:rsidRDefault="003853B8" w:rsidP="00364122">
            <w:pPr>
              <w:spacing w:after="0" w:line="264" w:lineRule="auto"/>
              <w:rPr>
                <w:rFonts w:eastAsia="Times New Roman"/>
                <w:b/>
                <w:bCs/>
                <w:sz w:val="25"/>
                <w:szCs w:val="25"/>
              </w:rPr>
            </w:pPr>
            <w:r w:rsidRPr="00506BD0">
              <w:rPr>
                <w:rFonts w:eastAsia="Times New Roman"/>
                <w:b/>
                <w:bCs/>
                <w:sz w:val="27"/>
                <w:szCs w:val="27"/>
              </w:rPr>
              <w:t xml:space="preserve">    </w:t>
            </w:r>
            <w:r w:rsidRPr="00506BD0">
              <w:rPr>
                <w:rFonts w:eastAsia="Times New Roman"/>
                <w:b/>
                <w:bCs/>
                <w:sz w:val="25"/>
                <w:szCs w:val="25"/>
              </w:rPr>
              <w:t>CỘNG HOÀ XÃ HỘI CHỦ NGHĨA VIỆT NAM</w:t>
            </w:r>
          </w:p>
          <w:p w14:paraId="1E81837D" w14:textId="77777777" w:rsidR="003853B8" w:rsidRPr="00506BD0" w:rsidRDefault="003853B8" w:rsidP="00364122">
            <w:pPr>
              <w:spacing w:after="0" w:line="264" w:lineRule="auto"/>
              <w:rPr>
                <w:rFonts w:eastAsia="Times New Roman"/>
                <w:b/>
                <w:bCs/>
                <w:sz w:val="27"/>
                <w:szCs w:val="27"/>
              </w:rPr>
            </w:pPr>
            <w:r w:rsidRPr="00506BD0">
              <w:rPr>
                <w:rFonts w:eastAsia="Times New Roman"/>
                <w:b/>
                <w:bCs/>
                <w:sz w:val="27"/>
                <w:szCs w:val="27"/>
              </w:rPr>
              <w:t xml:space="preserve">                  Độc lập - Tự do - Hạnh phúc                   </w:t>
            </w:r>
          </w:p>
          <w:p w14:paraId="699E06EF" w14:textId="77777777" w:rsidR="003853B8" w:rsidRPr="00506BD0" w:rsidRDefault="003853B8" w:rsidP="00364122">
            <w:pPr>
              <w:spacing w:after="0" w:line="240" w:lineRule="auto"/>
              <w:jc w:val="center"/>
              <w:rPr>
                <w:rFonts w:eastAsia="Times New Roman"/>
                <w:i/>
                <w:iCs/>
                <w:sz w:val="27"/>
                <w:szCs w:val="27"/>
              </w:rPr>
            </w:pPr>
            <w:r w:rsidRPr="00506BD0">
              <w:rPr>
                <w:noProof/>
                <w:sz w:val="27"/>
                <w:szCs w:val="27"/>
                <w:lang w:eastAsia="en-US"/>
              </w:rPr>
              <mc:AlternateContent>
                <mc:Choice Requires="wps">
                  <w:drawing>
                    <wp:anchor distT="4294967295" distB="4294967295" distL="114300" distR="114300" simplePos="0" relativeHeight="251659264" behindDoc="0" locked="0" layoutInCell="1" allowOverlap="1" wp14:anchorId="6BB7C221" wp14:editId="039F6334">
                      <wp:simplePos x="0" y="0"/>
                      <wp:positionH relativeFrom="column">
                        <wp:posOffset>988646</wp:posOffset>
                      </wp:positionH>
                      <wp:positionV relativeFrom="paragraph">
                        <wp:posOffset>5715</wp:posOffset>
                      </wp:positionV>
                      <wp:extent cx="1704975" cy="0"/>
                      <wp:effectExtent l="0" t="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0976A0B"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7.85pt,.45pt" to="212.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">
                      <o:lock v:ext="edit" shapetype="f"/>
                    </v:line>
                  </w:pict>
                </mc:Fallback>
              </mc:AlternateContent>
            </w:r>
          </w:p>
          <w:p w14:paraId="6E7CFC54" w14:textId="3982FD64" w:rsidR="003853B8" w:rsidRPr="00506BD0" w:rsidRDefault="003853B8" w:rsidP="00364122">
            <w:pPr>
              <w:spacing w:after="0" w:line="240" w:lineRule="auto"/>
              <w:jc w:val="center"/>
              <w:rPr>
                <w:rFonts w:eastAsia="Times New Roman"/>
                <w:sz w:val="27"/>
                <w:szCs w:val="27"/>
              </w:rPr>
            </w:pPr>
            <w:r w:rsidRPr="00506BD0">
              <w:rPr>
                <w:rFonts w:eastAsia="Times New Roman"/>
                <w:i/>
                <w:iCs/>
                <w:sz w:val="27"/>
                <w:szCs w:val="27"/>
              </w:rPr>
              <w:t xml:space="preserve">              Hà Tĩnh, ngày </w:t>
            </w:r>
            <w:r w:rsidR="00010C64">
              <w:rPr>
                <w:rFonts w:eastAsia="Times New Roman"/>
                <w:i/>
                <w:iCs/>
                <w:sz w:val="27"/>
                <w:szCs w:val="27"/>
              </w:rPr>
              <w:t>12</w:t>
            </w:r>
            <w:r w:rsidRPr="00506BD0">
              <w:rPr>
                <w:rFonts w:eastAsia="Times New Roman"/>
                <w:i/>
                <w:iCs/>
                <w:sz w:val="27"/>
                <w:szCs w:val="27"/>
              </w:rPr>
              <w:t xml:space="preserve"> tháng </w:t>
            </w:r>
            <w:r w:rsidR="009F5C18" w:rsidRPr="00506BD0">
              <w:rPr>
                <w:rFonts w:eastAsia="Times New Roman"/>
                <w:i/>
                <w:iCs/>
                <w:sz w:val="27"/>
                <w:szCs w:val="27"/>
              </w:rPr>
              <w:t>0</w:t>
            </w:r>
            <w:r w:rsidR="00010C64">
              <w:rPr>
                <w:rFonts w:eastAsia="Times New Roman"/>
                <w:i/>
                <w:iCs/>
                <w:sz w:val="27"/>
                <w:szCs w:val="27"/>
              </w:rPr>
              <w:t>2</w:t>
            </w:r>
            <w:r w:rsidRPr="00506BD0">
              <w:rPr>
                <w:rFonts w:eastAsia="Times New Roman"/>
                <w:i/>
                <w:iCs/>
                <w:sz w:val="27"/>
                <w:szCs w:val="27"/>
              </w:rPr>
              <w:t xml:space="preserve"> năm 202</w:t>
            </w:r>
            <w:r w:rsidR="009F5C18" w:rsidRPr="00506BD0">
              <w:rPr>
                <w:rFonts w:eastAsia="Times New Roman"/>
                <w:i/>
                <w:iCs/>
                <w:sz w:val="27"/>
                <w:szCs w:val="27"/>
              </w:rPr>
              <w:t>5</w:t>
            </w:r>
            <w:r w:rsidRPr="00506BD0">
              <w:rPr>
                <w:rFonts w:eastAsia="Times New Roman"/>
                <w:i/>
                <w:iCs/>
                <w:sz w:val="27"/>
                <w:szCs w:val="27"/>
              </w:rPr>
              <w:t>.</w:t>
            </w:r>
          </w:p>
        </w:tc>
      </w:tr>
    </w:tbl>
    <w:p w14:paraId="45931075" w14:textId="77777777" w:rsidR="003853B8" w:rsidRPr="00506BD0" w:rsidRDefault="003853B8" w:rsidP="003853B8">
      <w:pPr>
        <w:spacing w:after="0" w:line="240" w:lineRule="auto"/>
        <w:jc w:val="center"/>
        <w:rPr>
          <w:rFonts w:eastAsia="Times New Roman"/>
          <w:b/>
          <w:bCs/>
          <w:sz w:val="27"/>
          <w:szCs w:val="27"/>
        </w:rPr>
      </w:pPr>
      <w:r w:rsidRPr="00506BD0">
        <w:rPr>
          <w:rFonts w:eastAsia="Times New Roman"/>
          <w:b/>
          <w:bCs/>
          <w:sz w:val="27"/>
          <w:szCs w:val="27"/>
        </w:rPr>
        <w:t xml:space="preserve"> </w:t>
      </w:r>
    </w:p>
    <w:p w14:paraId="35EB272E" w14:textId="77777777" w:rsidR="003853B8" w:rsidRPr="00010C64" w:rsidRDefault="003853B8" w:rsidP="003853B8">
      <w:pPr>
        <w:tabs>
          <w:tab w:val="left" w:pos="6379"/>
        </w:tabs>
        <w:spacing w:after="0" w:line="240" w:lineRule="auto"/>
        <w:jc w:val="center"/>
        <w:rPr>
          <w:rFonts w:eastAsia="Times New Roman"/>
          <w:b/>
          <w:bCs/>
          <w:sz w:val="28"/>
          <w:szCs w:val="28"/>
        </w:rPr>
      </w:pPr>
      <w:r w:rsidRPr="00010C64">
        <w:rPr>
          <w:rFonts w:eastAsia="Times New Roman"/>
          <w:b/>
          <w:bCs/>
          <w:sz w:val="28"/>
          <w:szCs w:val="28"/>
        </w:rPr>
        <w:t xml:space="preserve">QUY CHẾ CUỘC ĐẤU GIÁ </w:t>
      </w:r>
    </w:p>
    <w:p w14:paraId="194ADEEA" w14:textId="243C0281" w:rsidR="003853B8" w:rsidRPr="00010C64" w:rsidRDefault="003853B8" w:rsidP="003853B8">
      <w:pPr>
        <w:spacing w:after="0" w:line="240" w:lineRule="auto"/>
        <w:jc w:val="center"/>
        <w:rPr>
          <w:rFonts w:eastAsia="Times New Roman"/>
          <w:b/>
          <w:bCs/>
          <w:sz w:val="26"/>
          <w:szCs w:val="26"/>
        </w:rPr>
      </w:pPr>
      <w:r w:rsidRPr="00010C64">
        <w:rPr>
          <w:rFonts w:eastAsia="Times New Roman"/>
          <w:b/>
          <w:bCs/>
          <w:sz w:val="26"/>
          <w:szCs w:val="26"/>
        </w:rPr>
        <w:t xml:space="preserve">Số: </w:t>
      </w:r>
      <w:r w:rsidR="00010C64" w:rsidRPr="00010C64">
        <w:rPr>
          <w:rFonts w:eastAsia="Times New Roman"/>
          <w:b/>
          <w:bCs/>
          <w:sz w:val="26"/>
          <w:szCs w:val="26"/>
        </w:rPr>
        <w:t>09</w:t>
      </w:r>
      <w:r w:rsidRPr="00010C64">
        <w:rPr>
          <w:rFonts w:eastAsia="Times New Roman"/>
          <w:b/>
          <w:bCs/>
          <w:sz w:val="26"/>
          <w:szCs w:val="26"/>
        </w:rPr>
        <w:t>/QC-ĐGMN</w:t>
      </w:r>
    </w:p>
    <w:p w14:paraId="68566A42" w14:textId="77777777" w:rsidR="003853B8" w:rsidRPr="00010C64" w:rsidRDefault="003853B8" w:rsidP="003853B8">
      <w:pPr>
        <w:spacing w:after="0" w:line="240" w:lineRule="auto"/>
        <w:jc w:val="center"/>
        <w:rPr>
          <w:rFonts w:eastAsia="Times New Roman"/>
          <w:b/>
          <w:bCs/>
          <w:sz w:val="26"/>
          <w:szCs w:val="26"/>
        </w:rPr>
      </w:pPr>
    </w:p>
    <w:p w14:paraId="5637491B" w14:textId="77777777" w:rsidR="003853B8" w:rsidRPr="00010C64" w:rsidRDefault="003853B8" w:rsidP="00D9761C">
      <w:pPr>
        <w:tabs>
          <w:tab w:val="left" w:pos="851"/>
        </w:tabs>
        <w:spacing w:after="60" w:line="288" w:lineRule="auto"/>
        <w:ind w:firstLine="567"/>
        <w:jc w:val="both"/>
        <w:rPr>
          <w:rFonts w:eastAsia="Times New Roman"/>
          <w:sz w:val="26"/>
          <w:szCs w:val="26"/>
        </w:rPr>
      </w:pPr>
      <w:r w:rsidRPr="00010C64">
        <w:rPr>
          <w:rFonts w:eastAsia="Times New Roman"/>
          <w:sz w:val="26"/>
          <w:szCs w:val="26"/>
          <w:lang w:val="vi-VN"/>
        </w:rPr>
        <w:t xml:space="preserve">Căn cứ Bộ </w:t>
      </w:r>
      <w:r w:rsidRPr="00010C64">
        <w:rPr>
          <w:rFonts w:eastAsia="Times New Roman"/>
          <w:sz w:val="26"/>
          <w:szCs w:val="26"/>
        </w:rPr>
        <w:t>L</w:t>
      </w:r>
      <w:r w:rsidRPr="00010C64">
        <w:rPr>
          <w:rFonts w:eastAsia="Times New Roman"/>
          <w:sz w:val="26"/>
          <w:szCs w:val="26"/>
          <w:lang w:val="vi-VN"/>
        </w:rPr>
        <w:t>uật Dân sự năm 2015 ngày 24/11/2015;</w:t>
      </w:r>
    </w:p>
    <w:p w14:paraId="6D5D3F69" w14:textId="77777777" w:rsidR="003853B8" w:rsidRDefault="003853B8" w:rsidP="00D9761C">
      <w:pPr>
        <w:tabs>
          <w:tab w:val="left" w:pos="851"/>
        </w:tabs>
        <w:spacing w:after="60" w:line="288" w:lineRule="auto"/>
        <w:ind w:firstLine="567"/>
        <w:jc w:val="both"/>
        <w:rPr>
          <w:rFonts w:eastAsia="Times New Roman"/>
          <w:iCs/>
          <w:sz w:val="26"/>
          <w:szCs w:val="26"/>
        </w:rPr>
      </w:pPr>
      <w:r w:rsidRPr="00010C64">
        <w:rPr>
          <w:rFonts w:eastAsia="Times New Roman"/>
          <w:sz w:val="26"/>
          <w:szCs w:val="26"/>
        </w:rPr>
        <w:t xml:space="preserve">Căn cứ Luật Đấu giá tài sản ngày 17 tháng 11 năm 2016; Luật sửa đổi, bổ sung một số điều của Luật Đấu giá tài sản ngày 27 tháng 6 năm 2024 </w:t>
      </w:r>
      <w:r w:rsidRPr="00010C64">
        <w:rPr>
          <w:rFonts w:eastAsia="Times New Roman"/>
          <w:iCs/>
          <w:sz w:val="26"/>
          <w:szCs w:val="26"/>
        </w:rPr>
        <w:t>và các văn bản hướng dẫn thi hành;</w:t>
      </w:r>
    </w:p>
    <w:p w14:paraId="49DE41C4" w14:textId="0577C1AB" w:rsidR="0038199B" w:rsidRPr="00010C64" w:rsidRDefault="0038199B" w:rsidP="00D9761C">
      <w:pPr>
        <w:tabs>
          <w:tab w:val="left" w:pos="851"/>
        </w:tabs>
        <w:spacing w:after="60" w:line="288" w:lineRule="auto"/>
        <w:ind w:firstLine="567"/>
        <w:jc w:val="both"/>
        <w:rPr>
          <w:rFonts w:eastAsia="Times New Roman"/>
          <w:sz w:val="26"/>
          <w:szCs w:val="26"/>
        </w:rPr>
      </w:pPr>
      <w:r>
        <w:rPr>
          <w:rFonts w:eastAsia="Times New Roman"/>
          <w:iCs/>
          <w:sz w:val="26"/>
          <w:szCs w:val="26"/>
        </w:rPr>
        <w:t>Căn cứ Luật Các tổ chức tín dụng ngày 18 tháng 01 năm 2024</w:t>
      </w:r>
      <w:r w:rsidR="00B141FA">
        <w:rPr>
          <w:rFonts w:eastAsia="Times New Roman"/>
          <w:iCs/>
          <w:sz w:val="26"/>
          <w:szCs w:val="26"/>
        </w:rPr>
        <w:t xml:space="preserve"> </w:t>
      </w:r>
      <w:r w:rsidR="00B141FA" w:rsidRPr="00B141FA">
        <w:rPr>
          <w:rFonts w:eastAsia="Times New Roman"/>
          <w:iCs/>
          <w:sz w:val="26"/>
          <w:szCs w:val="26"/>
        </w:rPr>
        <w:t>và các văn bản hướng dẫn thi hành;</w:t>
      </w:r>
    </w:p>
    <w:p w14:paraId="6BE7D619" w14:textId="770CC5F3" w:rsidR="009F5C18" w:rsidRPr="00010C64" w:rsidRDefault="003853B8" w:rsidP="00010C64">
      <w:pPr>
        <w:spacing w:after="0" w:line="274" w:lineRule="auto"/>
        <w:ind w:firstLine="567"/>
        <w:jc w:val="both"/>
        <w:rPr>
          <w:rFonts w:eastAsia="Times New Roman"/>
          <w:sz w:val="26"/>
          <w:szCs w:val="26"/>
        </w:rPr>
      </w:pPr>
      <w:r w:rsidRPr="00010C64">
        <w:rPr>
          <w:rFonts w:eastAsia="Times New Roman"/>
          <w:sz w:val="26"/>
          <w:szCs w:val="26"/>
        </w:rPr>
        <w:t xml:space="preserve">Căn cứ Hợp đồng dịch vụ đấu giá tài sản số: </w:t>
      </w:r>
      <w:r w:rsidR="00010C64" w:rsidRPr="00010C64">
        <w:rPr>
          <w:rFonts w:eastAsia="Times New Roman"/>
          <w:sz w:val="26"/>
          <w:szCs w:val="26"/>
        </w:rPr>
        <w:t>37/HĐDV-ĐGMN ngày 15/8/2024 và Phụ lục hợp đồng số: 37/HĐĐG - PL0</w:t>
      </w:r>
      <w:r w:rsidR="00FA76E0">
        <w:rPr>
          <w:rFonts w:eastAsia="Times New Roman"/>
          <w:sz w:val="26"/>
          <w:szCs w:val="26"/>
        </w:rPr>
        <w:t>4</w:t>
      </w:r>
      <w:r w:rsidR="00010C64" w:rsidRPr="00010C64">
        <w:rPr>
          <w:rFonts w:eastAsia="Times New Roman"/>
          <w:sz w:val="26"/>
          <w:szCs w:val="26"/>
        </w:rPr>
        <w:t xml:space="preserve"> ngày </w:t>
      </w:r>
      <w:r w:rsidR="00FA76E0">
        <w:rPr>
          <w:rFonts w:eastAsia="Times New Roman"/>
          <w:sz w:val="26"/>
          <w:szCs w:val="26"/>
        </w:rPr>
        <w:t>11</w:t>
      </w:r>
      <w:r w:rsidR="00010C64" w:rsidRPr="00010C64">
        <w:rPr>
          <w:rFonts w:eastAsia="Times New Roman"/>
          <w:sz w:val="26"/>
          <w:szCs w:val="26"/>
        </w:rPr>
        <w:t>/</w:t>
      </w:r>
      <w:r w:rsidR="00FA76E0">
        <w:rPr>
          <w:rFonts w:eastAsia="Times New Roman"/>
          <w:sz w:val="26"/>
          <w:szCs w:val="26"/>
        </w:rPr>
        <w:t>02</w:t>
      </w:r>
      <w:r w:rsidR="00010C64" w:rsidRPr="00010C64">
        <w:rPr>
          <w:rFonts w:eastAsia="Times New Roman"/>
          <w:sz w:val="26"/>
          <w:szCs w:val="26"/>
        </w:rPr>
        <w:t>/202</w:t>
      </w:r>
      <w:r w:rsidR="00FA76E0">
        <w:rPr>
          <w:rFonts w:eastAsia="Times New Roman"/>
          <w:sz w:val="26"/>
          <w:szCs w:val="26"/>
        </w:rPr>
        <w:t>5</w:t>
      </w:r>
      <w:r w:rsidR="00010C64" w:rsidRPr="00010C64">
        <w:rPr>
          <w:rFonts w:eastAsia="Times New Roman"/>
          <w:sz w:val="26"/>
          <w:szCs w:val="26"/>
        </w:rPr>
        <w:t xml:space="preserve"> ký kết giữa Ngân hàng TMCP Ngoại thương Việt Nam - CN Bắc Hà Tĩnh và Công ty Đấu giá Hợp danh Minh Nhật.</w:t>
      </w:r>
    </w:p>
    <w:p w14:paraId="6EA4D114" w14:textId="6B27AB69" w:rsidR="003853B8" w:rsidRPr="00010C64" w:rsidRDefault="003853B8" w:rsidP="00D9761C">
      <w:pPr>
        <w:tabs>
          <w:tab w:val="left" w:pos="851"/>
        </w:tabs>
        <w:spacing w:after="60" w:line="288" w:lineRule="auto"/>
        <w:ind w:firstLine="567"/>
        <w:jc w:val="both"/>
        <w:rPr>
          <w:rFonts w:eastAsia="Times New Roman"/>
          <w:b/>
          <w:bCs/>
          <w:i/>
          <w:iCs/>
          <w:sz w:val="26"/>
          <w:szCs w:val="26"/>
        </w:rPr>
      </w:pPr>
      <w:r w:rsidRPr="00010C64">
        <w:rPr>
          <w:rFonts w:eastAsia="Times New Roman"/>
          <w:b/>
          <w:bCs/>
          <w:i/>
          <w:iCs/>
          <w:sz w:val="26"/>
          <w:szCs w:val="26"/>
        </w:rPr>
        <w:t>Công ty Đấu giá Hợp danh Minh Nhật ban hành Quy chế cuộc đấu giá gồm các điều khoản sau:</w:t>
      </w:r>
    </w:p>
    <w:p w14:paraId="16C836C3" w14:textId="77777777" w:rsidR="00010C64" w:rsidRPr="00010C64" w:rsidRDefault="00010C64" w:rsidP="00010C64">
      <w:pPr>
        <w:spacing w:after="60"/>
        <w:ind w:firstLine="567"/>
        <w:jc w:val="both"/>
        <w:rPr>
          <w:rFonts w:eastAsia="Times New Roman"/>
          <w:b/>
          <w:bCs/>
          <w:sz w:val="26"/>
          <w:szCs w:val="26"/>
        </w:rPr>
      </w:pPr>
      <w:r w:rsidRPr="00010C64">
        <w:rPr>
          <w:rFonts w:eastAsia="Times New Roman"/>
          <w:b/>
          <w:bCs/>
          <w:sz w:val="26"/>
          <w:szCs w:val="26"/>
          <w:u w:val="single"/>
        </w:rPr>
        <w:t>Điều 1.</w:t>
      </w:r>
      <w:r w:rsidRPr="00010C64">
        <w:rPr>
          <w:rFonts w:eastAsia="Times New Roman"/>
          <w:b/>
          <w:bCs/>
          <w:sz w:val="26"/>
          <w:szCs w:val="26"/>
        </w:rPr>
        <w:t xml:space="preserve"> Tài sản đấu giá, nguồn gốc tài sản, căn cứ pháp lý: </w:t>
      </w:r>
    </w:p>
    <w:p w14:paraId="19E985D3" w14:textId="77777777" w:rsidR="00010C64" w:rsidRPr="00010C64" w:rsidRDefault="00010C64" w:rsidP="00010C64">
      <w:pPr>
        <w:spacing w:after="80" w:line="281" w:lineRule="auto"/>
        <w:ind w:firstLine="720"/>
        <w:jc w:val="both"/>
        <w:rPr>
          <w:rFonts w:eastAsia="Times New Roman"/>
          <w:spacing w:val="-6"/>
          <w:sz w:val="26"/>
          <w:szCs w:val="26"/>
        </w:rPr>
      </w:pPr>
      <w:r w:rsidRPr="00010C64">
        <w:rPr>
          <w:rFonts w:eastAsia="Times New Roman"/>
          <w:b/>
          <w:bCs/>
          <w:spacing w:val="-6"/>
          <w:sz w:val="26"/>
          <w:szCs w:val="26"/>
        </w:rPr>
        <w:t xml:space="preserve">1. Tài sản đấu giá: </w:t>
      </w:r>
    </w:p>
    <w:tbl>
      <w:tblPr>
        <w:tblStyle w:val="TableGrid"/>
        <w:tblpPr w:leftFromText="180" w:rightFromText="180" w:vertAnchor="text" w:tblpXSpec="center" w:tblpY="1"/>
        <w:tblOverlap w:val="never"/>
        <w:tblW w:w="10343" w:type="dxa"/>
        <w:tblLayout w:type="fixed"/>
        <w:tblLook w:val="04A0" w:firstRow="1" w:lastRow="0" w:firstColumn="1" w:lastColumn="0" w:noHBand="0" w:noVBand="1"/>
      </w:tblPr>
      <w:tblGrid>
        <w:gridCol w:w="608"/>
        <w:gridCol w:w="608"/>
        <w:gridCol w:w="3689"/>
        <w:gridCol w:w="1560"/>
        <w:gridCol w:w="1468"/>
        <w:gridCol w:w="1276"/>
        <w:gridCol w:w="1134"/>
      </w:tblGrid>
      <w:tr w:rsidR="00010C64" w:rsidRPr="00010C64" w14:paraId="5BCB56C3" w14:textId="77777777" w:rsidTr="00FD7E0F">
        <w:trPr>
          <w:trHeight w:val="20"/>
        </w:trPr>
        <w:tc>
          <w:tcPr>
            <w:tcW w:w="608" w:type="dxa"/>
            <w:vAlign w:val="center"/>
          </w:tcPr>
          <w:p w14:paraId="3107A28E" w14:textId="77777777" w:rsidR="00010C64" w:rsidRPr="00010C64" w:rsidRDefault="00010C64" w:rsidP="00010C64">
            <w:pPr>
              <w:spacing w:after="160" w:line="283" w:lineRule="auto"/>
              <w:jc w:val="center"/>
              <w:rPr>
                <w:rFonts w:eastAsia="Calibri"/>
                <w:b/>
                <w:sz w:val="23"/>
                <w:szCs w:val="23"/>
                <w:lang w:eastAsia="en-US"/>
              </w:rPr>
            </w:pPr>
            <w:r w:rsidRPr="00010C64">
              <w:rPr>
                <w:rFonts w:eastAsia="Calibri"/>
                <w:b/>
                <w:sz w:val="23"/>
                <w:szCs w:val="23"/>
                <w:lang w:eastAsia="en-US"/>
              </w:rPr>
              <w:t>TT</w:t>
            </w:r>
          </w:p>
        </w:tc>
        <w:tc>
          <w:tcPr>
            <w:tcW w:w="608" w:type="dxa"/>
            <w:vAlign w:val="center"/>
          </w:tcPr>
          <w:p w14:paraId="0CF3EA7F" w14:textId="77777777" w:rsidR="00010C64" w:rsidRPr="00010C64" w:rsidRDefault="00010C64" w:rsidP="00010C64">
            <w:pPr>
              <w:spacing w:after="160" w:line="283" w:lineRule="auto"/>
              <w:jc w:val="center"/>
              <w:rPr>
                <w:rFonts w:eastAsia="Calibri"/>
                <w:b/>
                <w:sz w:val="23"/>
                <w:szCs w:val="23"/>
                <w:lang w:eastAsia="en-US"/>
              </w:rPr>
            </w:pPr>
          </w:p>
        </w:tc>
        <w:tc>
          <w:tcPr>
            <w:tcW w:w="3689" w:type="dxa"/>
            <w:vAlign w:val="center"/>
          </w:tcPr>
          <w:p w14:paraId="0477B380" w14:textId="77777777" w:rsidR="00010C64" w:rsidRPr="00010C64" w:rsidRDefault="00010C64" w:rsidP="00010C64">
            <w:pPr>
              <w:spacing w:after="160" w:line="283" w:lineRule="auto"/>
              <w:jc w:val="center"/>
              <w:rPr>
                <w:rFonts w:eastAsia="Calibri"/>
                <w:b/>
                <w:iCs/>
                <w:sz w:val="23"/>
                <w:szCs w:val="23"/>
                <w:lang w:eastAsia="en-US"/>
              </w:rPr>
            </w:pPr>
            <w:r w:rsidRPr="00010C64">
              <w:rPr>
                <w:rFonts w:eastAsia="Calibri"/>
                <w:b/>
                <w:sz w:val="23"/>
                <w:szCs w:val="23"/>
                <w:lang w:eastAsia="en-US"/>
              </w:rPr>
              <w:t>Tên tài sản</w:t>
            </w:r>
          </w:p>
        </w:tc>
        <w:tc>
          <w:tcPr>
            <w:tcW w:w="1560" w:type="dxa"/>
            <w:vAlign w:val="center"/>
          </w:tcPr>
          <w:p w14:paraId="7F2DF32A" w14:textId="77777777" w:rsidR="00010C64" w:rsidRPr="00010C64" w:rsidRDefault="00010C64" w:rsidP="00010C64">
            <w:pPr>
              <w:spacing w:after="160" w:line="283" w:lineRule="auto"/>
              <w:jc w:val="center"/>
              <w:rPr>
                <w:rFonts w:eastAsia="Calibri"/>
                <w:b/>
                <w:iCs/>
                <w:sz w:val="23"/>
                <w:szCs w:val="23"/>
                <w:lang w:eastAsia="en-US"/>
              </w:rPr>
            </w:pPr>
            <w:r w:rsidRPr="00010C64">
              <w:rPr>
                <w:rFonts w:eastAsia="Calibri"/>
                <w:b/>
                <w:sz w:val="23"/>
                <w:szCs w:val="23"/>
                <w:lang w:eastAsia="en-US"/>
              </w:rPr>
              <w:t>Giá khởi điểm (đồng)</w:t>
            </w:r>
          </w:p>
        </w:tc>
        <w:tc>
          <w:tcPr>
            <w:tcW w:w="1468" w:type="dxa"/>
            <w:vAlign w:val="center"/>
          </w:tcPr>
          <w:p w14:paraId="20D67EE8" w14:textId="77777777" w:rsidR="00010C64" w:rsidRPr="00010C64" w:rsidRDefault="00010C64" w:rsidP="00010C64">
            <w:pPr>
              <w:spacing w:after="160" w:line="283" w:lineRule="auto"/>
              <w:jc w:val="center"/>
              <w:rPr>
                <w:rFonts w:eastAsia="Calibri"/>
                <w:b/>
                <w:sz w:val="23"/>
                <w:szCs w:val="23"/>
                <w:lang w:eastAsia="en-US"/>
              </w:rPr>
            </w:pPr>
            <w:r w:rsidRPr="00010C64">
              <w:rPr>
                <w:rFonts w:eastAsia="Calibri"/>
                <w:b/>
                <w:sz w:val="23"/>
                <w:szCs w:val="23"/>
                <w:lang w:eastAsia="en-US"/>
              </w:rPr>
              <w:t>Tiền đặt trước (đồng)</w:t>
            </w:r>
          </w:p>
        </w:tc>
        <w:tc>
          <w:tcPr>
            <w:tcW w:w="1276" w:type="dxa"/>
            <w:vAlign w:val="center"/>
          </w:tcPr>
          <w:p w14:paraId="5FCF4C71" w14:textId="77777777" w:rsidR="00010C64" w:rsidRPr="00010C64" w:rsidRDefault="00010C64" w:rsidP="00010C64">
            <w:pPr>
              <w:spacing w:after="160" w:line="283" w:lineRule="auto"/>
              <w:jc w:val="center"/>
              <w:rPr>
                <w:rFonts w:eastAsia="Calibri"/>
                <w:b/>
                <w:sz w:val="23"/>
                <w:szCs w:val="23"/>
                <w:lang w:eastAsia="en-US"/>
              </w:rPr>
            </w:pPr>
            <w:r w:rsidRPr="00010C64">
              <w:rPr>
                <w:rFonts w:eastAsia="Calibri"/>
                <w:b/>
                <w:sz w:val="23"/>
                <w:szCs w:val="23"/>
                <w:lang w:eastAsia="en-US"/>
              </w:rPr>
              <w:t>Bước giá (đồng)</w:t>
            </w:r>
          </w:p>
        </w:tc>
        <w:tc>
          <w:tcPr>
            <w:tcW w:w="1134" w:type="dxa"/>
            <w:vAlign w:val="center"/>
          </w:tcPr>
          <w:p w14:paraId="2EB473CD" w14:textId="77777777" w:rsidR="00010C64" w:rsidRPr="00010C64" w:rsidRDefault="00010C64" w:rsidP="00010C64">
            <w:pPr>
              <w:spacing w:after="160" w:line="283" w:lineRule="auto"/>
              <w:jc w:val="center"/>
              <w:rPr>
                <w:rFonts w:eastAsia="Calibri"/>
                <w:b/>
                <w:sz w:val="23"/>
                <w:szCs w:val="23"/>
                <w:lang w:eastAsia="en-US"/>
              </w:rPr>
            </w:pPr>
            <w:r w:rsidRPr="00010C64">
              <w:rPr>
                <w:rFonts w:eastAsia="Calibri"/>
                <w:b/>
                <w:sz w:val="23"/>
                <w:szCs w:val="23"/>
                <w:lang w:eastAsia="en-US"/>
              </w:rPr>
              <w:t>Tiền hồ sơ (đồng)</w:t>
            </w:r>
          </w:p>
        </w:tc>
      </w:tr>
      <w:tr w:rsidR="00010C64" w:rsidRPr="00010C64" w14:paraId="400F3AD0" w14:textId="77777777" w:rsidTr="00FD7E0F">
        <w:trPr>
          <w:trHeight w:val="624"/>
        </w:trPr>
        <w:tc>
          <w:tcPr>
            <w:tcW w:w="608" w:type="dxa"/>
            <w:vAlign w:val="center"/>
          </w:tcPr>
          <w:p w14:paraId="22CC6822"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sz w:val="23"/>
                <w:szCs w:val="23"/>
                <w:lang w:eastAsia="en-US"/>
              </w:rPr>
              <w:t>1</w:t>
            </w:r>
          </w:p>
        </w:tc>
        <w:tc>
          <w:tcPr>
            <w:tcW w:w="608" w:type="dxa"/>
            <w:vAlign w:val="center"/>
          </w:tcPr>
          <w:p w14:paraId="16C3AC68"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sz w:val="23"/>
                <w:szCs w:val="23"/>
                <w:lang w:eastAsia="en-US"/>
              </w:rPr>
              <w:t>I</w:t>
            </w:r>
          </w:p>
        </w:tc>
        <w:tc>
          <w:tcPr>
            <w:tcW w:w="3689" w:type="dxa"/>
            <w:vAlign w:val="center"/>
          </w:tcPr>
          <w:p w14:paraId="6BB9D344" w14:textId="77777777" w:rsidR="00010C64" w:rsidRPr="00010C64" w:rsidRDefault="00010C64" w:rsidP="00010C64">
            <w:pPr>
              <w:spacing w:before="60" w:after="60" w:line="283" w:lineRule="auto"/>
              <w:rPr>
                <w:rFonts w:eastAsia="Calibri"/>
                <w:bCs/>
                <w:iCs/>
                <w:sz w:val="23"/>
                <w:szCs w:val="23"/>
                <w:lang w:eastAsia="en-US"/>
              </w:rPr>
            </w:pPr>
            <w:r w:rsidRPr="00010C64">
              <w:rPr>
                <w:rFonts w:eastAsia="Calibri"/>
                <w:sz w:val="23"/>
                <w:szCs w:val="23"/>
                <w:lang w:eastAsia="en-US"/>
              </w:rPr>
              <w:t>Xe ôtô tải biển số 38C-070.14</w:t>
            </w:r>
          </w:p>
        </w:tc>
        <w:tc>
          <w:tcPr>
            <w:tcW w:w="1560" w:type="dxa"/>
            <w:vAlign w:val="center"/>
          </w:tcPr>
          <w:p w14:paraId="52EACE77" w14:textId="77777777" w:rsidR="00010C64" w:rsidRPr="00010C64" w:rsidRDefault="00010C64" w:rsidP="00010C64">
            <w:pPr>
              <w:spacing w:before="60" w:after="60" w:line="283" w:lineRule="auto"/>
              <w:jc w:val="center"/>
              <w:rPr>
                <w:rFonts w:eastAsia="Calibri"/>
                <w:bCs/>
                <w:iCs/>
                <w:sz w:val="23"/>
                <w:szCs w:val="23"/>
                <w:lang w:eastAsia="en-US"/>
              </w:rPr>
            </w:pPr>
            <w:r w:rsidRPr="00010C64">
              <w:rPr>
                <w:rFonts w:eastAsia="Calibri"/>
                <w:sz w:val="23"/>
                <w:szCs w:val="23"/>
                <w:lang w:eastAsia="en-US"/>
              </w:rPr>
              <w:t xml:space="preserve">159.286.500 </w:t>
            </w:r>
          </w:p>
        </w:tc>
        <w:tc>
          <w:tcPr>
            <w:tcW w:w="1468" w:type="dxa"/>
            <w:vAlign w:val="center"/>
          </w:tcPr>
          <w:p w14:paraId="14FF8153" w14:textId="77777777" w:rsidR="00010C64" w:rsidRPr="00010C64" w:rsidRDefault="00010C64" w:rsidP="00010C64">
            <w:pPr>
              <w:spacing w:before="60" w:after="60" w:line="283" w:lineRule="auto"/>
              <w:jc w:val="center"/>
              <w:rPr>
                <w:rFonts w:eastAsia="Calibri"/>
                <w:sz w:val="23"/>
                <w:szCs w:val="23"/>
                <w:lang w:eastAsia="en-US"/>
              </w:rPr>
            </w:pPr>
            <w:r w:rsidRPr="00010C64">
              <w:rPr>
                <w:bCs/>
                <w:iCs/>
                <w:sz w:val="23"/>
                <w:szCs w:val="23"/>
              </w:rPr>
              <w:t>31.000.000</w:t>
            </w:r>
          </w:p>
        </w:tc>
        <w:tc>
          <w:tcPr>
            <w:tcW w:w="1276" w:type="dxa"/>
            <w:vAlign w:val="center"/>
          </w:tcPr>
          <w:p w14:paraId="29111BAE" w14:textId="77777777" w:rsidR="00010C64" w:rsidRPr="00010C64" w:rsidRDefault="00010C64" w:rsidP="00010C64">
            <w:pPr>
              <w:spacing w:before="60" w:after="60" w:line="283" w:lineRule="auto"/>
              <w:jc w:val="center"/>
              <w:rPr>
                <w:rFonts w:eastAsia="Calibri"/>
                <w:sz w:val="23"/>
                <w:szCs w:val="23"/>
                <w:lang w:eastAsia="en-US"/>
              </w:rPr>
            </w:pPr>
            <w:r w:rsidRPr="00010C64">
              <w:rPr>
                <w:bCs/>
                <w:iCs/>
                <w:sz w:val="23"/>
                <w:szCs w:val="23"/>
              </w:rPr>
              <w:t>5.000.000</w:t>
            </w:r>
          </w:p>
        </w:tc>
        <w:tc>
          <w:tcPr>
            <w:tcW w:w="1134" w:type="dxa"/>
            <w:vAlign w:val="center"/>
          </w:tcPr>
          <w:p w14:paraId="105FA37A" w14:textId="77777777" w:rsidR="00010C64" w:rsidRPr="00010C64" w:rsidRDefault="00010C64" w:rsidP="00010C64">
            <w:pPr>
              <w:spacing w:before="60" w:after="60" w:line="283" w:lineRule="auto"/>
              <w:jc w:val="center"/>
              <w:rPr>
                <w:rFonts w:eastAsia="Calibri"/>
                <w:sz w:val="23"/>
                <w:szCs w:val="23"/>
                <w:lang w:eastAsia="en-US"/>
              </w:rPr>
            </w:pPr>
            <w:r w:rsidRPr="00010C64">
              <w:rPr>
                <w:bCs/>
                <w:iCs/>
                <w:sz w:val="23"/>
                <w:szCs w:val="23"/>
              </w:rPr>
              <w:t>100.000</w:t>
            </w:r>
          </w:p>
        </w:tc>
      </w:tr>
      <w:tr w:rsidR="00010C64" w:rsidRPr="00010C64" w14:paraId="1635E317" w14:textId="77777777" w:rsidTr="00FD7E0F">
        <w:trPr>
          <w:trHeight w:val="20"/>
        </w:trPr>
        <w:tc>
          <w:tcPr>
            <w:tcW w:w="608" w:type="dxa"/>
            <w:vAlign w:val="center"/>
          </w:tcPr>
          <w:p w14:paraId="23501FF2"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sz w:val="23"/>
                <w:szCs w:val="23"/>
                <w:lang w:eastAsia="en-US"/>
              </w:rPr>
              <w:t>2</w:t>
            </w:r>
          </w:p>
        </w:tc>
        <w:tc>
          <w:tcPr>
            <w:tcW w:w="608" w:type="dxa"/>
            <w:vMerge w:val="restart"/>
            <w:vAlign w:val="center"/>
          </w:tcPr>
          <w:p w14:paraId="53E64D59"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sz w:val="23"/>
                <w:szCs w:val="23"/>
                <w:lang w:eastAsia="en-US"/>
              </w:rPr>
              <w:t>II</w:t>
            </w:r>
          </w:p>
        </w:tc>
        <w:tc>
          <w:tcPr>
            <w:tcW w:w="3689" w:type="dxa"/>
            <w:vAlign w:val="center"/>
          </w:tcPr>
          <w:p w14:paraId="45321F48" w14:textId="77777777" w:rsidR="00010C64" w:rsidRPr="00010C64" w:rsidRDefault="00010C64" w:rsidP="00010C64">
            <w:pPr>
              <w:spacing w:before="60" w:after="60" w:line="283" w:lineRule="auto"/>
              <w:rPr>
                <w:rFonts w:eastAsia="Calibri"/>
                <w:bCs/>
                <w:iCs/>
                <w:sz w:val="23"/>
                <w:szCs w:val="23"/>
                <w:lang w:eastAsia="en-US"/>
              </w:rPr>
            </w:pPr>
            <w:r w:rsidRPr="00010C64">
              <w:rPr>
                <w:rFonts w:eastAsia="Calibri"/>
                <w:sz w:val="23"/>
                <w:szCs w:val="23"/>
                <w:lang w:eastAsia="en-US"/>
              </w:rPr>
              <w:t>Máy sản xuất gạch Terrazzo OP2011-2012 theo HĐ số 0000182</w:t>
            </w:r>
          </w:p>
        </w:tc>
        <w:tc>
          <w:tcPr>
            <w:tcW w:w="1560" w:type="dxa"/>
            <w:vMerge w:val="restart"/>
            <w:vAlign w:val="center"/>
          </w:tcPr>
          <w:p w14:paraId="2EE6DFBB" w14:textId="77777777" w:rsidR="00010C64" w:rsidRPr="00010C64" w:rsidRDefault="00010C64" w:rsidP="00010C64">
            <w:pPr>
              <w:spacing w:before="60" w:after="60" w:line="283" w:lineRule="auto"/>
              <w:jc w:val="center"/>
              <w:rPr>
                <w:rFonts w:eastAsia="Calibri"/>
                <w:bCs/>
                <w:iCs/>
                <w:sz w:val="23"/>
                <w:szCs w:val="23"/>
                <w:lang w:eastAsia="en-US"/>
              </w:rPr>
            </w:pPr>
            <w:r w:rsidRPr="00010C64">
              <w:rPr>
                <w:rFonts w:eastAsia="Calibri"/>
                <w:bCs/>
                <w:iCs/>
                <w:sz w:val="23"/>
                <w:szCs w:val="23"/>
                <w:lang w:eastAsia="en-US"/>
              </w:rPr>
              <w:t xml:space="preserve">1.026.936.686 </w:t>
            </w:r>
          </w:p>
        </w:tc>
        <w:tc>
          <w:tcPr>
            <w:tcW w:w="1468" w:type="dxa"/>
            <w:vMerge w:val="restart"/>
            <w:vAlign w:val="center"/>
          </w:tcPr>
          <w:p w14:paraId="6A21C2DA" w14:textId="77777777" w:rsidR="00010C64" w:rsidRPr="00010C64" w:rsidRDefault="00010C64" w:rsidP="00010C64">
            <w:pPr>
              <w:spacing w:before="60" w:after="60" w:line="283" w:lineRule="auto"/>
              <w:jc w:val="center"/>
              <w:rPr>
                <w:rFonts w:eastAsia="Calibri"/>
                <w:sz w:val="23"/>
                <w:szCs w:val="23"/>
                <w:lang w:eastAsia="en-US"/>
              </w:rPr>
            </w:pPr>
            <w:r w:rsidRPr="00010C64">
              <w:rPr>
                <w:bCs/>
                <w:iCs/>
                <w:sz w:val="23"/>
                <w:szCs w:val="23"/>
              </w:rPr>
              <w:t>200.000.000</w:t>
            </w:r>
          </w:p>
        </w:tc>
        <w:tc>
          <w:tcPr>
            <w:tcW w:w="1276" w:type="dxa"/>
            <w:vMerge w:val="restart"/>
            <w:vAlign w:val="center"/>
          </w:tcPr>
          <w:p w14:paraId="2C3D0EB2" w14:textId="77777777" w:rsidR="00010C64" w:rsidRPr="00010C64" w:rsidRDefault="00010C64" w:rsidP="00010C64">
            <w:pPr>
              <w:spacing w:before="60" w:after="60" w:line="283" w:lineRule="auto"/>
              <w:rPr>
                <w:rFonts w:eastAsia="Calibri"/>
                <w:sz w:val="23"/>
                <w:szCs w:val="23"/>
                <w:lang w:eastAsia="en-US"/>
              </w:rPr>
            </w:pPr>
            <w:r w:rsidRPr="00010C64">
              <w:rPr>
                <w:rFonts w:eastAsia="Calibri"/>
                <w:iCs/>
                <w:sz w:val="23"/>
                <w:szCs w:val="23"/>
                <w:lang w:eastAsia="en-US"/>
              </w:rPr>
              <w:t>30.000.000</w:t>
            </w:r>
          </w:p>
        </w:tc>
        <w:tc>
          <w:tcPr>
            <w:tcW w:w="1134" w:type="dxa"/>
            <w:vMerge w:val="restart"/>
            <w:vAlign w:val="center"/>
          </w:tcPr>
          <w:p w14:paraId="3D6992EA" w14:textId="77777777" w:rsidR="00010C64" w:rsidRPr="00010C64" w:rsidRDefault="00010C64" w:rsidP="00010C64">
            <w:pPr>
              <w:spacing w:before="60" w:after="60" w:line="283" w:lineRule="auto"/>
              <w:jc w:val="center"/>
              <w:rPr>
                <w:rFonts w:eastAsia="Calibri"/>
                <w:sz w:val="23"/>
                <w:szCs w:val="23"/>
                <w:lang w:eastAsia="en-US"/>
              </w:rPr>
            </w:pPr>
            <w:r w:rsidRPr="00010C64">
              <w:rPr>
                <w:bCs/>
                <w:iCs/>
                <w:sz w:val="23"/>
                <w:szCs w:val="23"/>
              </w:rPr>
              <w:t>200.000</w:t>
            </w:r>
          </w:p>
        </w:tc>
      </w:tr>
      <w:tr w:rsidR="00010C64" w:rsidRPr="00010C64" w14:paraId="4BA1F22E" w14:textId="77777777" w:rsidTr="00FD7E0F">
        <w:trPr>
          <w:trHeight w:val="20"/>
        </w:trPr>
        <w:tc>
          <w:tcPr>
            <w:tcW w:w="608" w:type="dxa"/>
            <w:vAlign w:val="center"/>
          </w:tcPr>
          <w:p w14:paraId="2C55B928"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sz w:val="23"/>
                <w:szCs w:val="23"/>
                <w:lang w:eastAsia="en-US"/>
              </w:rPr>
              <w:t>3</w:t>
            </w:r>
          </w:p>
        </w:tc>
        <w:tc>
          <w:tcPr>
            <w:tcW w:w="608" w:type="dxa"/>
            <w:vMerge/>
            <w:vAlign w:val="center"/>
          </w:tcPr>
          <w:p w14:paraId="6FACF82A" w14:textId="77777777" w:rsidR="00010C64" w:rsidRPr="00010C64" w:rsidRDefault="00010C64" w:rsidP="00010C64">
            <w:pPr>
              <w:spacing w:before="60" w:after="60" w:line="283" w:lineRule="auto"/>
              <w:jc w:val="center"/>
              <w:rPr>
                <w:rFonts w:eastAsia="Calibri"/>
                <w:sz w:val="23"/>
                <w:szCs w:val="23"/>
                <w:lang w:eastAsia="en-US"/>
              </w:rPr>
            </w:pPr>
          </w:p>
        </w:tc>
        <w:tc>
          <w:tcPr>
            <w:tcW w:w="3689" w:type="dxa"/>
            <w:vAlign w:val="center"/>
          </w:tcPr>
          <w:p w14:paraId="59B94BC8" w14:textId="77777777" w:rsidR="00010C64" w:rsidRPr="00010C64" w:rsidRDefault="00010C64" w:rsidP="00010C64">
            <w:pPr>
              <w:spacing w:before="60" w:after="60" w:line="283" w:lineRule="auto"/>
              <w:rPr>
                <w:rFonts w:eastAsia="Calibri"/>
                <w:bCs/>
                <w:iCs/>
                <w:sz w:val="23"/>
                <w:szCs w:val="23"/>
                <w:lang w:eastAsia="en-US"/>
              </w:rPr>
            </w:pPr>
            <w:r w:rsidRPr="00010C64">
              <w:rPr>
                <w:rFonts w:eastAsia="Calibri"/>
                <w:sz w:val="23"/>
                <w:szCs w:val="23"/>
                <w:lang w:eastAsia="en-US"/>
              </w:rPr>
              <w:t>Dây chuyền sản xuất gạch Terrazzo 0P2-2012 theo số 0000245</w:t>
            </w:r>
          </w:p>
        </w:tc>
        <w:tc>
          <w:tcPr>
            <w:tcW w:w="1560" w:type="dxa"/>
            <w:vMerge/>
            <w:vAlign w:val="center"/>
          </w:tcPr>
          <w:p w14:paraId="349D207B" w14:textId="77777777" w:rsidR="00010C64" w:rsidRPr="00010C64" w:rsidRDefault="00010C64" w:rsidP="00010C64">
            <w:pPr>
              <w:spacing w:before="60" w:after="60" w:line="283" w:lineRule="auto"/>
              <w:jc w:val="center"/>
              <w:rPr>
                <w:rFonts w:eastAsia="Calibri"/>
                <w:bCs/>
                <w:iCs/>
                <w:sz w:val="23"/>
                <w:szCs w:val="23"/>
                <w:lang w:eastAsia="en-US"/>
              </w:rPr>
            </w:pPr>
          </w:p>
        </w:tc>
        <w:tc>
          <w:tcPr>
            <w:tcW w:w="1468" w:type="dxa"/>
            <w:vMerge/>
            <w:vAlign w:val="center"/>
          </w:tcPr>
          <w:p w14:paraId="0AF3ECF2" w14:textId="77777777" w:rsidR="00010C64" w:rsidRPr="00010C64" w:rsidRDefault="00010C64" w:rsidP="00010C64">
            <w:pPr>
              <w:spacing w:before="60" w:after="60" w:line="283" w:lineRule="auto"/>
              <w:jc w:val="center"/>
              <w:rPr>
                <w:rFonts w:eastAsia="Calibri"/>
                <w:sz w:val="23"/>
                <w:szCs w:val="23"/>
                <w:lang w:eastAsia="en-US"/>
              </w:rPr>
            </w:pPr>
          </w:p>
        </w:tc>
        <w:tc>
          <w:tcPr>
            <w:tcW w:w="1276" w:type="dxa"/>
            <w:vMerge/>
            <w:vAlign w:val="center"/>
          </w:tcPr>
          <w:p w14:paraId="4AD5C6B9" w14:textId="77777777" w:rsidR="00010C64" w:rsidRPr="00010C64" w:rsidRDefault="00010C64" w:rsidP="00010C64">
            <w:pPr>
              <w:spacing w:before="60" w:after="60" w:line="283" w:lineRule="auto"/>
              <w:jc w:val="center"/>
              <w:rPr>
                <w:rFonts w:eastAsia="Calibri"/>
                <w:sz w:val="23"/>
                <w:szCs w:val="23"/>
                <w:lang w:eastAsia="en-US"/>
              </w:rPr>
            </w:pPr>
          </w:p>
        </w:tc>
        <w:tc>
          <w:tcPr>
            <w:tcW w:w="1134" w:type="dxa"/>
            <w:vMerge/>
            <w:vAlign w:val="center"/>
          </w:tcPr>
          <w:p w14:paraId="063573A3" w14:textId="77777777" w:rsidR="00010C64" w:rsidRPr="00010C64" w:rsidRDefault="00010C64" w:rsidP="00010C64">
            <w:pPr>
              <w:spacing w:before="60" w:after="60" w:line="283" w:lineRule="auto"/>
              <w:jc w:val="center"/>
              <w:rPr>
                <w:rFonts w:eastAsia="Calibri"/>
                <w:sz w:val="23"/>
                <w:szCs w:val="23"/>
                <w:lang w:eastAsia="en-US"/>
              </w:rPr>
            </w:pPr>
          </w:p>
        </w:tc>
      </w:tr>
      <w:tr w:rsidR="00010C64" w:rsidRPr="00010C64" w14:paraId="68B17E6F" w14:textId="77777777" w:rsidTr="00FD7E0F">
        <w:trPr>
          <w:trHeight w:val="20"/>
        </w:trPr>
        <w:tc>
          <w:tcPr>
            <w:tcW w:w="608" w:type="dxa"/>
            <w:vAlign w:val="center"/>
          </w:tcPr>
          <w:p w14:paraId="1ED4B0DF"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sz w:val="23"/>
                <w:szCs w:val="23"/>
                <w:lang w:eastAsia="en-US"/>
              </w:rPr>
              <w:t>4</w:t>
            </w:r>
          </w:p>
        </w:tc>
        <w:tc>
          <w:tcPr>
            <w:tcW w:w="608" w:type="dxa"/>
            <w:vMerge/>
            <w:vAlign w:val="center"/>
          </w:tcPr>
          <w:p w14:paraId="60920C8A" w14:textId="77777777" w:rsidR="00010C64" w:rsidRPr="00010C64" w:rsidRDefault="00010C64" w:rsidP="00010C64">
            <w:pPr>
              <w:spacing w:before="60" w:after="60" w:line="283" w:lineRule="auto"/>
              <w:jc w:val="center"/>
              <w:rPr>
                <w:rFonts w:eastAsia="Calibri"/>
                <w:sz w:val="23"/>
                <w:szCs w:val="23"/>
                <w:lang w:eastAsia="en-US"/>
              </w:rPr>
            </w:pPr>
          </w:p>
        </w:tc>
        <w:tc>
          <w:tcPr>
            <w:tcW w:w="3689" w:type="dxa"/>
            <w:vAlign w:val="center"/>
          </w:tcPr>
          <w:p w14:paraId="5DF7E671" w14:textId="77777777" w:rsidR="00010C64" w:rsidRPr="00010C64" w:rsidRDefault="00010C64" w:rsidP="00010C64">
            <w:pPr>
              <w:spacing w:before="60" w:after="60" w:line="283" w:lineRule="auto"/>
              <w:rPr>
                <w:rFonts w:eastAsia="Calibri"/>
                <w:bCs/>
                <w:iCs/>
                <w:sz w:val="23"/>
                <w:szCs w:val="23"/>
                <w:lang w:eastAsia="en-US"/>
              </w:rPr>
            </w:pPr>
            <w:r w:rsidRPr="00010C64">
              <w:rPr>
                <w:rFonts w:eastAsia="Calibri"/>
                <w:sz w:val="23"/>
                <w:szCs w:val="23"/>
                <w:lang w:eastAsia="en-US"/>
              </w:rPr>
              <w:t>Dây chuyền máy sản xuất gạch Block B3510 theo HĐ số 0000287</w:t>
            </w:r>
          </w:p>
        </w:tc>
        <w:tc>
          <w:tcPr>
            <w:tcW w:w="1560" w:type="dxa"/>
            <w:vMerge/>
            <w:vAlign w:val="center"/>
          </w:tcPr>
          <w:p w14:paraId="0A5074DD" w14:textId="77777777" w:rsidR="00010C64" w:rsidRPr="00010C64" w:rsidRDefault="00010C64" w:rsidP="00010C64">
            <w:pPr>
              <w:spacing w:before="60" w:after="60" w:line="283" w:lineRule="auto"/>
              <w:jc w:val="center"/>
              <w:rPr>
                <w:rFonts w:eastAsia="Calibri"/>
                <w:bCs/>
                <w:iCs/>
                <w:sz w:val="23"/>
                <w:szCs w:val="23"/>
                <w:lang w:eastAsia="en-US"/>
              </w:rPr>
            </w:pPr>
          </w:p>
        </w:tc>
        <w:tc>
          <w:tcPr>
            <w:tcW w:w="1468" w:type="dxa"/>
            <w:vMerge/>
            <w:vAlign w:val="center"/>
          </w:tcPr>
          <w:p w14:paraId="4BA006C5" w14:textId="77777777" w:rsidR="00010C64" w:rsidRPr="00010C64" w:rsidRDefault="00010C64" w:rsidP="00010C64">
            <w:pPr>
              <w:spacing w:before="60" w:after="60" w:line="283" w:lineRule="auto"/>
              <w:jc w:val="center"/>
              <w:rPr>
                <w:rFonts w:eastAsia="Calibri"/>
                <w:sz w:val="23"/>
                <w:szCs w:val="23"/>
                <w:lang w:eastAsia="en-US"/>
              </w:rPr>
            </w:pPr>
          </w:p>
        </w:tc>
        <w:tc>
          <w:tcPr>
            <w:tcW w:w="1276" w:type="dxa"/>
            <w:vMerge/>
            <w:vAlign w:val="center"/>
          </w:tcPr>
          <w:p w14:paraId="55308E27" w14:textId="77777777" w:rsidR="00010C64" w:rsidRPr="00010C64" w:rsidRDefault="00010C64" w:rsidP="00010C64">
            <w:pPr>
              <w:spacing w:before="60" w:after="60" w:line="283" w:lineRule="auto"/>
              <w:jc w:val="center"/>
              <w:rPr>
                <w:rFonts w:eastAsia="Calibri"/>
                <w:sz w:val="23"/>
                <w:szCs w:val="23"/>
                <w:lang w:eastAsia="en-US"/>
              </w:rPr>
            </w:pPr>
          </w:p>
        </w:tc>
        <w:tc>
          <w:tcPr>
            <w:tcW w:w="1134" w:type="dxa"/>
            <w:vMerge/>
            <w:vAlign w:val="center"/>
          </w:tcPr>
          <w:p w14:paraId="42CA5F29" w14:textId="77777777" w:rsidR="00010C64" w:rsidRPr="00010C64" w:rsidRDefault="00010C64" w:rsidP="00010C64">
            <w:pPr>
              <w:spacing w:before="60" w:after="60" w:line="283" w:lineRule="auto"/>
              <w:jc w:val="center"/>
              <w:rPr>
                <w:rFonts w:eastAsia="Calibri"/>
                <w:sz w:val="23"/>
                <w:szCs w:val="23"/>
                <w:lang w:eastAsia="en-US"/>
              </w:rPr>
            </w:pPr>
          </w:p>
        </w:tc>
      </w:tr>
      <w:tr w:rsidR="00010C64" w:rsidRPr="00010C64" w14:paraId="01EEBF77" w14:textId="77777777" w:rsidTr="00FD7E0F">
        <w:trPr>
          <w:trHeight w:val="20"/>
        </w:trPr>
        <w:tc>
          <w:tcPr>
            <w:tcW w:w="608" w:type="dxa"/>
            <w:vAlign w:val="center"/>
          </w:tcPr>
          <w:p w14:paraId="7C4C60A8"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sz w:val="23"/>
                <w:szCs w:val="23"/>
                <w:lang w:eastAsia="en-US"/>
              </w:rPr>
              <w:t>5</w:t>
            </w:r>
          </w:p>
        </w:tc>
        <w:tc>
          <w:tcPr>
            <w:tcW w:w="608" w:type="dxa"/>
            <w:vMerge/>
            <w:vAlign w:val="center"/>
          </w:tcPr>
          <w:p w14:paraId="1925024C" w14:textId="77777777" w:rsidR="00010C64" w:rsidRPr="00010C64" w:rsidRDefault="00010C64" w:rsidP="00010C64">
            <w:pPr>
              <w:spacing w:before="60" w:after="60" w:line="283" w:lineRule="auto"/>
              <w:jc w:val="center"/>
              <w:rPr>
                <w:rFonts w:eastAsia="Calibri"/>
                <w:sz w:val="23"/>
                <w:szCs w:val="23"/>
                <w:lang w:eastAsia="en-US"/>
              </w:rPr>
            </w:pPr>
          </w:p>
        </w:tc>
        <w:tc>
          <w:tcPr>
            <w:tcW w:w="3689" w:type="dxa"/>
            <w:vAlign w:val="center"/>
          </w:tcPr>
          <w:p w14:paraId="3BD5DB6D" w14:textId="77777777" w:rsidR="00010C64" w:rsidRPr="00010C64" w:rsidRDefault="00010C64" w:rsidP="00010C64">
            <w:pPr>
              <w:spacing w:before="60" w:after="60" w:line="283" w:lineRule="auto"/>
              <w:rPr>
                <w:rFonts w:eastAsia="Calibri"/>
                <w:bCs/>
                <w:iCs/>
                <w:sz w:val="23"/>
                <w:szCs w:val="23"/>
                <w:lang w:eastAsia="en-US"/>
              </w:rPr>
            </w:pPr>
            <w:r w:rsidRPr="00010C64">
              <w:rPr>
                <w:rFonts w:eastAsia="Calibri"/>
                <w:sz w:val="23"/>
                <w:szCs w:val="23"/>
                <w:lang w:eastAsia="en-US"/>
              </w:rPr>
              <w:t>Dây chuyền sản xuất gạch Terrazzo OP2 theo HĐ số 0000420</w:t>
            </w:r>
          </w:p>
        </w:tc>
        <w:tc>
          <w:tcPr>
            <w:tcW w:w="1560" w:type="dxa"/>
            <w:vMerge/>
            <w:vAlign w:val="center"/>
          </w:tcPr>
          <w:p w14:paraId="164FB8D2" w14:textId="77777777" w:rsidR="00010C64" w:rsidRPr="00010C64" w:rsidRDefault="00010C64" w:rsidP="00010C64">
            <w:pPr>
              <w:spacing w:before="60" w:after="60" w:line="283" w:lineRule="auto"/>
              <w:jc w:val="center"/>
              <w:rPr>
                <w:rFonts w:eastAsia="Calibri"/>
                <w:bCs/>
                <w:iCs/>
                <w:sz w:val="23"/>
                <w:szCs w:val="23"/>
                <w:lang w:eastAsia="en-US"/>
              </w:rPr>
            </w:pPr>
          </w:p>
        </w:tc>
        <w:tc>
          <w:tcPr>
            <w:tcW w:w="1468" w:type="dxa"/>
            <w:vMerge/>
            <w:vAlign w:val="center"/>
          </w:tcPr>
          <w:p w14:paraId="0B720A10" w14:textId="77777777" w:rsidR="00010C64" w:rsidRPr="00010C64" w:rsidRDefault="00010C64" w:rsidP="00010C64">
            <w:pPr>
              <w:spacing w:before="60" w:after="60" w:line="283" w:lineRule="auto"/>
              <w:jc w:val="center"/>
              <w:rPr>
                <w:rFonts w:eastAsia="Calibri"/>
                <w:sz w:val="23"/>
                <w:szCs w:val="23"/>
                <w:lang w:eastAsia="en-US"/>
              </w:rPr>
            </w:pPr>
          </w:p>
        </w:tc>
        <w:tc>
          <w:tcPr>
            <w:tcW w:w="1276" w:type="dxa"/>
            <w:vMerge/>
            <w:vAlign w:val="center"/>
          </w:tcPr>
          <w:p w14:paraId="30F8BD03" w14:textId="77777777" w:rsidR="00010C64" w:rsidRPr="00010C64" w:rsidRDefault="00010C64" w:rsidP="00010C64">
            <w:pPr>
              <w:spacing w:before="60" w:after="60" w:line="283" w:lineRule="auto"/>
              <w:jc w:val="center"/>
              <w:rPr>
                <w:rFonts w:eastAsia="Calibri"/>
                <w:sz w:val="23"/>
                <w:szCs w:val="23"/>
                <w:lang w:eastAsia="en-US"/>
              </w:rPr>
            </w:pPr>
          </w:p>
        </w:tc>
        <w:tc>
          <w:tcPr>
            <w:tcW w:w="1134" w:type="dxa"/>
            <w:vMerge/>
            <w:vAlign w:val="center"/>
          </w:tcPr>
          <w:p w14:paraId="5177F494" w14:textId="77777777" w:rsidR="00010C64" w:rsidRPr="00010C64" w:rsidRDefault="00010C64" w:rsidP="00010C64">
            <w:pPr>
              <w:spacing w:before="60" w:after="60" w:line="283" w:lineRule="auto"/>
              <w:jc w:val="center"/>
              <w:rPr>
                <w:rFonts w:eastAsia="Calibri"/>
                <w:sz w:val="23"/>
                <w:szCs w:val="23"/>
                <w:lang w:eastAsia="en-US"/>
              </w:rPr>
            </w:pPr>
          </w:p>
        </w:tc>
      </w:tr>
      <w:tr w:rsidR="00010C64" w:rsidRPr="00010C64" w14:paraId="01EAE5D0" w14:textId="77777777" w:rsidTr="00FD7E0F">
        <w:trPr>
          <w:trHeight w:val="20"/>
        </w:trPr>
        <w:tc>
          <w:tcPr>
            <w:tcW w:w="608" w:type="dxa"/>
            <w:vAlign w:val="center"/>
          </w:tcPr>
          <w:p w14:paraId="3F33E8B6"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sz w:val="23"/>
                <w:szCs w:val="23"/>
                <w:lang w:eastAsia="en-US"/>
              </w:rPr>
              <w:t>6</w:t>
            </w:r>
          </w:p>
        </w:tc>
        <w:tc>
          <w:tcPr>
            <w:tcW w:w="608" w:type="dxa"/>
            <w:vMerge w:val="restart"/>
            <w:vAlign w:val="center"/>
          </w:tcPr>
          <w:p w14:paraId="4573559A"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sz w:val="23"/>
                <w:szCs w:val="23"/>
                <w:lang w:eastAsia="en-US"/>
              </w:rPr>
              <w:t>III</w:t>
            </w:r>
          </w:p>
        </w:tc>
        <w:tc>
          <w:tcPr>
            <w:tcW w:w="3689" w:type="dxa"/>
            <w:vAlign w:val="center"/>
          </w:tcPr>
          <w:p w14:paraId="74A7CA5C" w14:textId="77777777" w:rsidR="00010C64" w:rsidRPr="00010C64" w:rsidRDefault="00010C64" w:rsidP="00010C64">
            <w:pPr>
              <w:spacing w:before="60" w:after="60" w:line="283" w:lineRule="auto"/>
              <w:rPr>
                <w:rFonts w:eastAsia="Calibri"/>
                <w:bCs/>
                <w:iCs/>
                <w:sz w:val="23"/>
                <w:szCs w:val="23"/>
                <w:lang w:eastAsia="en-US"/>
              </w:rPr>
            </w:pPr>
            <w:r w:rsidRPr="00010C64">
              <w:rPr>
                <w:rFonts w:eastAsia="Calibri"/>
                <w:sz w:val="23"/>
                <w:szCs w:val="23"/>
                <w:lang w:eastAsia="en-US"/>
              </w:rPr>
              <w:t>Máy nâng hiệu KOMATSU theo HĐ số 0001250</w:t>
            </w:r>
          </w:p>
        </w:tc>
        <w:tc>
          <w:tcPr>
            <w:tcW w:w="1560" w:type="dxa"/>
            <w:vMerge w:val="restart"/>
            <w:vAlign w:val="center"/>
          </w:tcPr>
          <w:p w14:paraId="640B2E52" w14:textId="77777777" w:rsidR="00010C64" w:rsidRPr="00010C64" w:rsidRDefault="00010C64" w:rsidP="00010C64">
            <w:pPr>
              <w:spacing w:before="60" w:after="60" w:line="283" w:lineRule="auto"/>
              <w:jc w:val="center"/>
              <w:rPr>
                <w:rFonts w:eastAsia="Calibri"/>
                <w:bCs/>
                <w:iCs/>
                <w:sz w:val="23"/>
                <w:szCs w:val="23"/>
                <w:lang w:eastAsia="en-US"/>
              </w:rPr>
            </w:pPr>
            <w:r w:rsidRPr="00010C64">
              <w:rPr>
                <w:rFonts w:eastAsia="Calibri"/>
                <w:iCs/>
                <w:sz w:val="23"/>
                <w:szCs w:val="23"/>
                <w:lang w:eastAsia="en-US"/>
              </w:rPr>
              <w:t>324.330.168</w:t>
            </w:r>
          </w:p>
        </w:tc>
        <w:tc>
          <w:tcPr>
            <w:tcW w:w="1468" w:type="dxa"/>
            <w:vMerge w:val="restart"/>
            <w:vAlign w:val="center"/>
          </w:tcPr>
          <w:p w14:paraId="1BFCE638" w14:textId="77777777" w:rsidR="00010C64" w:rsidRPr="00010C64" w:rsidRDefault="00010C64" w:rsidP="00010C64">
            <w:pPr>
              <w:spacing w:before="60" w:after="60" w:line="283" w:lineRule="auto"/>
              <w:jc w:val="center"/>
              <w:rPr>
                <w:rFonts w:eastAsia="Calibri"/>
                <w:sz w:val="23"/>
                <w:szCs w:val="23"/>
                <w:lang w:eastAsia="en-US"/>
              </w:rPr>
            </w:pPr>
            <w:r w:rsidRPr="00010C64">
              <w:rPr>
                <w:bCs/>
                <w:iCs/>
                <w:sz w:val="23"/>
                <w:szCs w:val="23"/>
              </w:rPr>
              <w:t>64.000.000</w:t>
            </w:r>
          </w:p>
        </w:tc>
        <w:tc>
          <w:tcPr>
            <w:tcW w:w="1276" w:type="dxa"/>
            <w:vMerge w:val="restart"/>
            <w:vAlign w:val="center"/>
          </w:tcPr>
          <w:p w14:paraId="5018B16F"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iCs/>
                <w:sz w:val="23"/>
                <w:szCs w:val="23"/>
                <w:lang w:eastAsia="en-US"/>
              </w:rPr>
              <w:t>10.000.000</w:t>
            </w:r>
          </w:p>
        </w:tc>
        <w:tc>
          <w:tcPr>
            <w:tcW w:w="1134" w:type="dxa"/>
            <w:vMerge w:val="restart"/>
            <w:vAlign w:val="center"/>
          </w:tcPr>
          <w:p w14:paraId="5E5BC6EA" w14:textId="77777777" w:rsidR="00010C64" w:rsidRPr="00010C64" w:rsidRDefault="00010C64" w:rsidP="00010C64">
            <w:pPr>
              <w:spacing w:before="60" w:after="60" w:line="283" w:lineRule="auto"/>
              <w:jc w:val="center"/>
              <w:rPr>
                <w:rFonts w:eastAsia="Calibri"/>
                <w:sz w:val="23"/>
                <w:szCs w:val="23"/>
                <w:lang w:eastAsia="en-US"/>
              </w:rPr>
            </w:pPr>
            <w:r w:rsidRPr="00010C64">
              <w:rPr>
                <w:bCs/>
                <w:iCs/>
                <w:sz w:val="23"/>
                <w:szCs w:val="23"/>
              </w:rPr>
              <w:t>100.000</w:t>
            </w:r>
          </w:p>
        </w:tc>
      </w:tr>
      <w:tr w:rsidR="00010C64" w:rsidRPr="00010C64" w14:paraId="40DB1467" w14:textId="77777777" w:rsidTr="00FD7E0F">
        <w:trPr>
          <w:trHeight w:val="20"/>
        </w:trPr>
        <w:tc>
          <w:tcPr>
            <w:tcW w:w="608" w:type="dxa"/>
            <w:vAlign w:val="center"/>
          </w:tcPr>
          <w:p w14:paraId="2B7F1822"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sz w:val="23"/>
                <w:szCs w:val="23"/>
                <w:lang w:eastAsia="en-US"/>
              </w:rPr>
              <w:t>7</w:t>
            </w:r>
          </w:p>
        </w:tc>
        <w:tc>
          <w:tcPr>
            <w:tcW w:w="608" w:type="dxa"/>
            <w:vMerge/>
            <w:vAlign w:val="center"/>
          </w:tcPr>
          <w:p w14:paraId="45CD9357" w14:textId="77777777" w:rsidR="00010C64" w:rsidRPr="00010C64" w:rsidRDefault="00010C64" w:rsidP="00010C64">
            <w:pPr>
              <w:spacing w:before="60" w:after="60" w:line="283" w:lineRule="auto"/>
              <w:jc w:val="center"/>
              <w:rPr>
                <w:rFonts w:eastAsia="Calibri"/>
                <w:sz w:val="23"/>
                <w:szCs w:val="23"/>
                <w:lang w:eastAsia="en-US"/>
              </w:rPr>
            </w:pPr>
          </w:p>
        </w:tc>
        <w:tc>
          <w:tcPr>
            <w:tcW w:w="3689" w:type="dxa"/>
            <w:vAlign w:val="center"/>
          </w:tcPr>
          <w:p w14:paraId="7A9A49EB" w14:textId="77777777" w:rsidR="00010C64" w:rsidRPr="00010C64" w:rsidRDefault="00010C64" w:rsidP="00010C64">
            <w:pPr>
              <w:spacing w:before="60" w:after="60" w:line="283" w:lineRule="auto"/>
              <w:rPr>
                <w:rFonts w:eastAsia="Calibri"/>
                <w:bCs/>
                <w:iCs/>
                <w:sz w:val="23"/>
                <w:szCs w:val="23"/>
                <w:lang w:eastAsia="en-US"/>
              </w:rPr>
            </w:pPr>
            <w:r w:rsidRPr="00010C64">
              <w:rPr>
                <w:rFonts w:eastAsia="Calibri"/>
                <w:sz w:val="23"/>
                <w:szCs w:val="23"/>
                <w:lang w:eastAsia="en-US"/>
              </w:rPr>
              <w:t>Máy nâng kẹp hàng hiệu KOMATSU theo HĐ số 0000294</w:t>
            </w:r>
          </w:p>
        </w:tc>
        <w:tc>
          <w:tcPr>
            <w:tcW w:w="1560" w:type="dxa"/>
            <w:vMerge/>
            <w:vAlign w:val="center"/>
          </w:tcPr>
          <w:p w14:paraId="0C12A9FF" w14:textId="77777777" w:rsidR="00010C64" w:rsidRPr="00010C64" w:rsidRDefault="00010C64" w:rsidP="00010C64">
            <w:pPr>
              <w:spacing w:after="80" w:line="283" w:lineRule="auto"/>
              <w:jc w:val="center"/>
              <w:rPr>
                <w:rFonts w:eastAsia="Calibri"/>
                <w:bCs/>
                <w:iCs/>
                <w:sz w:val="23"/>
                <w:szCs w:val="23"/>
                <w:lang w:eastAsia="en-US"/>
              </w:rPr>
            </w:pPr>
          </w:p>
        </w:tc>
        <w:tc>
          <w:tcPr>
            <w:tcW w:w="1468" w:type="dxa"/>
            <w:vMerge/>
            <w:vAlign w:val="center"/>
          </w:tcPr>
          <w:p w14:paraId="43104539" w14:textId="77777777" w:rsidR="00010C64" w:rsidRPr="00010C64" w:rsidRDefault="00010C64" w:rsidP="00010C64">
            <w:pPr>
              <w:spacing w:after="80" w:line="283" w:lineRule="auto"/>
              <w:jc w:val="center"/>
              <w:rPr>
                <w:rFonts w:eastAsia="Calibri"/>
                <w:sz w:val="23"/>
                <w:szCs w:val="23"/>
                <w:lang w:eastAsia="en-US"/>
              </w:rPr>
            </w:pPr>
          </w:p>
        </w:tc>
        <w:tc>
          <w:tcPr>
            <w:tcW w:w="1276" w:type="dxa"/>
            <w:vMerge/>
            <w:vAlign w:val="center"/>
          </w:tcPr>
          <w:p w14:paraId="623C6E47" w14:textId="77777777" w:rsidR="00010C64" w:rsidRPr="00010C64" w:rsidRDefault="00010C64" w:rsidP="00010C64">
            <w:pPr>
              <w:spacing w:after="80" w:line="283" w:lineRule="auto"/>
              <w:jc w:val="center"/>
              <w:rPr>
                <w:rFonts w:eastAsia="Calibri"/>
                <w:sz w:val="23"/>
                <w:szCs w:val="23"/>
                <w:lang w:eastAsia="en-US"/>
              </w:rPr>
            </w:pPr>
          </w:p>
        </w:tc>
        <w:tc>
          <w:tcPr>
            <w:tcW w:w="1134" w:type="dxa"/>
            <w:vMerge/>
            <w:vAlign w:val="center"/>
          </w:tcPr>
          <w:p w14:paraId="435F7A13" w14:textId="77777777" w:rsidR="00010C64" w:rsidRPr="00010C64" w:rsidRDefault="00010C64" w:rsidP="00010C64">
            <w:pPr>
              <w:spacing w:after="80" w:line="283" w:lineRule="auto"/>
              <w:jc w:val="center"/>
              <w:rPr>
                <w:rFonts w:eastAsia="Calibri"/>
                <w:sz w:val="23"/>
                <w:szCs w:val="23"/>
                <w:lang w:eastAsia="en-US"/>
              </w:rPr>
            </w:pPr>
          </w:p>
        </w:tc>
      </w:tr>
      <w:tr w:rsidR="00010C64" w:rsidRPr="00010C64" w14:paraId="0FAEABAA" w14:textId="77777777" w:rsidTr="00FD7E0F">
        <w:trPr>
          <w:trHeight w:val="20"/>
        </w:trPr>
        <w:tc>
          <w:tcPr>
            <w:tcW w:w="608" w:type="dxa"/>
            <w:vAlign w:val="center"/>
          </w:tcPr>
          <w:p w14:paraId="2FAA83AB"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sz w:val="23"/>
                <w:szCs w:val="23"/>
                <w:lang w:eastAsia="en-US"/>
              </w:rPr>
              <w:t>8</w:t>
            </w:r>
          </w:p>
        </w:tc>
        <w:tc>
          <w:tcPr>
            <w:tcW w:w="608" w:type="dxa"/>
            <w:vMerge/>
            <w:vAlign w:val="center"/>
          </w:tcPr>
          <w:p w14:paraId="3B89FF34" w14:textId="77777777" w:rsidR="00010C64" w:rsidRPr="00010C64" w:rsidRDefault="00010C64" w:rsidP="00010C64">
            <w:pPr>
              <w:spacing w:before="60" w:after="60" w:line="283" w:lineRule="auto"/>
              <w:jc w:val="center"/>
              <w:rPr>
                <w:rFonts w:eastAsia="Calibri"/>
                <w:sz w:val="23"/>
                <w:szCs w:val="23"/>
                <w:lang w:eastAsia="en-US"/>
              </w:rPr>
            </w:pPr>
          </w:p>
        </w:tc>
        <w:tc>
          <w:tcPr>
            <w:tcW w:w="3689" w:type="dxa"/>
            <w:vAlign w:val="center"/>
          </w:tcPr>
          <w:p w14:paraId="38103DB1" w14:textId="77777777" w:rsidR="00010C64" w:rsidRPr="00010C64" w:rsidRDefault="00010C64" w:rsidP="00010C64">
            <w:pPr>
              <w:spacing w:before="60" w:after="60" w:line="283" w:lineRule="auto"/>
              <w:rPr>
                <w:rFonts w:eastAsia="Calibri"/>
                <w:sz w:val="23"/>
                <w:szCs w:val="23"/>
                <w:lang w:eastAsia="en-US"/>
              </w:rPr>
            </w:pPr>
            <w:r w:rsidRPr="00010C64">
              <w:rPr>
                <w:rFonts w:eastAsia="Calibri"/>
                <w:sz w:val="23"/>
                <w:szCs w:val="23"/>
                <w:lang w:eastAsia="en-US"/>
              </w:rPr>
              <w:t>Máy nâng theo HĐ số 0001494</w:t>
            </w:r>
          </w:p>
        </w:tc>
        <w:tc>
          <w:tcPr>
            <w:tcW w:w="1560" w:type="dxa"/>
            <w:vMerge/>
            <w:vAlign w:val="center"/>
          </w:tcPr>
          <w:p w14:paraId="621B73EF" w14:textId="77777777" w:rsidR="00010C64" w:rsidRPr="00010C64" w:rsidRDefault="00010C64" w:rsidP="00010C64">
            <w:pPr>
              <w:spacing w:after="80" w:line="283" w:lineRule="auto"/>
              <w:jc w:val="center"/>
              <w:rPr>
                <w:rFonts w:eastAsia="Calibri"/>
                <w:sz w:val="23"/>
                <w:szCs w:val="23"/>
                <w:lang w:eastAsia="en-US"/>
              </w:rPr>
            </w:pPr>
          </w:p>
        </w:tc>
        <w:tc>
          <w:tcPr>
            <w:tcW w:w="1468" w:type="dxa"/>
            <w:vMerge/>
            <w:vAlign w:val="center"/>
          </w:tcPr>
          <w:p w14:paraId="523B8059" w14:textId="77777777" w:rsidR="00010C64" w:rsidRPr="00010C64" w:rsidRDefault="00010C64" w:rsidP="00010C64">
            <w:pPr>
              <w:spacing w:after="80" w:line="283" w:lineRule="auto"/>
              <w:jc w:val="center"/>
              <w:rPr>
                <w:rFonts w:eastAsia="Calibri"/>
                <w:sz w:val="23"/>
                <w:szCs w:val="23"/>
                <w:lang w:eastAsia="en-US"/>
              </w:rPr>
            </w:pPr>
          </w:p>
        </w:tc>
        <w:tc>
          <w:tcPr>
            <w:tcW w:w="1276" w:type="dxa"/>
            <w:vMerge/>
            <w:vAlign w:val="center"/>
          </w:tcPr>
          <w:p w14:paraId="4FB7BF15" w14:textId="77777777" w:rsidR="00010C64" w:rsidRPr="00010C64" w:rsidRDefault="00010C64" w:rsidP="00010C64">
            <w:pPr>
              <w:spacing w:after="80" w:line="283" w:lineRule="auto"/>
              <w:jc w:val="center"/>
              <w:rPr>
                <w:rFonts w:eastAsia="Calibri"/>
                <w:sz w:val="23"/>
                <w:szCs w:val="23"/>
                <w:lang w:eastAsia="en-US"/>
              </w:rPr>
            </w:pPr>
          </w:p>
        </w:tc>
        <w:tc>
          <w:tcPr>
            <w:tcW w:w="1134" w:type="dxa"/>
            <w:vMerge/>
            <w:vAlign w:val="center"/>
          </w:tcPr>
          <w:p w14:paraId="572A5FEB" w14:textId="77777777" w:rsidR="00010C64" w:rsidRPr="00010C64" w:rsidRDefault="00010C64" w:rsidP="00010C64">
            <w:pPr>
              <w:spacing w:after="80" w:line="283" w:lineRule="auto"/>
              <w:jc w:val="center"/>
              <w:rPr>
                <w:rFonts w:eastAsia="Calibri"/>
                <w:sz w:val="23"/>
                <w:szCs w:val="23"/>
                <w:lang w:eastAsia="en-US"/>
              </w:rPr>
            </w:pPr>
          </w:p>
        </w:tc>
      </w:tr>
      <w:tr w:rsidR="00010C64" w:rsidRPr="00010C64" w14:paraId="78DF589F" w14:textId="77777777" w:rsidTr="00FD7E0F">
        <w:trPr>
          <w:trHeight w:val="20"/>
        </w:trPr>
        <w:tc>
          <w:tcPr>
            <w:tcW w:w="608" w:type="dxa"/>
            <w:vAlign w:val="center"/>
          </w:tcPr>
          <w:p w14:paraId="3AFC64D0" w14:textId="77777777" w:rsidR="00010C64" w:rsidRPr="00010C64" w:rsidRDefault="00010C64" w:rsidP="00010C64">
            <w:pPr>
              <w:spacing w:before="60" w:after="60" w:line="283" w:lineRule="auto"/>
              <w:jc w:val="center"/>
              <w:rPr>
                <w:rFonts w:eastAsia="Calibri"/>
                <w:sz w:val="23"/>
                <w:szCs w:val="23"/>
                <w:lang w:eastAsia="en-US"/>
              </w:rPr>
            </w:pPr>
            <w:r w:rsidRPr="00010C64">
              <w:rPr>
                <w:rFonts w:eastAsia="Calibri"/>
                <w:sz w:val="23"/>
                <w:szCs w:val="23"/>
                <w:lang w:eastAsia="en-US"/>
              </w:rPr>
              <w:t>9</w:t>
            </w:r>
          </w:p>
        </w:tc>
        <w:tc>
          <w:tcPr>
            <w:tcW w:w="608" w:type="dxa"/>
            <w:vMerge/>
            <w:vAlign w:val="center"/>
          </w:tcPr>
          <w:p w14:paraId="7FB4410C" w14:textId="77777777" w:rsidR="00010C64" w:rsidRPr="00010C64" w:rsidRDefault="00010C64" w:rsidP="00010C64">
            <w:pPr>
              <w:spacing w:before="60" w:after="60" w:line="283" w:lineRule="auto"/>
              <w:jc w:val="center"/>
              <w:rPr>
                <w:rFonts w:eastAsia="Calibri"/>
                <w:sz w:val="23"/>
                <w:szCs w:val="23"/>
                <w:lang w:eastAsia="en-US"/>
              </w:rPr>
            </w:pPr>
          </w:p>
        </w:tc>
        <w:tc>
          <w:tcPr>
            <w:tcW w:w="3689" w:type="dxa"/>
            <w:vAlign w:val="center"/>
          </w:tcPr>
          <w:p w14:paraId="4130601F" w14:textId="77777777" w:rsidR="00010C64" w:rsidRPr="00010C64" w:rsidRDefault="00010C64" w:rsidP="00010C64">
            <w:pPr>
              <w:spacing w:before="60" w:after="60" w:line="283" w:lineRule="auto"/>
              <w:rPr>
                <w:rFonts w:eastAsia="Calibri"/>
                <w:sz w:val="23"/>
                <w:szCs w:val="23"/>
                <w:lang w:eastAsia="en-US"/>
              </w:rPr>
            </w:pPr>
            <w:r w:rsidRPr="00010C64">
              <w:rPr>
                <w:rFonts w:eastAsia="Calibri"/>
                <w:sz w:val="23"/>
                <w:szCs w:val="23"/>
                <w:lang w:eastAsia="en-US"/>
              </w:rPr>
              <w:t>Máy nâng hàng hiệu MITSUBISHI theo HĐ số 0000296</w:t>
            </w:r>
          </w:p>
        </w:tc>
        <w:tc>
          <w:tcPr>
            <w:tcW w:w="1560" w:type="dxa"/>
            <w:vMerge/>
            <w:vAlign w:val="center"/>
          </w:tcPr>
          <w:p w14:paraId="77E45B5A" w14:textId="77777777" w:rsidR="00010C64" w:rsidRPr="00010C64" w:rsidRDefault="00010C64" w:rsidP="00010C64">
            <w:pPr>
              <w:spacing w:after="80" w:line="283" w:lineRule="auto"/>
              <w:jc w:val="center"/>
              <w:rPr>
                <w:rFonts w:eastAsia="Calibri"/>
                <w:sz w:val="23"/>
                <w:szCs w:val="23"/>
                <w:lang w:eastAsia="en-US"/>
              </w:rPr>
            </w:pPr>
          </w:p>
        </w:tc>
        <w:tc>
          <w:tcPr>
            <w:tcW w:w="1468" w:type="dxa"/>
            <w:vMerge/>
            <w:vAlign w:val="center"/>
          </w:tcPr>
          <w:p w14:paraId="0E918096" w14:textId="77777777" w:rsidR="00010C64" w:rsidRPr="00010C64" w:rsidRDefault="00010C64" w:rsidP="00010C64">
            <w:pPr>
              <w:spacing w:after="80" w:line="283" w:lineRule="auto"/>
              <w:jc w:val="center"/>
              <w:rPr>
                <w:rFonts w:eastAsia="Calibri"/>
                <w:sz w:val="23"/>
                <w:szCs w:val="23"/>
                <w:lang w:eastAsia="en-US"/>
              </w:rPr>
            </w:pPr>
          </w:p>
        </w:tc>
        <w:tc>
          <w:tcPr>
            <w:tcW w:w="1276" w:type="dxa"/>
            <w:vMerge/>
            <w:vAlign w:val="center"/>
          </w:tcPr>
          <w:p w14:paraId="7EFEBBC0" w14:textId="77777777" w:rsidR="00010C64" w:rsidRPr="00010C64" w:rsidRDefault="00010C64" w:rsidP="00010C64">
            <w:pPr>
              <w:spacing w:after="80" w:line="283" w:lineRule="auto"/>
              <w:jc w:val="center"/>
              <w:rPr>
                <w:rFonts w:eastAsia="Calibri"/>
                <w:sz w:val="23"/>
                <w:szCs w:val="23"/>
                <w:lang w:eastAsia="en-US"/>
              </w:rPr>
            </w:pPr>
          </w:p>
        </w:tc>
        <w:tc>
          <w:tcPr>
            <w:tcW w:w="1134" w:type="dxa"/>
            <w:vMerge/>
            <w:vAlign w:val="center"/>
          </w:tcPr>
          <w:p w14:paraId="0D75BCF9" w14:textId="77777777" w:rsidR="00010C64" w:rsidRPr="00010C64" w:rsidRDefault="00010C64" w:rsidP="00010C64">
            <w:pPr>
              <w:spacing w:after="80" w:line="283" w:lineRule="auto"/>
              <w:jc w:val="center"/>
              <w:rPr>
                <w:rFonts w:eastAsia="Calibri"/>
                <w:sz w:val="23"/>
                <w:szCs w:val="23"/>
                <w:lang w:eastAsia="en-US"/>
              </w:rPr>
            </w:pPr>
          </w:p>
        </w:tc>
      </w:tr>
    </w:tbl>
    <w:p w14:paraId="04C1EE77" w14:textId="27E486B9" w:rsidR="00010C64" w:rsidRDefault="00010C64" w:rsidP="00B141FA">
      <w:pPr>
        <w:spacing w:before="240" w:after="80" w:line="288" w:lineRule="auto"/>
        <w:ind w:firstLine="567"/>
        <w:jc w:val="both"/>
        <w:rPr>
          <w:rFonts w:eastAsia="Calibri"/>
          <w:i/>
          <w:spacing w:val="3"/>
          <w:sz w:val="26"/>
          <w:szCs w:val="26"/>
          <w:shd w:val="clear" w:color="auto" w:fill="FFFFFF"/>
          <w:lang w:eastAsia="en-US"/>
        </w:rPr>
      </w:pPr>
      <w:r w:rsidRPr="00010C64">
        <w:rPr>
          <w:rFonts w:eastAsia="Calibri"/>
          <w:i/>
          <w:spacing w:val="3"/>
          <w:sz w:val="26"/>
          <w:szCs w:val="26"/>
          <w:shd w:val="clear" w:color="auto" w:fill="FFFFFF"/>
          <w:lang w:eastAsia="en-US"/>
        </w:rPr>
        <w:lastRenderedPageBreak/>
        <w:t>Giá trên chưa bao gồm các loại thuế, phí, các nghĩa vụ tài chính khác. Người mua được tài sản có trách nhiệm nộp các loại thuế, phí, các nghĩa vụ tài chính khác;</w:t>
      </w:r>
      <w:r w:rsidRPr="00010C64">
        <w:rPr>
          <w:rFonts w:eastAsia="Calibri"/>
          <w:sz w:val="26"/>
          <w:szCs w:val="26"/>
          <w:lang w:eastAsia="en-US"/>
        </w:rPr>
        <w:t xml:space="preserve"> </w:t>
      </w:r>
      <w:r w:rsidRPr="00010C64">
        <w:rPr>
          <w:rFonts w:eastAsia="Calibri"/>
          <w:i/>
          <w:spacing w:val="3"/>
          <w:sz w:val="26"/>
          <w:szCs w:val="26"/>
          <w:shd w:val="clear" w:color="auto" w:fill="FFFFFF"/>
          <w:lang w:eastAsia="en-US"/>
        </w:rPr>
        <w:t>chi phí vận chuyển tài sản sau khi trúng đấu giá và trực tiếp liên hệ cơ quan Nhà nước có thẩm quyền để thực hiện việc chuyển quyền sở hữu, quyền sử dụng tài sản theo quy định của pháp luật.</w:t>
      </w:r>
    </w:p>
    <w:p w14:paraId="6B5BFCBC" w14:textId="358E2616" w:rsidR="00D2482F" w:rsidRPr="00B141FA" w:rsidRDefault="00D2482F" w:rsidP="00B141FA">
      <w:pPr>
        <w:spacing w:before="240" w:after="80" w:line="288" w:lineRule="auto"/>
        <w:ind w:firstLine="567"/>
        <w:jc w:val="both"/>
        <w:rPr>
          <w:rFonts w:eastAsia="Calibri"/>
          <w:i/>
          <w:spacing w:val="3"/>
          <w:sz w:val="26"/>
          <w:szCs w:val="26"/>
          <w:shd w:val="clear" w:color="auto" w:fill="FFFFFF"/>
          <w:lang w:eastAsia="en-US"/>
        </w:rPr>
      </w:pPr>
      <w:r w:rsidRPr="00D2482F">
        <w:rPr>
          <w:rFonts w:eastAsia="Calibri"/>
          <w:b/>
          <w:bCs/>
          <w:i/>
          <w:spacing w:val="3"/>
          <w:sz w:val="26"/>
          <w:szCs w:val="26"/>
          <w:shd w:val="clear" w:color="auto" w:fill="FFFFFF"/>
          <w:lang w:eastAsia="en-US"/>
        </w:rPr>
        <w:t>Lưu ý:</w:t>
      </w:r>
      <w:r w:rsidRPr="00D2482F">
        <w:rPr>
          <w:rFonts w:eastAsia="Calibri"/>
          <w:i/>
          <w:spacing w:val="3"/>
          <w:sz w:val="26"/>
          <w:szCs w:val="26"/>
          <w:shd w:val="clear" w:color="auto" w:fill="FFFFFF"/>
          <w:lang w:eastAsia="en-US"/>
        </w:rPr>
        <w:t xml:space="preserve"> Tiền mua hồ sơ tham gia đấu giá không được hoàn trả lại trừ trường hợp phiên đấu giá không tổ chức.</w:t>
      </w:r>
    </w:p>
    <w:p w14:paraId="42A80BD9" w14:textId="4794065D" w:rsidR="009F5C18" w:rsidRPr="00010C64" w:rsidRDefault="003853B8" w:rsidP="00010C64">
      <w:pPr>
        <w:pStyle w:val="ListParagraph"/>
        <w:spacing w:before="240" w:after="60"/>
        <w:ind w:left="0" w:firstLine="567"/>
        <w:contextualSpacing w:val="0"/>
        <w:jc w:val="both"/>
        <w:rPr>
          <w:rFonts w:ascii="Times New Roman" w:eastAsia="Times New Roman" w:hAnsi="Times New Roman" w:cs="Times New Roman"/>
          <w:sz w:val="26"/>
          <w:szCs w:val="26"/>
        </w:rPr>
      </w:pPr>
      <w:r w:rsidRPr="00010C64">
        <w:rPr>
          <w:rFonts w:ascii="Times New Roman" w:eastAsia="Times New Roman" w:hAnsi="Times New Roman" w:cs="Times New Roman"/>
          <w:b/>
          <w:bCs/>
          <w:sz w:val="26"/>
          <w:szCs w:val="26"/>
        </w:rPr>
        <w:t xml:space="preserve">2. Nguồn gốc của tài sản: </w:t>
      </w:r>
      <w:r w:rsidR="00010C64" w:rsidRPr="00010C64">
        <w:rPr>
          <w:rFonts w:ascii="Times New Roman" w:eastAsia="Times New Roman" w:hAnsi="Times New Roman" w:cs="Times New Roman"/>
          <w:sz w:val="26"/>
          <w:szCs w:val="26"/>
        </w:rPr>
        <w:t>Là tài sản thế chấp hợp pháp để đảm bảo thực hiện nghĩa vụ trả nợ của Công ty Cổ phần Đầu tư Xây lắp và Thương mại Hoàng Long tại Ngân hàng TMCP Ngoại thương Việt Nam - Chi nhánh Bắc Hà Tĩnh.</w:t>
      </w:r>
    </w:p>
    <w:p w14:paraId="1DC74116" w14:textId="216EF79C" w:rsidR="003853B8" w:rsidRPr="00010C64" w:rsidRDefault="007D5BD3" w:rsidP="00D9761C">
      <w:pPr>
        <w:tabs>
          <w:tab w:val="left" w:pos="567"/>
        </w:tabs>
        <w:spacing w:after="60" w:line="288" w:lineRule="auto"/>
        <w:jc w:val="both"/>
        <w:rPr>
          <w:rFonts w:eastAsia="Times New Roman"/>
          <w:b/>
          <w:bCs/>
          <w:sz w:val="26"/>
          <w:szCs w:val="26"/>
        </w:rPr>
      </w:pPr>
      <w:r w:rsidRPr="00010C64">
        <w:rPr>
          <w:rFonts w:eastAsia="Times New Roman"/>
          <w:sz w:val="26"/>
          <w:szCs w:val="26"/>
        </w:rPr>
        <w:tab/>
      </w:r>
      <w:r w:rsidR="003853B8" w:rsidRPr="00010C64">
        <w:rPr>
          <w:rFonts w:eastAsia="Times New Roman"/>
          <w:b/>
          <w:bCs/>
          <w:sz w:val="26"/>
          <w:szCs w:val="26"/>
        </w:rPr>
        <w:t xml:space="preserve">3. Căn cứ pháp lý: </w:t>
      </w:r>
    </w:p>
    <w:p w14:paraId="6F93E376" w14:textId="77777777" w:rsidR="00010C64" w:rsidRPr="00010C64" w:rsidRDefault="00010C64" w:rsidP="00010C64">
      <w:pPr>
        <w:spacing w:after="60" w:line="278" w:lineRule="auto"/>
        <w:ind w:firstLine="567"/>
        <w:jc w:val="both"/>
        <w:rPr>
          <w:i/>
          <w:sz w:val="26"/>
          <w:szCs w:val="26"/>
        </w:rPr>
      </w:pPr>
      <w:r w:rsidRPr="00010C64">
        <w:rPr>
          <w:i/>
          <w:sz w:val="26"/>
          <w:szCs w:val="26"/>
        </w:rPr>
        <w:t xml:space="preserve">- Căn cứ các </w:t>
      </w:r>
      <w:r w:rsidRPr="00010C64">
        <w:rPr>
          <w:bCs/>
          <w:i/>
          <w:sz w:val="26"/>
          <w:szCs w:val="26"/>
        </w:rPr>
        <w:t xml:space="preserve">Hợp đồng cấp tín dụng ký giữa Ngân hàng TMCP Ngoại thương Việt Nam-Chi nhánh Bắc Hà Tĩnh và Khách hàng Công ty Cổ phần Đầu tư Xây lắp và Thương mại Hoàng Long; </w:t>
      </w:r>
    </w:p>
    <w:p w14:paraId="178A11EB" w14:textId="77777777" w:rsidR="00010C64" w:rsidRPr="00010C64" w:rsidRDefault="00010C64" w:rsidP="00010C64">
      <w:pPr>
        <w:spacing w:after="60" w:line="278" w:lineRule="auto"/>
        <w:ind w:firstLine="567"/>
        <w:jc w:val="both"/>
        <w:rPr>
          <w:bCs/>
          <w:i/>
          <w:sz w:val="26"/>
          <w:szCs w:val="26"/>
        </w:rPr>
      </w:pPr>
      <w:r w:rsidRPr="00010C64">
        <w:rPr>
          <w:bCs/>
          <w:i/>
          <w:sz w:val="26"/>
          <w:szCs w:val="26"/>
        </w:rPr>
        <w:t>- Căn cứ Hợp đồng Thế chấp số 50/2013/NHD ngày 04/06/2013 ký giữa Ngân hàng TMCP Ngoại thương Việt Nam - Chi nhánh Bắc Hà Tĩnh và Khách hàng Công ty Cổ phần Đầu tư Xây lắp và Thương mại Hoàng Long;</w:t>
      </w:r>
    </w:p>
    <w:p w14:paraId="26DE1527" w14:textId="77777777" w:rsidR="00010C64" w:rsidRPr="00010C64" w:rsidRDefault="00010C64" w:rsidP="00010C64">
      <w:pPr>
        <w:spacing w:after="60" w:line="278" w:lineRule="auto"/>
        <w:ind w:firstLine="567"/>
        <w:jc w:val="both"/>
        <w:rPr>
          <w:bCs/>
          <w:i/>
          <w:sz w:val="26"/>
          <w:szCs w:val="26"/>
        </w:rPr>
      </w:pPr>
      <w:r w:rsidRPr="00010C64">
        <w:rPr>
          <w:bCs/>
          <w:i/>
          <w:sz w:val="26"/>
          <w:szCs w:val="26"/>
        </w:rPr>
        <w:t>- Căn cứ Hợp đồng Thế chấp số 02/2014/HL ngày 30/09/2014 ký giữa Ngân hàng TMCP Ngoại thương Việt Nam - Chi nhánh Bắc Hà Tĩnh và Khách hàng Công ty Cổ phần Đầu tư Xây lắp và Thương mại Hoàng Long;</w:t>
      </w:r>
    </w:p>
    <w:p w14:paraId="30DE3629" w14:textId="77777777" w:rsidR="00010C64" w:rsidRPr="00010C64" w:rsidRDefault="00010C64" w:rsidP="00010C64">
      <w:pPr>
        <w:spacing w:after="60" w:line="278" w:lineRule="auto"/>
        <w:ind w:firstLine="567"/>
        <w:jc w:val="both"/>
        <w:rPr>
          <w:bCs/>
          <w:i/>
          <w:sz w:val="26"/>
          <w:szCs w:val="26"/>
        </w:rPr>
      </w:pPr>
      <w:r w:rsidRPr="00010C64">
        <w:rPr>
          <w:bCs/>
          <w:i/>
          <w:sz w:val="26"/>
          <w:szCs w:val="26"/>
        </w:rPr>
        <w:t>- Căn cứ Hợp đồng Thế chấp số 034/2016/VCB/TC-HL.03 ngày 13/10/2016 ký giữa Ngân hàng TMCP Ngoại thương Việt Nam - Chi nhánh Bắc Hà Tĩnh và Khách hàng Công ty Cổ phần Đầu tư Xây lắp và Thương mại Hoàng Long;</w:t>
      </w:r>
    </w:p>
    <w:p w14:paraId="57D09730" w14:textId="77777777" w:rsidR="00010C64" w:rsidRPr="00010C64" w:rsidRDefault="00010C64" w:rsidP="00010C64">
      <w:pPr>
        <w:spacing w:after="60" w:line="278" w:lineRule="auto"/>
        <w:ind w:firstLine="567"/>
        <w:jc w:val="both"/>
        <w:rPr>
          <w:bCs/>
          <w:i/>
          <w:sz w:val="26"/>
          <w:szCs w:val="26"/>
        </w:rPr>
      </w:pPr>
      <w:r w:rsidRPr="00010C64">
        <w:rPr>
          <w:bCs/>
          <w:i/>
          <w:sz w:val="26"/>
          <w:szCs w:val="26"/>
        </w:rPr>
        <w:t>- Căn cứ Hợp đồng Thế chấp số 034/2019/TC/HL.01 ngày 26/11/2019 ký giữa Ngân hàng TMCP Ngoại thương Việt Nam - Chi nhánh Bắc Hà Tĩnh và Khách hàng Công ty Cổ phần Đầu tư Xây lắp và Thương mại Hoàng Long;</w:t>
      </w:r>
    </w:p>
    <w:p w14:paraId="7844F389" w14:textId="77777777" w:rsidR="00010C64" w:rsidRPr="00010C64" w:rsidRDefault="00010C64" w:rsidP="00010C64">
      <w:pPr>
        <w:spacing w:after="60" w:line="278" w:lineRule="auto"/>
        <w:ind w:firstLine="567"/>
        <w:jc w:val="both"/>
        <w:rPr>
          <w:i/>
          <w:sz w:val="26"/>
          <w:szCs w:val="26"/>
        </w:rPr>
      </w:pPr>
      <w:r w:rsidRPr="00010C64">
        <w:rPr>
          <w:bCs/>
          <w:i/>
          <w:sz w:val="26"/>
          <w:szCs w:val="26"/>
        </w:rPr>
        <w:t xml:space="preserve">- Căn cứ Hợp đồng Thế chấp số 034/2019/TC/HL.02 ngày 26/11/2019 ký giữa Ngân hàng TMCP Ngoại thương Việt Nam - Chi nhánh Bắc Hà Tĩnh và Khách hàng Công ty Cổ phần Đầu tư Xây lắp và Thương mại Hoàng Long; </w:t>
      </w:r>
    </w:p>
    <w:p w14:paraId="083FCC94" w14:textId="77777777" w:rsidR="00010C64" w:rsidRPr="00010C64" w:rsidRDefault="00010C64" w:rsidP="00010C64">
      <w:pPr>
        <w:spacing w:after="60" w:line="278" w:lineRule="auto"/>
        <w:ind w:firstLineChars="213" w:firstLine="545"/>
        <w:jc w:val="both"/>
        <w:rPr>
          <w:rFonts w:eastAsia="Times New Roman"/>
          <w:i/>
          <w:iCs/>
          <w:spacing w:val="-4"/>
          <w:sz w:val="26"/>
          <w:szCs w:val="26"/>
        </w:rPr>
      </w:pPr>
      <w:r w:rsidRPr="00010C64">
        <w:rPr>
          <w:rFonts w:eastAsia="Times New Roman"/>
          <w:i/>
          <w:iCs/>
          <w:spacing w:val="-4"/>
          <w:sz w:val="26"/>
          <w:szCs w:val="26"/>
        </w:rPr>
        <w:t>- Thỏa thuận xử lý tài sản bảo đảm theo phương thức bán đấu giá ngày 12 tháng 8  năm 2024 giữa Ngân hàng TMCP Ngoại thương Việt Nam (Vietcombank) - Chi nhánh Bắc Hà Tĩnh và Công ty Cổ phần Đầu tư Xây lắp và Thương mại Hoàng Long;</w:t>
      </w:r>
    </w:p>
    <w:p w14:paraId="1297FC58" w14:textId="77777777" w:rsidR="00010C64" w:rsidRPr="00010C64" w:rsidRDefault="00010C64" w:rsidP="00010C64">
      <w:pPr>
        <w:spacing w:after="60" w:line="278" w:lineRule="auto"/>
        <w:ind w:firstLineChars="213" w:firstLine="545"/>
        <w:jc w:val="both"/>
        <w:rPr>
          <w:rFonts w:eastAsia="Times New Roman"/>
          <w:i/>
          <w:iCs/>
          <w:spacing w:val="-4"/>
          <w:sz w:val="26"/>
          <w:szCs w:val="26"/>
        </w:rPr>
      </w:pPr>
      <w:r w:rsidRPr="00010C64">
        <w:rPr>
          <w:rFonts w:eastAsia="Times New Roman"/>
          <w:i/>
          <w:iCs/>
          <w:spacing w:val="-4"/>
          <w:sz w:val="26"/>
          <w:szCs w:val="26"/>
        </w:rPr>
        <w:t>- Hoá đơn số 0000182 do Công ty Cổ phần Cơ khí và vật liệu xây dựng Thanh Phúc phát hành ngày 13 tháng 4 năm 2012;</w:t>
      </w:r>
    </w:p>
    <w:p w14:paraId="6BB886BF" w14:textId="77777777" w:rsidR="00010C64" w:rsidRPr="00010C64" w:rsidRDefault="00010C64" w:rsidP="00010C64">
      <w:pPr>
        <w:spacing w:after="60" w:line="278" w:lineRule="auto"/>
        <w:ind w:firstLineChars="213" w:firstLine="545"/>
        <w:jc w:val="both"/>
        <w:rPr>
          <w:rFonts w:eastAsia="Times New Roman"/>
          <w:i/>
          <w:iCs/>
          <w:spacing w:val="-4"/>
          <w:sz w:val="26"/>
          <w:szCs w:val="26"/>
        </w:rPr>
      </w:pPr>
      <w:r w:rsidRPr="00010C64">
        <w:rPr>
          <w:rFonts w:eastAsia="Times New Roman"/>
          <w:i/>
          <w:iCs/>
          <w:spacing w:val="-4"/>
          <w:sz w:val="26"/>
          <w:szCs w:val="26"/>
        </w:rPr>
        <w:t>- Hoá đơn số 0000245 do Công ty Cổ phần Cơ khí và vật liệu xây dựng Thanh Phúc phát hành ngày 16 tháng 10 năm 2012;</w:t>
      </w:r>
    </w:p>
    <w:p w14:paraId="211631DE" w14:textId="77777777" w:rsidR="00010C64" w:rsidRPr="00010C64" w:rsidRDefault="00010C64" w:rsidP="00010C64">
      <w:pPr>
        <w:spacing w:after="60" w:line="278" w:lineRule="auto"/>
        <w:ind w:firstLineChars="213" w:firstLine="545"/>
        <w:jc w:val="both"/>
        <w:rPr>
          <w:rFonts w:eastAsia="Times New Roman"/>
          <w:i/>
          <w:iCs/>
          <w:spacing w:val="-4"/>
          <w:sz w:val="26"/>
          <w:szCs w:val="26"/>
        </w:rPr>
      </w:pPr>
      <w:r w:rsidRPr="00010C64">
        <w:rPr>
          <w:rFonts w:eastAsia="Times New Roman"/>
          <w:i/>
          <w:iCs/>
          <w:spacing w:val="-4"/>
          <w:sz w:val="26"/>
          <w:szCs w:val="26"/>
        </w:rPr>
        <w:t>- Hoá đơn số 0001494 do Công ty Cổ phần Cổ phần tổng hợp thiết bị điện máy Minh Hiền phát hành ngày 10 tháng 5 năm 2012;</w:t>
      </w:r>
    </w:p>
    <w:p w14:paraId="6B83DB73" w14:textId="77777777" w:rsidR="00010C64" w:rsidRPr="00010C64" w:rsidRDefault="00010C64" w:rsidP="00010C64">
      <w:pPr>
        <w:spacing w:after="60" w:line="278" w:lineRule="auto"/>
        <w:ind w:firstLineChars="213" w:firstLine="545"/>
        <w:jc w:val="both"/>
        <w:rPr>
          <w:rFonts w:eastAsia="Times New Roman"/>
          <w:i/>
          <w:iCs/>
          <w:spacing w:val="-4"/>
          <w:sz w:val="26"/>
          <w:szCs w:val="26"/>
        </w:rPr>
      </w:pPr>
      <w:r w:rsidRPr="00010C64">
        <w:rPr>
          <w:rFonts w:eastAsia="Times New Roman"/>
          <w:i/>
          <w:iCs/>
          <w:spacing w:val="-4"/>
          <w:sz w:val="26"/>
          <w:szCs w:val="26"/>
        </w:rPr>
        <w:lastRenderedPageBreak/>
        <w:t>- Hoá đơn số 0001250 do Công ty Cổ phần Cổ phần tổng hợp thiết bị điện máy Minh Hiền phát hành ngày 10 tháng 9 năm 2014;</w:t>
      </w:r>
    </w:p>
    <w:p w14:paraId="3C86C7C2" w14:textId="77777777" w:rsidR="00010C64" w:rsidRPr="00010C64" w:rsidRDefault="00010C64" w:rsidP="00010C64">
      <w:pPr>
        <w:spacing w:after="60" w:line="278" w:lineRule="auto"/>
        <w:ind w:firstLineChars="213" w:firstLine="545"/>
        <w:jc w:val="both"/>
        <w:rPr>
          <w:rFonts w:eastAsia="Times New Roman"/>
          <w:i/>
          <w:iCs/>
          <w:spacing w:val="-4"/>
          <w:sz w:val="26"/>
          <w:szCs w:val="26"/>
        </w:rPr>
      </w:pPr>
      <w:r w:rsidRPr="00010C64">
        <w:rPr>
          <w:rFonts w:eastAsia="Times New Roman"/>
          <w:i/>
          <w:iCs/>
          <w:spacing w:val="-4"/>
          <w:sz w:val="26"/>
          <w:szCs w:val="26"/>
        </w:rPr>
        <w:t>- Hoá đơn số 0000420 do Công ty Cổ phần Cổ phần tổng hợp thiết bị điện máy Minh Hiền phát hành ngày 18 tháng 9 năm 2014;</w:t>
      </w:r>
    </w:p>
    <w:p w14:paraId="19AA366B" w14:textId="77777777" w:rsidR="00010C64" w:rsidRPr="00010C64" w:rsidRDefault="00010C64" w:rsidP="00010C64">
      <w:pPr>
        <w:spacing w:after="60" w:line="278" w:lineRule="auto"/>
        <w:ind w:firstLineChars="213" w:firstLine="545"/>
        <w:jc w:val="both"/>
        <w:rPr>
          <w:rFonts w:eastAsia="Times New Roman"/>
          <w:i/>
          <w:iCs/>
          <w:spacing w:val="-4"/>
          <w:sz w:val="26"/>
          <w:szCs w:val="26"/>
        </w:rPr>
      </w:pPr>
      <w:r w:rsidRPr="00010C64">
        <w:rPr>
          <w:rFonts w:eastAsia="Times New Roman"/>
          <w:i/>
          <w:iCs/>
          <w:spacing w:val="-4"/>
          <w:sz w:val="26"/>
          <w:szCs w:val="26"/>
        </w:rPr>
        <w:t>- Hoá đơn số 0000287 do Công ty Cổ phần Cơ khí và vật liệu xây dựng Thanh Phúc phát hành ngày 25 tháng 02 năm 2014;</w:t>
      </w:r>
    </w:p>
    <w:p w14:paraId="31F671A7" w14:textId="77777777" w:rsidR="00010C64" w:rsidRPr="00010C64" w:rsidRDefault="00010C64" w:rsidP="00010C64">
      <w:pPr>
        <w:spacing w:after="60" w:line="278" w:lineRule="auto"/>
        <w:ind w:firstLineChars="213" w:firstLine="545"/>
        <w:jc w:val="both"/>
        <w:rPr>
          <w:rFonts w:eastAsia="Times New Roman"/>
          <w:i/>
          <w:iCs/>
          <w:spacing w:val="-4"/>
          <w:sz w:val="26"/>
          <w:szCs w:val="26"/>
        </w:rPr>
      </w:pPr>
      <w:r w:rsidRPr="00010C64">
        <w:rPr>
          <w:rFonts w:eastAsia="Times New Roman"/>
          <w:i/>
          <w:iCs/>
          <w:spacing w:val="-4"/>
          <w:sz w:val="26"/>
          <w:szCs w:val="26"/>
        </w:rPr>
        <w:t>- Hoá đơn số 0000294 do CTCP Điện máy Nghệ An phát hành ngày 06 tháng 9 năm 2016;</w:t>
      </w:r>
    </w:p>
    <w:p w14:paraId="5672D1C8" w14:textId="77777777" w:rsidR="00010C64" w:rsidRPr="00010C64" w:rsidRDefault="00010C64" w:rsidP="00010C64">
      <w:pPr>
        <w:spacing w:after="60" w:line="278" w:lineRule="auto"/>
        <w:ind w:firstLineChars="213" w:firstLine="545"/>
        <w:jc w:val="both"/>
        <w:rPr>
          <w:rFonts w:eastAsia="Times New Roman"/>
          <w:i/>
          <w:iCs/>
          <w:spacing w:val="-4"/>
          <w:sz w:val="26"/>
          <w:szCs w:val="26"/>
        </w:rPr>
      </w:pPr>
      <w:r w:rsidRPr="00010C64">
        <w:rPr>
          <w:rFonts w:eastAsia="Times New Roman"/>
          <w:i/>
          <w:iCs/>
          <w:spacing w:val="-4"/>
          <w:sz w:val="26"/>
          <w:szCs w:val="26"/>
        </w:rPr>
        <w:t>- Hoá đơn số 0000296 do CTCP Điện máy Nghệ An phát hành ngày 07 tháng 9 năm 2016;</w:t>
      </w:r>
    </w:p>
    <w:p w14:paraId="0DE6D5C1" w14:textId="77777777" w:rsidR="00010C64" w:rsidRPr="00010C64" w:rsidRDefault="00010C64" w:rsidP="00010C64">
      <w:pPr>
        <w:spacing w:after="60" w:line="278" w:lineRule="auto"/>
        <w:ind w:firstLine="567"/>
        <w:jc w:val="both"/>
        <w:rPr>
          <w:bCs/>
          <w:i/>
          <w:sz w:val="26"/>
          <w:szCs w:val="26"/>
        </w:rPr>
      </w:pPr>
      <w:r w:rsidRPr="00010C64">
        <w:rPr>
          <w:bCs/>
          <w:sz w:val="26"/>
          <w:szCs w:val="26"/>
        </w:rPr>
        <w:t xml:space="preserve">- </w:t>
      </w:r>
      <w:r w:rsidRPr="00010C64">
        <w:rPr>
          <w:bCs/>
          <w:i/>
          <w:sz w:val="26"/>
          <w:szCs w:val="26"/>
        </w:rPr>
        <w:t>Giấy chứng nhận đăng ký xe ô tô số 006895, biển kiểm soát 38C-070.14 do phòng Cảnh sát giao thông – Công an tỉnh Hà Tĩnh cấp ngày 05 tháng 8 năm 2015 mang tên Công ty Cổ phần Đầu tư Xây dựng và Thương mại Hoàng Long;</w:t>
      </w:r>
    </w:p>
    <w:p w14:paraId="227E3857" w14:textId="5E15DD7F" w:rsidR="00010C64" w:rsidRPr="00010C64" w:rsidRDefault="00010C64" w:rsidP="00010C64">
      <w:pPr>
        <w:spacing w:after="60" w:line="278" w:lineRule="auto"/>
        <w:ind w:firstLine="567"/>
        <w:jc w:val="both"/>
        <w:rPr>
          <w:i/>
          <w:sz w:val="26"/>
          <w:szCs w:val="26"/>
        </w:rPr>
      </w:pPr>
      <w:r w:rsidRPr="00010C64">
        <w:rPr>
          <w:i/>
          <w:sz w:val="26"/>
          <w:szCs w:val="26"/>
        </w:rPr>
        <w:t xml:space="preserve">- Căn cứ Quyết định số </w:t>
      </w:r>
      <w:r w:rsidR="00B07A1A">
        <w:rPr>
          <w:i/>
          <w:sz w:val="26"/>
          <w:szCs w:val="26"/>
        </w:rPr>
        <w:t>60</w:t>
      </w:r>
      <w:r w:rsidRPr="00010C64">
        <w:rPr>
          <w:i/>
          <w:sz w:val="26"/>
          <w:szCs w:val="26"/>
        </w:rPr>
        <w:t xml:space="preserve">/QĐ-XLN ngày </w:t>
      </w:r>
      <w:r w:rsidR="00B07A1A">
        <w:rPr>
          <w:i/>
          <w:sz w:val="26"/>
          <w:szCs w:val="26"/>
        </w:rPr>
        <w:t>10</w:t>
      </w:r>
      <w:r w:rsidRPr="00010C64">
        <w:rPr>
          <w:i/>
          <w:sz w:val="26"/>
          <w:szCs w:val="26"/>
        </w:rPr>
        <w:t>/</w:t>
      </w:r>
      <w:r w:rsidR="00B07A1A">
        <w:rPr>
          <w:i/>
          <w:sz w:val="26"/>
          <w:szCs w:val="26"/>
        </w:rPr>
        <w:t>02</w:t>
      </w:r>
      <w:r w:rsidRPr="00010C64">
        <w:rPr>
          <w:i/>
          <w:sz w:val="26"/>
          <w:szCs w:val="26"/>
        </w:rPr>
        <w:t>/202</w:t>
      </w:r>
      <w:r w:rsidR="00B07A1A">
        <w:rPr>
          <w:i/>
          <w:sz w:val="26"/>
          <w:szCs w:val="26"/>
        </w:rPr>
        <w:t>5</w:t>
      </w:r>
      <w:r w:rsidRPr="00010C64">
        <w:rPr>
          <w:i/>
          <w:sz w:val="26"/>
          <w:szCs w:val="26"/>
        </w:rPr>
        <w:t xml:space="preserve"> của Ngân hàng TMCP Ngoại thương Việt Nam (Vietcombank) - CN Bắc Hà Tĩnh về việc giảm giá tài sản đấu giá lần </w:t>
      </w:r>
      <w:r w:rsidR="00B07A1A">
        <w:rPr>
          <w:i/>
          <w:sz w:val="26"/>
          <w:szCs w:val="26"/>
        </w:rPr>
        <w:t>4</w:t>
      </w:r>
      <w:r w:rsidRPr="00010C64">
        <w:rPr>
          <w:i/>
          <w:sz w:val="26"/>
          <w:szCs w:val="26"/>
        </w:rPr>
        <w:t>.</w:t>
      </w:r>
    </w:p>
    <w:p w14:paraId="6D95A970" w14:textId="038D3E37" w:rsidR="003853B8" w:rsidRDefault="003853B8" w:rsidP="00D9761C">
      <w:pPr>
        <w:spacing w:after="60" w:line="288" w:lineRule="auto"/>
        <w:ind w:firstLine="567"/>
        <w:jc w:val="both"/>
        <w:rPr>
          <w:rFonts w:eastAsia="Times New Roman"/>
          <w:b/>
          <w:bCs/>
          <w:sz w:val="26"/>
          <w:szCs w:val="26"/>
        </w:rPr>
      </w:pPr>
      <w:r w:rsidRPr="00010C64">
        <w:rPr>
          <w:rFonts w:eastAsia="Times New Roman"/>
          <w:b/>
          <w:bCs/>
          <w:sz w:val="26"/>
          <w:szCs w:val="26"/>
          <w:u w:val="single"/>
        </w:rPr>
        <w:t xml:space="preserve">Điều </w:t>
      </w:r>
      <w:r w:rsidR="00010C64" w:rsidRPr="00010C64">
        <w:rPr>
          <w:rFonts w:eastAsia="Times New Roman"/>
          <w:b/>
          <w:bCs/>
          <w:sz w:val="26"/>
          <w:szCs w:val="26"/>
          <w:u w:val="single"/>
        </w:rPr>
        <w:t>2</w:t>
      </w:r>
      <w:r w:rsidRPr="00010C64">
        <w:rPr>
          <w:rFonts w:eastAsia="Times New Roman"/>
          <w:b/>
          <w:bCs/>
          <w:sz w:val="26"/>
          <w:szCs w:val="26"/>
        </w:rPr>
        <w:t>. Tiền đặt trước</w:t>
      </w:r>
      <w:r w:rsidR="00D2482F">
        <w:rPr>
          <w:rFonts w:eastAsia="Times New Roman"/>
          <w:b/>
          <w:bCs/>
          <w:sz w:val="26"/>
          <w:szCs w:val="26"/>
        </w:rPr>
        <w:t xml:space="preserve">, </w:t>
      </w:r>
      <w:r w:rsidR="009A2958">
        <w:rPr>
          <w:rFonts w:eastAsia="Times New Roman"/>
          <w:b/>
          <w:bCs/>
          <w:sz w:val="26"/>
          <w:szCs w:val="26"/>
        </w:rPr>
        <w:t>b</w:t>
      </w:r>
      <w:r w:rsidR="00D2482F">
        <w:rPr>
          <w:rFonts w:eastAsia="Times New Roman"/>
          <w:b/>
          <w:bCs/>
          <w:sz w:val="26"/>
          <w:szCs w:val="26"/>
        </w:rPr>
        <w:t xml:space="preserve">ước giá: </w:t>
      </w:r>
    </w:p>
    <w:p w14:paraId="15DA88F7" w14:textId="33007AAD" w:rsidR="00D2482F" w:rsidRPr="00010C64" w:rsidRDefault="00D2482F" w:rsidP="00D9761C">
      <w:pPr>
        <w:spacing w:after="60" w:line="288" w:lineRule="auto"/>
        <w:ind w:firstLine="567"/>
        <w:jc w:val="both"/>
        <w:rPr>
          <w:rFonts w:eastAsia="Times New Roman"/>
          <w:b/>
          <w:bCs/>
          <w:sz w:val="26"/>
          <w:szCs w:val="26"/>
        </w:rPr>
      </w:pPr>
      <w:r>
        <w:rPr>
          <w:rFonts w:eastAsia="Times New Roman"/>
          <w:b/>
          <w:bCs/>
          <w:sz w:val="26"/>
          <w:szCs w:val="26"/>
        </w:rPr>
        <w:t xml:space="preserve">1.Tiền đặt trước: </w:t>
      </w:r>
    </w:p>
    <w:p w14:paraId="66FC4E44" w14:textId="77777777" w:rsidR="003853B8" w:rsidRPr="00010C64" w:rsidRDefault="003853B8" w:rsidP="00D9761C">
      <w:pPr>
        <w:spacing w:after="60" w:line="288" w:lineRule="auto"/>
        <w:ind w:firstLine="567"/>
        <w:jc w:val="both"/>
        <w:rPr>
          <w:rFonts w:eastAsia="Times New Roman"/>
          <w:sz w:val="26"/>
          <w:szCs w:val="26"/>
        </w:rPr>
      </w:pPr>
      <w:r w:rsidRPr="00010C64">
        <w:rPr>
          <w:rFonts w:eastAsia="Times New Roman"/>
          <w:sz w:val="26"/>
          <w:szCs w:val="26"/>
        </w:rPr>
        <w:t>Khách hàng đăng ký tham gia đấu giá chuyển tiền đặt trước bằng hình thức chuyển khoản vào tài khoản của Công ty như sau:</w:t>
      </w:r>
    </w:p>
    <w:p w14:paraId="34E23658" w14:textId="77777777" w:rsidR="002A5B63" w:rsidRPr="00010C64" w:rsidRDefault="002A5B63" w:rsidP="00D9761C">
      <w:pPr>
        <w:spacing w:after="60" w:line="288" w:lineRule="auto"/>
        <w:ind w:firstLine="567"/>
        <w:jc w:val="both"/>
        <w:rPr>
          <w:rFonts w:eastAsia="Times New Roman"/>
          <w:spacing w:val="-4"/>
          <w:sz w:val="26"/>
          <w:szCs w:val="26"/>
        </w:rPr>
      </w:pPr>
      <w:r w:rsidRPr="00010C64">
        <w:rPr>
          <w:rFonts w:eastAsia="Times New Roman"/>
          <w:sz w:val="26"/>
          <w:szCs w:val="26"/>
        </w:rPr>
        <w:t xml:space="preserve">- </w:t>
      </w:r>
      <w:r w:rsidRPr="00010C64">
        <w:rPr>
          <w:rFonts w:eastAsia="Times New Roman"/>
          <w:spacing w:val="-4"/>
          <w:sz w:val="26"/>
          <w:szCs w:val="26"/>
        </w:rPr>
        <w:t xml:space="preserve">Đơn vị hưởng: </w:t>
      </w:r>
      <w:r w:rsidRPr="00010C64">
        <w:rPr>
          <w:rFonts w:eastAsia="Times New Roman"/>
          <w:b/>
          <w:bCs/>
          <w:spacing w:val="-4"/>
          <w:sz w:val="26"/>
          <w:szCs w:val="26"/>
        </w:rPr>
        <w:t>Công ty Đấu giá Hợp danh Minh Nhật</w:t>
      </w:r>
      <w:r w:rsidRPr="00010C64">
        <w:rPr>
          <w:rFonts w:eastAsia="Times New Roman"/>
          <w:spacing w:val="-4"/>
          <w:sz w:val="26"/>
          <w:szCs w:val="26"/>
        </w:rPr>
        <w:t xml:space="preserve">. </w:t>
      </w:r>
    </w:p>
    <w:p w14:paraId="654BB09C" w14:textId="77777777" w:rsidR="002A5B63" w:rsidRPr="00010C64" w:rsidRDefault="002A5B63" w:rsidP="00D9761C">
      <w:pPr>
        <w:spacing w:after="60" w:line="288" w:lineRule="auto"/>
        <w:ind w:firstLine="567"/>
        <w:jc w:val="both"/>
        <w:rPr>
          <w:rFonts w:eastAsia="Times New Roman"/>
          <w:bCs/>
          <w:sz w:val="26"/>
          <w:szCs w:val="26"/>
        </w:rPr>
      </w:pPr>
      <w:r w:rsidRPr="00010C64">
        <w:rPr>
          <w:rFonts w:eastAsia="Times New Roman"/>
          <w:spacing w:val="-4"/>
          <w:sz w:val="26"/>
          <w:szCs w:val="26"/>
        </w:rPr>
        <w:t xml:space="preserve">- </w:t>
      </w:r>
      <w:r w:rsidRPr="00010C64">
        <w:rPr>
          <w:rFonts w:eastAsia="Times New Roman"/>
          <w:sz w:val="26"/>
          <w:szCs w:val="26"/>
        </w:rPr>
        <w:t xml:space="preserve">Tài khoản số: </w:t>
      </w:r>
      <w:r w:rsidRPr="00010C64">
        <w:rPr>
          <w:b/>
          <w:bCs/>
          <w:sz w:val="26"/>
          <w:szCs w:val="26"/>
        </w:rPr>
        <w:t>3237279999</w:t>
      </w:r>
      <w:r w:rsidRPr="00010C64">
        <w:rPr>
          <w:b/>
          <w:sz w:val="26"/>
          <w:szCs w:val="26"/>
        </w:rPr>
        <w:t xml:space="preserve"> </w:t>
      </w:r>
      <w:r w:rsidRPr="00010C64">
        <w:rPr>
          <w:bCs/>
          <w:sz w:val="26"/>
          <w:szCs w:val="26"/>
        </w:rPr>
        <w:t xml:space="preserve">tại Ngân hàng TMCP Ngoại thương Việt Nam (VCB) - CN Bắc Hà Tĩnh. </w:t>
      </w:r>
    </w:p>
    <w:p w14:paraId="23C342AD" w14:textId="77777777" w:rsidR="002A5B63" w:rsidRPr="00010C64" w:rsidRDefault="002A5B63" w:rsidP="00D9761C">
      <w:pPr>
        <w:spacing w:after="60" w:line="288" w:lineRule="auto"/>
        <w:ind w:firstLine="567"/>
        <w:jc w:val="both"/>
        <w:rPr>
          <w:rFonts w:eastAsia="Times New Roman"/>
          <w:sz w:val="26"/>
          <w:szCs w:val="26"/>
        </w:rPr>
      </w:pPr>
      <w:r w:rsidRPr="00010C64">
        <w:rPr>
          <w:rFonts w:eastAsia="Times New Roman"/>
          <w:sz w:val="26"/>
          <w:szCs w:val="26"/>
        </w:rPr>
        <w:t>- Nội dung chuyển tiền: {Họ tên người đăng ký tham gia đấu giá} Nộp tiền đặt trước tham gia đấu giá tài sản của Ngân hàng TMCP Ngoại thương Việt Nam (Vietcombank) - CN Bắc Hà Tĩnh.</w:t>
      </w:r>
    </w:p>
    <w:p w14:paraId="14E1BB85" w14:textId="6C4F0543" w:rsidR="002A5B63" w:rsidRPr="00010C64" w:rsidRDefault="002A5B63" w:rsidP="00D9761C">
      <w:pPr>
        <w:spacing w:after="60" w:line="288" w:lineRule="auto"/>
        <w:ind w:firstLine="567"/>
        <w:jc w:val="both"/>
        <w:rPr>
          <w:rFonts w:eastAsia="Times New Roman"/>
          <w:sz w:val="26"/>
          <w:szCs w:val="26"/>
        </w:rPr>
      </w:pPr>
      <w:r w:rsidRPr="00010C64">
        <w:rPr>
          <w:rFonts w:eastAsia="Times New Roman"/>
          <w:sz w:val="26"/>
          <w:szCs w:val="26"/>
        </w:rPr>
        <w:t>Khoản tiền đặt trước phải được xác định có trong tài khoản của Côn</w:t>
      </w:r>
      <w:r w:rsidR="007D5BD3" w:rsidRPr="00010C64">
        <w:rPr>
          <w:rFonts w:eastAsia="Times New Roman"/>
          <w:sz w:val="26"/>
          <w:szCs w:val="26"/>
        </w:rPr>
        <w:t>g ty chậm nhất đến 17h00 ngày</w:t>
      </w:r>
      <w:r w:rsidR="00010C64" w:rsidRPr="00010C64">
        <w:rPr>
          <w:rFonts w:eastAsia="Times New Roman"/>
          <w:sz w:val="26"/>
          <w:szCs w:val="26"/>
        </w:rPr>
        <w:t xml:space="preserve"> 03</w:t>
      </w:r>
      <w:r w:rsidRPr="00010C64">
        <w:rPr>
          <w:rFonts w:eastAsia="Times New Roman"/>
          <w:sz w:val="26"/>
          <w:szCs w:val="26"/>
        </w:rPr>
        <w:t>/0</w:t>
      </w:r>
      <w:r w:rsidR="00010C64" w:rsidRPr="00010C64">
        <w:rPr>
          <w:rFonts w:eastAsia="Times New Roman"/>
          <w:sz w:val="26"/>
          <w:szCs w:val="26"/>
        </w:rPr>
        <w:t>3</w:t>
      </w:r>
      <w:r w:rsidRPr="00010C64">
        <w:rPr>
          <w:rFonts w:eastAsia="Times New Roman"/>
          <w:sz w:val="26"/>
          <w:szCs w:val="26"/>
        </w:rPr>
        <w:t xml:space="preserve">/2025. </w:t>
      </w:r>
    </w:p>
    <w:p w14:paraId="295C3E88" w14:textId="77777777" w:rsidR="003853B8" w:rsidRPr="00010C64" w:rsidRDefault="003853B8" w:rsidP="00D9761C">
      <w:pPr>
        <w:spacing w:after="60" w:line="288" w:lineRule="auto"/>
        <w:ind w:firstLine="567"/>
        <w:jc w:val="both"/>
        <w:rPr>
          <w:rFonts w:eastAsia="Times New Roman"/>
          <w:sz w:val="26"/>
          <w:szCs w:val="26"/>
        </w:rPr>
      </w:pPr>
      <w:r w:rsidRPr="00010C64">
        <w:rPr>
          <w:rFonts w:eastAsia="Times New Roman"/>
          <w:sz w:val="26"/>
          <w:szCs w:val="26"/>
        </w:rPr>
        <w:t xml:space="preserve">Trong thời hạn 03 ngày làm việc kể từ ngày kết thúc phiên đấu giá hoặc trong thời hạn khác theo thỏa thuận, Công ty Đấu giá Hợp danh Minh Nhật có trách nhiệm trả lại khoản tiền đặt trước và thanh toán tiền lãi (nếu có) cho người tham gia đấu giá từ chối tham gia đấu giá trong trường hợp có thay đổi về giá khởi điểm, số lượng, chất lượng tài sản, thời gian, địa điểm tổ chức phiên đấu giá, hình thức đấu giá, phương thức đấu giá đã niêm yết, thông báo công khai, người tham gia đấu giá đã nộp tiền đặt trước nhưng không đáp ứng yêu cầu, điều kiện tham gia đấu giá theo thông báo của Công ty Đấu giá Hợp danh Minh Nhật hoặc người tham gia đấu giá không trúng đấu giá. </w:t>
      </w:r>
    </w:p>
    <w:p w14:paraId="52D79DA7" w14:textId="77777777" w:rsidR="003853B8" w:rsidRPr="00010C64" w:rsidRDefault="003853B8" w:rsidP="00D9761C">
      <w:pPr>
        <w:spacing w:after="60" w:line="288" w:lineRule="auto"/>
        <w:ind w:firstLineChars="253" w:firstLine="658"/>
        <w:jc w:val="both"/>
        <w:rPr>
          <w:rFonts w:eastAsia="Times New Roman"/>
          <w:sz w:val="26"/>
          <w:szCs w:val="26"/>
        </w:rPr>
      </w:pPr>
      <w:r w:rsidRPr="00010C64">
        <w:rPr>
          <w:rFonts w:eastAsia="Times New Roman"/>
          <w:sz w:val="26"/>
          <w:szCs w:val="26"/>
        </w:rPr>
        <w:t xml:space="preserve">Trường hợp trúng đấu giá thì khoản tiền đặt trước và tiền lãi (nếu có) được chuyển thành tiền đặt cọc để bảo đảm thực hiện giao kết hoặc thực hiện hợp đồng mua bán tài sản đấu giá hoặc thực hiện nghĩa vụ mua tài sản đấu giá sau khi được cơ quan có thẩm quyền phê duyệt. Công ty Đấu giá Hợp danh Minh Nhật có trách nhiệm chuyển tiền đặt </w:t>
      </w:r>
      <w:r w:rsidRPr="00010C64">
        <w:rPr>
          <w:rFonts w:eastAsia="Times New Roman"/>
          <w:sz w:val="26"/>
          <w:szCs w:val="26"/>
        </w:rPr>
        <w:lastRenderedPageBreak/>
        <w:t>cọc cho người có tài sản đấu giá trong thời hạn 03 ngày làm việc kể từ ngày kết thúc phiên đấu giá, trừ trường hợp pháp luật có quy định khác.</w:t>
      </w:r>
    </w:p>
    <w:p w14:paraId="34C7FCFD" w14:textId="77777777" w:rsidR="003853B8" w:rsidRPr="00010C64" w:rsidRDefault="003853B8" w:rsidP="00D9761C">
      <w:pPr>
        <w:spacing w:after="60" w:line="288" w:lineRule="auto"/>
        <w:ind w:firstLineChars="253" w:firstLine="658"/>
        <w:jc w:val="both"/>
        <w:rPr>
          <w:rFonts w:eastAsia="Times New Roman"/>
          <w:sz w:val="26"/>
          <w:szCs w:val="26"/>
        </w:rPr>
      </w:pPr>
      <w:r w:rsidRPr="00010C64">
        <w:rPr>
          <w:rFonts w:eastAsia="Times New Roman"/>
          <w:sz w:val="26"/>
          <w:szCs w:val="26"/>
        </w:rPr>
        <w:t>Việc xử lý tiền đặt cọc được thực hiện theo quy định của pháp luật về dân sự và quy định khác của pháp luật có liên quan.</w:t>
      </w:r>
    </w:p>
    <w:p w14:paraId="77415045" w14:textId="77777777" w:rsidR="003853B8" w:rsidRDefault="003853B8" w:rsidP="00D9761C">
      <w:pPr>
        <w:spacing w:after="60" w:line="288" w:lineRule="auto"/>
        <w:ind w:firstLine="680"/>
        <w:jc w:val="both"/>
        <w:rPr>
          <w:sz w:val="26"/>
          <w:szCs w:val="26"/>
        </w:rPr>
      </w:pPr>
      <w:r w:rsidRPr="00010C64">
        <w:rPr>
          <w:sz w:val="26"/>
          <w:szCs w:val="26"/>
          <w:lang w:val="vi-VN"/>
        </w:rPr>
        <w:t>Phí chuyển trả lại tiền đặt trước đối với người không trúng đấu giá (trong trường hợp chuyển khoản) được khấu trừ trực tiếp vào tiền đặt trước của người đó. Phí chuyển tiền của người trúng đấu giá do người trúng đấu giá chịu.</w:t>
      </w:r>
    </w:p>
    <w:p w14:paraId="251B8939" w14:textId="00DEAB24" w:rsidR="00D2482F" w:rsidRDefault="00D2482F" w:rsidP="00D9761C">
      <w:pPr>
        <w:spacing w:after="60" w:line="288" w:lineRule="auto"/>
        <w:ind w:firstLine="680"/>
        <w:jc w:val="both"/>
        <w:rPr>
          <w:b/>
          <w:bCs/>
          <w:sz w:val="26"/>
          <w:szCs w:val="26"/>
        </w:rPr>
      </w:pPr>
      <w:r w:rsidRPr="00D2482F">
        <w:rPr>
          <w:b/>
          <w:bCs/>
          <w:sz w:val="26"/>
          <w:szCs w:val="26"/>
        </w:rPr>
        <w:t xml:space="preserve">2.Bước giá: </w:t>
      </w:r>
    </w:p>
    <w:p w14:paraId="46F34E17" w14:textId="7EBF637A" w:rsidR="00D2482F" w:rsidRPr="00D2482F" w:rsidRDefault="00D2482F" w:rsidP="00D9761C">
      <w:pPr>
        <w:spacing w:after="60" w:line="288" w:lineRule="auto"/>
        <w:ind w:firstLine="680"/>
        <w:jc w:val="both"/>
        <w:rPr>
          <w:sz w:val="26"/>
          <w:szCs w:val="26"/>
        </w:rPr>
      </w:pPr>
      <w:r w:rsidRPr="00D2482F">
        <w:rPr>
          <w:sz w:val="26"/>
          <w:szCs w:val="26"/>
        </w:rPr>
        <w:t>Bước giá quy định tại Quy chế này là mức chênh lệch cố định giữa lần trả giá đầu tiên so với giá khởi điểm hoặc giữa lần trả giá sau so với lần trả giá trước liền kề.</w:t>
      </w:r>
    </w:p>
    <w:p w14:paraId="1FB16985" w14:textId="7ED73F1C" w:rsidR="003853B8" w:rsidRPr="00010C64" w:rsidRDefault="003853B8" w:rsidP="00D9761C">
      <w:pPr>
        <w:spacing w:after="60" w:line="288" w:lineRule="auto"/>
        <w:ind w:firstLineChars="253" w:firstLine="660"/>
        <w:jc w:val="both"/>
        <w:rPr>
          <w:rFonts w:eastAsia="Times New Roman"/>
          <w:b/>
          <w:bCs/>
          <w:sz w:val="26"/>
          <w:szCs w:val="26"/>
        </w:rPr>
      </w:pPr>
      <w:r w:rsidRPr="00010C64">
        <w:rPr>
          <w:rFonts w:eastAsia="Times New Roman"/>
          <w:b/>
          <w:bCs/>
          <w:sz w:val="26"/>
          <w:szCs w:val="26"/>
          <w:u w:val="single"/>
        </w:rPr>
        <w:t xml:space="preserve">Điều </w:t>
      </w:r>
      <w:r w:rsidR="00B141FA">
        <w:rPr>
          <w:rFonts w:eastAsia="Times New Roman"/>
          <w:b/>
          <w:bCs/>
          <w:sz w:val="26"/>
          <w:szCs w:val="26"/>
          <w:u w:val="single"/>
        </w:rPr>
        <w:t>3</w:t>
      </w:r>
      <w:r w:rsidRPr="00010C64">
        <w:rPr>
          <w:rFonts w:eastAsia="Times New Roman"/>
          <w:b/>
          <w:bCs/>
          <w:sz w:val="26"/>
          <w:szCs w:val="26"/>
        </w:rPr>
        <w:t xml:space="preserve">. Kế hoạch đấu giá: </w:t>
      </w:r>
    </w:p>
    <w:p w14:paraId="680D053E" w14:textId="7F0E0903" w:rsidR="002A5B63" w:rsidRDefault="002A5B63" w:rsidP="00010C64">
      <w:pPr>
        <w:spacing w:after="120" w:line="293" w:lineRule="auto"/>
        <w:ind w:right="51" w:firstLine="567"/>
        <w:jc w:val="both"/>
        <w:rPr>
          <w:rFonts w:eastAsia="Times New Roman"/>
          <w:sz w:val="26"/>
          <w:szCs w:val="26"/>
          <w:lang w:eastAsia="en-US"/>
        </w:rPr>
      </w:pPr>
      <w:r w:rsidRPr="00010C64">
        <w:rPr>
          <w:rFonts w:eastAsia="Times New Roman"/>
          <w:b/>
          <w:i/>
          <w:sz w:val="26"/>
          <w:szCs w:val="26"/>
        </w:rPr>
        <w:t>- Ngày giờ bắt đầu, hết hạn bán hồ sơ mời tham gia đấu giá và tiếp nhận hồ sơ tham gia đấu giá</w:t>
      </w:r>
      <w:r w:rsidRPr="00010C64">
        <w:rPr>
          <w:rFonts w:eastAsia="Times New Roman"/>
          <w:b/>
          <w:sz w:val="26"/>
          <w:szCs w:val="26"/>
        </w:rPr>
        <w:t xml:space="preserve">: </w:t>
      </w:r>
      <w:r w:rsidR="00010C64" w:rsidRPr="006609DE">
        <w:rPr>
          <w:rFonts w:eastAsia="Times New Roman"/>
          <w:bCs/>
          <w:sz w:val="26"/>
          <w:szCs w:val="26"/>
          <w:lang w:eastAsia="en-US"/>
        </w:rPr>
        <w:t xml:space="preserve">Từ 07h30 ngày </w:t>
      </w:r>
      <w:r w:rsidR="00010C64" w:rsidRPr="00010C64">
        <w:rPr>
          <w:rFonts w:eastAsia="Times New Roman"/>
          <w:bCs/>
          <w:sz w:val="26"/>
          <w:szCs w:val="26"/>
          <w:lang w:eastAsia="en-US"/>
        </w:rPr>
        <w:t>13</w:t>
      </w:r>
      <w:r w:rsidR="00010C64" w:rsidRPr="006609DE">
        <w:rPr>
          <w:rFonts w:eastAsia="Times New Roman"/>
          <w:bCs/>
          <w:sz w:val="26"/>
          <w:szCs w:val="26"/>
          <w:lang w:eastAsia="en-US"/>
        </w:rPr>
        <w:t>/0</w:t>
      </w:r>
      <w:r w:rsidR="00010C64" w:rsidRPr="00010C64">
        <w:rPr>
          <w:rFonts w:eastAsia="Times New Roman"/>
          <w:bCs/>
          <w:sz w:val="26"/>
          <w:szCs w:val="26"/>
          <w:lang w:eastAsia="en-US"/>
        </w:rPr>
        <w:t>2</w:t>
      </w:r>
      <w:r w:rsidR="00010C64" w:rsidRPr="006609DE">
        <w:rPr>
          <w:rFonts w:eastAsia="Times New Roman"/>
          <w:bCs/>
          <w:sz w:val="26"/>
          <w:szCs w:val="26"/>
          <w:lang w:eastAsia="en-US"/>
        </w:rPr>
        <w:t xml:space="preserve">/2025 đến 17h00 ngày </w:t>
      </w:r>
      <w:r w:rsidR="00010C64" w:rsidRPr="00010C64">
        <w:rPr>
          <w:rFonts w:eastAsia="Times New Roman"/>
          <w:bCs/>
          <w:sz w:val="26"/>
          <w:szCs w:val="26"/>
          <w:lang w:eastAsia="en-US"/>
        </w:rPr>
        <w:t>03</w:t>
      </w:r>
      <w:r w:rsidR="00010C64" w:rsidRPr="006609DE">
        <w:rPr>
          <w:rFonts w:eastAsia="Times New Roman"/>
          <w:bCs/>
          <w:sz w:val="26"/>
          <w:szCs w:val="26"/>
          <w:lang w:eastAsia="en-US"/>
        </w:rPr>
        <w:t>/</w:t>
      </w:r>
      <w:r w:rsidR="00010C64" w:rsidRPr="00010C64">
        <w:rPr>
          <w:rFonts w:eastAsia="Times New Roman"/>
          <w:bCs/>
          <w:sz w:val="26"/>
          <w:szCs w:val="26"/>
          <w:lang w:eastAsia="en-US"/>
        </w:rPr>
        <w:t>03</w:t>
      </w:r>
      <w:r w:rsidR="00010C64" w:rsidRPr="006609DE">
        <w:rPr>
          <w:rFonts w:eastAsia="Times New Roman"/>
          <w:bCs/>
          <w:sz w:val="26"/>
          <w:szCs w:val="26"/>
          <w:lang w:eastAsia="en-US"/>
        </w:rPr>
        <w:t>/2025</w:t>
      </w:r>
      <w:r w:rsidR="00AA6C1F">
        <w:rPr>
          <w:rFonts w:eastAsia="Times New Roman"/>
          <w:sz w:val="26"/>
          <w:szCs w:val="26"/>
          <w:lang w:eastAsia="en-US"/>
        </w:rPr>
        <w:t>.</w:t>
      </w:r>
    </w:p>
    <w:p w14:paraId="2DBBBB6F" w14:textId="67D05D9D" w:rsidR="00AA6C1F" w:rsidRPr="00B07A1A" w:rsidRDefault="00AA6C1F" w:rsidP="00B07A1A">
      <w:pPr>
        <w:spacing w:after="120" w:line="293" w:lineRule="auto"/>
        <w:ind w:firstLine="567"/>
        <w:jc w:val="both"/>
        <w:rPr>
          <w:rFonts w:eastAsia="Times New Roman"/>
          <w:b/>
          <w:i/>
          <w:sz w:val="26"/>
          <w:szCs w:val="26"/>
          <w:lang w:eastAsia="en-US"/>
        </w:rPr>
      </w:pPr>
      <w:r w:rsidRPr="00AA6C1F">
        <w:rPr>
          <w:rFonts w:eastAsia="Times New Roman"/>
          <w:sz w:val="26"/>
          <w:szCs w:val="26"/>
          <w:lang w:eastAsia="en-US"/>
        </w:rPr>
        <w:t xml:space="preserve">- </w:t>
      </w:r>
      <w:r w:rsidRPr="00AA6C1F">
        <w:rPr>
          <w:rFonts w:eastAsia="Times New Roman"/>
          <w:b/>
          <w:bCs/>
          <w:i/>
          <w:iCs/>
          <w:sz w:val="26"/>
          <w:szCs w:val="26"/>
          <w:lang w:eastAsia="en-US"/>
        </w:rPr>
        <w:t>Địa điểm</w:t>
      </w:r>
      <w:r w:rsidRPr="00AA6C1F">
        <w:rPr>
          <w:rFonts w:eastAsia="Times New Roman"/>
          <w:sz w:val="26"/>
          <w:szCs w:val="26"/>
          <w:lang w:eastAsia="en-US"/>
        </w:rPr>
        <w:t xml:space="preserve"> </w:t>
      </w:r>
      <w:r w:rsidRPr="00AA6C1F">
        <w:rPr>
          <w:rFonts w:eastAsia="Times New Roman"/>
          <w:b/>
          <w:i/>
          <w:sz w:val="26"/>
          <w:szCs w:val="26"/>
          <w:lang w:eastAsia="en-US"/>
        </w:rPr>
        <w:t>bán hồ sơ mời tham gia đấu giá, tiếp nhận hồ sơ tham gia đấu giá:</w:t>
      </w:r>
      <w:r w:rsidR="00B07A1A">
        <w:rPr>
          <w:rFonts w:eastAsia="Times New Roman"/>
          <w:b/>
          <w:i/>
          <w:sz w:val="26"/>
          <w:szCs w:val="26"/>
          <w:lang w:eastAsia="en-US"/>
        </w:rPr>
        <w:t xml:space="preserve"> </w:t>
      </w:r>
      <w:r w:rsidRPr="00AA6C1F">
        <w:rPr>
          <w:rFonts w:eastAsia="Times New Roman"/>
          <w:bCs/>
          <w:iCs/>
          <w:sz w:val="26"/>
          <w:szCs w:val="26"/>
          <w:lang w:eastAsia="en-US"/>
        </w:rPr>
        <w:t>Tại trụ sở Công ty Đấu giá Hợp danh Minh Nhật. Địa chỉ: Số 40 đường Đặng Dung, phường Tân Giang, TP Hà Tĩnh, tỉnh Hà Tĩnh.</w:t>
      </w:r>
    </w:p>
    <w:p w14:paraId="456E3134" w14:textId="1BC73FDE" w:rsidR="00AA6C1F" w:rsidRPr="00B07A1A" w:rsidRDefault="002A5B63" w:rsidP="00B07A1A">
      <w:pPr>
        <w:spacing w:after="120" w:line="293" w:lineRule="auto"/>
        <w:ind w:right="51" w:firstLine="567"/>
        <w:jc w:val="both"/>
        <w:rPr>
          <w:rFonts w:eastAsia="Times New Roman"/>
          <w:bCs/>
          <w:sz w:val="26"/>
          <w:szCs w:val="26"/>
          <w:lang w:eastAsia="en-US"/>
        </w:rPr>
      </w:pPr>
      <w:r w:rsidRPr="00010C64">
        <w:rPr>
          <w:b/>
          <w:i/>
          <w:sz w:val="26"/>
          <w:szCs w:val="26"/>
        </w:rPr>
        <w:t>- Thời gian, địa điểm xem giấy tờ về quyền sở hữu, quyền sử dụng và tài liệu liên quan:</w:t>
      </w:r>
      <w:r w:rsidRPr="00010C64">
        <w:rPr>
          <w:sz w:val="26"/>
          <w:szCs w:val="26"/>
        </w:rPr>
        <w:t xml:space="preserve"> </w:t>
      </w:r>
      <w:r w:rsidR="00010C64" w:rsidRPr="00BD6994">
        <w:rPr>
          <w:rFonts w:eastAsia="Times New Roman"/>
          <w:bCs/>
          <w:sz w:val="26"/>
          <w:szCs w:val="26"/>
          <w:lang w:eastAsia="en-US"/>
        </w:rPr>
        <w:t xml:space="preserve">Từ 07h30 ngày </w:t>
      </w:r>
      <w:r w:rsidR="00010C64" w:rsidRPr="00010C64">
        <w:rPr>
          <w:rFonts w:eastAsia="Times New Roman"/>
          <w:bCs/>
          <w:sz w:val="26"/>
          <w:szCs w:val="26"/>
          <w:lang w:eastAsia="en-US"/>
        </w:rPr>
        <w:t>13</w:t>
      </w:r>
      <w:r w:rsidR="00010C64" w:rsidRPr="00BD6994">
        <w:rPr>
          <w:rFonts w:eastAsia="Times New Roman"/>
          <w:bCs/>
          <w:sz w:val="26"/>
          <w:szCs w:val="26"/>
          <w:lang w:eastAsia="en-US"/>
        </w:rPr>
        <w:t>/0</w:t>
      </w:r>
      <w:r w:rsidR="00010C64" w:rsidRPr="00010C64">
        <w:rPr>
          <w:rFonts w:eastAsia="Times New Roman"/>
          <w:bCs/>
          <w:sz w:val="26"/>
          <w:szCs w:val="26"/>
          <w:lang w:eastAsia="en-US"/>
        </w:rPr>
        <w:t>2</w:t>
      </w:r>
      <w:r w:rsidR="00010C64" w:rsidRPr="00BD6994">
        <w:rPr>
          <w:rFonts w:eastAsia="Times New Roman"/>
          <w:bCs/>
          <w:sz w:val="26"/>
          <w:szCs w:val="26"/>
          <w:lang w:eastAsia="en-US"/>
        </w:rPr>
        <w:t xml:space="preserve">/2025 đến 17h00 ngày </w:t>
      </w:r>
      <w:r w:rsidR="00010C64" w:rsidRPr="00010C64">
        <w:rPr>
          <w:rFonts w:eastAsia="Times New Roman"/>
          <w:bCs/>
          <w:sz w:val="26"/>
          <w:szCs w:val="26"/>
          <w:lang w:eastAsia="en-US"/>
        </w:rPr>
        <w:t>03</w:t>
      </w:r>
      <w:r w:rsidR="00010C64" w:rsidRPr="00BD6994">
        <w:rPr>
          <w:rFonts w:eastAsia="Times New Roman"/>
          <w:bCs/>
          <w:sz w:val="26"/>
          <w:szCs w:val="26"/>
          <w:lang w:eastAsia="en-US"/>
        </w:rPr>
        <w:t>/0</w:t>
      </w:r>
      <w:r w:rsidR="00010C64" w:rsidRPr="00010C64">
        <w:rPr>
          <w:rFonts w:eastAsia="Times New Roman"/>
          <w:bCs/>
          <w:sz w:val="26"/>
          <w:szCs w:val="26"/>
          <w:lang w:eastAsia="en-US"/>
        </w:rPr>
        <w:t>3</w:t>
      </w:r>
      <w:r w:rsidR="00010C64" w:rsidRPr="00BD6994">
        <w:rPr>
          <w:rFonts w:eastAsia="Times New Roman"/>
          <w:bCs/>
          <w:sz w:val="26"/>
          <w:szCs w:val="26"/>
          <w:lang w:eastAsia="en-US"/>
        </w:rPr>
        <w:t>/2025</w:t>
      </w:r>
      <w:r w:rsidR="00010C64" w:rsidRPr="00BD6994">
        <w:rPr>
          <w:rFonts w:eastAsia="Times New Roman"/>
          <w:bCs/>
          <w:sz w:val="26"/>
          <w:szCs w:val="26"/>
          <w:lang w:val="vi-VN" w:eastAsia="en-US"/>
        </w:rPr>
        <w:t xml:space="preserve"> </w:t>
      </w:r>
      <w:r w:rsidR="00010C64" w:rsidRPr="00BD6994">
        <w:rPr>
          <w:rFonts w:eastAsia="Times New Roman"/>
          <w:bCs/>
          <w:sz w:val="26"/>
          <w:szCs w:val="26"/>
          <w:lang w:eastAsia="en-US"/>
        </w:rPr>
        <w:t>tại</w:t>
      </w:r>
      <w:r w:rsidR="00B07A1A">
        <w:rPr>
          <w:rFonts w:eastAsia="Times New Roman"/>
          <w:bCs/>
          <w:sz w:val="26"/>
          <w:szCs w:val="26"/>
          <w:lang w:eastAsia="en-US"/>
        </w:rPr>
        <w:t xml:space="preserve"> </w:t>
      </w:r>
      <w:r w:rsidR="00B07A1A">
        <w:rPr>
          <w:rFonts w:eastAsia="Times New Roman"/>
          <w:bCs/>
          <w:iCs/>
          <w:sz w:val="26"/>
          <w:szCs w:val="26"/>
          <w:lang w:eastAsia="en-US"/>
        </w:rPr>
        <w:t>t</w:t>
      </w:r>
      <w:r w:rsidR="00AA6C1F" w:rsidRPr="00AA6C1F">
        <w:rPr>
          <w:rFonts w:eastAsia="Times New Roman"/>
          <w:bCs/>
          <w:iCs/>
          <w:sz w:val="26"/>
          <w:szCs w:val="26"/>
          <w:lang w:eastAsia="en-US"/>
        </w:rPr>
        <w:t>rụ sở Công ty Đấu giá Hợp danh Minh Nhật. Địa chỉ: Số 40 đường Đặng Dung, phường Tân Giang, TP Hà Tĩnh, tỉnh Hà Tĩnh.</w:t>
      </w:r>
    </w:p>
    <w:p w14:paraId="0595914C" w14:textId="72A4E58C" w:rsidR="002A5B63" w:rsidRPr="00010C64" w:rsidRDefault="002A5B63" w:rsidP="00B35179">
      <w:pPr>
        <w:tabs>
          <w:tab w:val="left" w:pos="720"/>
        </w:tabs>
        <w:autoSpaceDE w:val="0"/>
        <w:autoSpaceDN w:val="0"/>
        <w:spacing w:after="120" w:line="293" w:lineRule="auto"/>
        <w:ind w:right="43" w:firstLine="562"/>
        <w:jc w:val="both"/>
        <w:rPr>
          <w:rFonts w:eastAsia="Calibri"/>
          <w:sz w:val="26"/>
          <w:szCs w:val="26"/>
          <w:lang w:eastAsia="en-US"/>
        </w:rPr>
      </w:pPr>
      <w:r w:rsidRPr="00010C64">
        <w:rPr>
          <w:b/>
          <w:i/>
          <w:sz w:val="26"/>
          <w:szCs w:val="26"/>
        </w:rPr>
        <w:t>- Thời gian, địa điểm xem tài sản:</w:t>
      </w:r>
      <w:r w:rsidRPr="00010C64">
        <w:rPr>
          <w:sz w:val="26"/>
          <w:szCs w:val="26"/>
        </w:rPr>
        <w:t xml:space="preserve"> </w:t>
      </w:r>
      <w:r w:rsidR="00010C64" w:rsidRPr="00BD6994">
        <w:rPr>
          <w:sz w:val="26"/>
          <w:szCs w:val="26"/>
        </w:rPr>
        <w:t>Từ 07h30 ngày</w:t>
      </w:r>
      <w:r w:rsidR="00010C64" w:rsidRPr="00BD6994">
        <w:rPr>
          <w:rFonts w:eastAsia="Times New Roman"/>
          <w:bCs/>
          <w:sz w:val="26"/>
          <w:szCs w:val="26"/>
          <w:lang w:eastAsia="en-US"/>
        </w:rPr>
        <w:t xml:space="preserve"> </w:t>
      </w:r>
      <w:r w:rsidR="00010C64" w:rsidRPr="00010C64">
        <w:rPr>
          <w:rFonts w:eastAsia="Times New Roman"/>
          <w:bCs/>
          <w:sz w:val="26"/>
          <w:szCs w:val="26"/>
          <w:lang w:eastAsia="en-US"/>
        </w:rPr>
        <w:t>24</w:t>
      </w:r>
      <w:r w:rsidR="00010C64" w:rsidRPr="00BD6994">
        <w:rPr>
          <w:rFonts w:eastAsia="Times New Roman"/>
          <w:bCs/>
          <w:sz w:val="26"/>
          <w:szCs w:val="26"/>
          <w:lang w:eastAsia="en-US"/>
        </w:rPr>
        <w:t xml:space="preserve">/02/2025 đến 17h00 ngày </w:t>
      </w:r>
      <w:r w:rsidR="00010C64" w:rsidRPr="00010C64">
        <w:rPr>
          <w:rFonts w:eastAsia="Times New Roman"/>
          <w:bCs/>
          <w:sz w:val="26"/>
          <w:szCs w:val="26"/>
          <w:lang w:eastAsia="en-US"/>
        </w:rPr>
        <w:t>26</w:t>
      </w:r>
      <w:r w:rsidR="00010C64" w:rsidRPr="00BD6994">
        <w:rPr>
          <w:rFonts w:eastAsia="Times New Roman"/>
          <w:bCs/>
          <w:sz w:val="26"/>
          <w:szCs w:val="26"/>
          <w:lang w:eastAsia="en-US"/>
        </w:rPr>
        <w:t xml:space="preserve">/02/2025 </w:t>
      </w:r>
      <w:r w:rsidR="00010C64" w:rsidRPr="00BD6994">
        <w:rPr>
          <w:rFonts w:eastAsia="Times New Roman"/>
          <w:bCs/>
          <w:iCs/>
          <w:sz w:val="26"/>
          <w:szCs w:val="26"/>
          <w:lang w:eastAsia="en-US"/>
        </w:rPr>
        <w:t xml:space="preserve">tại </w:t>
      </w:r>
      <w:r w:rsidR="00010C64" w:rsidRPr="00010C64">
        <w:rPr>
          <w:rFonts w:eastAsia="Times New Roman"/>
          <w:sz w:val="26"/>
          <w:szCs w:val="26"/>
        </w:rPr>
        <w:t>Công ty Cổ phần Đầu tư Xây lắp và Thương mại Hoàng Long</w:t>
      </w:r>
      <w:r w:rsidR="00010C64" w:rsidRPr="00010C64">
        <w:rPr>
          <w:sz w:val="26"/>
          <w:szCs w:val="26"/>
        </w:rPr>
        <w:t>, xã Cẩm Vịnh, huyện Cẩm Xuyên, tỉnh Hà Tĩnh.</w:t>
      </w:r>
    </w:p>
    <w:p w14:paraId="02D05C04" w14:textId="25A98505" w:rsidR="002A5B63" w:rsidRPr="00010C64" w:rsidRDefault="002A5B63" w:rsidP="00010C64">
      <w:pPr>
        <w:tabs>
          <w:tab w:val="left" w:pos="720"/>
        </w:tabs>
        <w:autoSpaceDE w:val="0"/>
        <w:autoSpaceDN w:val="0"/>
        <w:spacing w:after="120" w:line="293" w:lineRule="auto"/>
        <w:ind w:right="49" w:firstLine="567"/>
        <w:jc w:val="both"/>
        <w:rPr>
          <w:rFonts w:eastAsia="Calibri"/>
          <w:sz w:val="26"/>
          <w:szCs w:val="26"/>
          <w:lang w:eastAsia="en-US"/>
        </w:rPr>
      </w:pPr>
      <w:r w:rsidRPr="00010C64">
        <w:rPr>
          <w:b/>
          <w:i/>
          <w:sz w:val="26"/>
          <w:szCs w:val="26"/>
        </w:rPr>
        <w:t>- Ngày giờ bắt đầu, hết hạn nộp tiền đặt trước:</w:t>
      </w:r>
      <w:r w:rsidRPr="00010C64">
        <w:rPr>
          <w:sz w:val="26"/>
          <w:szCs w:val="26"/>
        </w:rPr>
        <w:t xml:space="preserve"> </w:t>
      </w:r>
      <w:r w:rsidR="00010C64" w:rsidRPr="00010C64">
        <w:rPr>
          <w:rFonts w:eastAsia="Times New Roman"/>
          <w:bCs/>
          <w:sz w:val="26"/>
          <w:szCs w:val="26"/>
          <w:lang w:eastAsia="en-US"/>
        </w:rPr>
        <w:t>Từ 07h30 ngày 13/02/2025 đến 17h00 ngày 03/03/2025</w:t>
      </w:r>
      <w:r w:rsidR="00010C64" w:rsidRPr="00010C64">
        <w:rPr>
          <w:rFonts w:eastAsia="Times New Roman"/>
          <w:sz w:val="26"/>
          <w:szCs w:val="26"/>
          <w:lang w:eastAsia="en-US"/>
        </w:rPr>
        <w:t>.</w:t>
      </w:r>
    </w:p>
    <w:p w14:paraId="30C8D89C" w14:textId="0F3FBEDC" w:rsidR="007E6BFF" w:rsidRPr="00010C64" w:rsidRDefault="002A5B63" w:rsidP="00D9761C">
      <w:pPr>
        <w:tabs>
          <w:tab w:val="left" w:pos="720"/>
        </w:tabs>
        <w:autoSpaceDE w:val="0"/>
        <w:autoSpaceDN w:val="0"/>
        <w:spacing w:after="60" w:line="288" w:lineRule="auto"/>
        <w:ind w:right="49" w:firstLine="567"/>
        <w:jc w:val="both"/>
        <w:rPr>
          <w:sz w:val="26"/>
          <w:szCs w:val="26"/>
        </w:rPr>
      </w:pPr>
      <w:r w:rsidRPr="00010C64">
        <w:rPr>
          <w:b/>
          <w:i/>
          <w:sz w:val="26"/>
          <w:szCs w:val="26"/>
        </w:rPr>
        <w:tab/>
        <w:t>- Thời gian, địa điểm tổ chức phiên đấu giá:</w:t>
      </w:r>
      <w:r w:rsidRPr="00010C64">
        <w:rPr>
          <w:sz w:val="26"/>
          <w:szCs w:val="26"/>
        </w:rPr>
        <w:t xml:space="preserve"> </w:t>
      </w:r>
    </w:p>
    <w:p w14:paraId="7DBDD152" w14:textId="052EDB5C" w:rsidR="00010C64" w:rsidRPr="00010C64" w:rsidRDefault="00010C64" w:rsidP="00010C64">
      <w:pPr>
        <w:tabs>
          <w:tab w:val="left" w:pos="426"/>
          <w:tab w:val="left" w:pos="709"/>
        </w:tabs>
        <w:autoSpaceDE w:val="0"/>
        <w:autoSpaceDN w:val="0"/>
        <w:spacing w:after="60" w:line="24" w:lineRule="atLeast"/>
        <w:ind w:right="49"/>
        <w:jc w:val="both"/>
        <w:rPr>
          <w:rFonts w:eastAsia="Calibri"/>
          <w:sz w:val="26"/>
          <w:szCs w:val="26"/>
          <w:lang w:eastAsia="en-US"/>
        </w:rPr>
      </w:pPr>
      <w:r w:rsidRPr="00010C64">
        <w:rPr>
          <w:rFonts w:eastAsia="Calibri"/>
          <w:sz w:val="26"/>
          <w:szCs w:val="26"/>
          <w:lang w:eastAsia="en-US"/>
        </w:rPr>
        <w:t xml:space="preserve">      + Tài sản thứ I vào lúc 14 giờ 00 phút ngày 06/03/2025 </w:t>
      </w:r>
    </w:p>
    <w:p w14:paraId="7614229C" w14:textId="77777777" w:rsidR="00010C64" w:rsidRPr="00010C64" w:rsidRDefault="00010C64" w:rsidP="00010C64">
      <w:pPr>
        <w:tabs>
          <w:tab w:val="left" w:pos="426"/>
          <w:tab w:val="left" w:pos="709"/>
        </w:tabs>
        <w:autoSpaceDE w:val="0"/>
        <w:autoSpaceDN w:val="0"/>
        <w:spacing w:after="60" w:line="24" w:lineRule="atLeast"/>
        <w:ind w:right="49"/>
        <w:jc w:val="both"/>
        <w:rPr>
          <w:rFonts w:eastAsia="Calibri"/>
          <w:sz w:val="26"/>
          <w:szCs w:val="26"/>
          <w:lang w:eastAsia="en-US"/>
        </w:rPr>
      </w:pPr>
      <w:r w:rsidRPr="00010C64">
        <w:rPr>
          <w:rFonts w:eastAsia="Calibri"/>
          <w:sz w:val="26"/>
          <w:szCs w:val="26"/>
          <w:lang w:eastAsia="en-US"/>
        </w:rPr>
        <w:tab/>
        <w:t xml:space="preserve">+ Tài sản thứ II vào lúc 15 giờ 00 phút ngày 06/03/2025 </w:t>
      </w:r>
    </w:p>
    <w:p w14:paraId="7D80A332" w14:textId="77777777" w:rsidR="00010C64" w:rsidRPr="00010C64" w:rsidRDefault="00010C64" w:rsidP="00010C64">
      <w:pPr>
        <w:tabs>
          <w:tab w:val="left" w:pos="426"/>
          <w:tab w:val="left" w:pos="709"/>
        </w:tabs>
        <w:autoSpaceDE w:val="0"/>
        <w:autoSpaceDN w:val="0"/>
        <w:spacing w:after="60" w:line="24" w:lineRule="atLeast"/>
        <w:ind w:right="49"/>
        <w:jc w:val="both"/>
        <w:rPr>
          <w:rFonts w:eastAsia="Calibri"/>
          <w:sz w:val="26"/>
          <w:szCs w:val="26"/>
          <w:lang w:eastAsia="en-US"/>
        </w:rPr>
      </w:pPr>
      <w:r w:rsidRPr="00010C64">
        <w:rPr>
          <w:rFonts w:eastAsia="Calibri"/>
          <w:sz w:val="26"/>
          <w:szCs w:val="26"/>
          <w:lang w:eastAsia="en-US"/>
        </w:rPr>
        <w:tab/>
        <w:t xml:space="preserve">+ Tài sản thứ III vào lúc 16 giờ 00 phút ngày 06/03/2025 </w:t>
      </w:r>
    </w:p>
    <w:p w14:paraId="0D4A7D83" w14:textId="71A210B1" w:rsidR="00010C64" w:rsidRPr="00010C64" w:rsidRDefault="00010C64" w:rsidP="00010C64">
      <w:pPr>
        <w:tabs>
          <w:tab w:val="left" w:pos="426"/>
          <w:tab w:val="left" w:pos="720"/>
        </w:tabs>
        <w:autoSpaceDE w:val="0"/>
        <w:autoSpaceDN w:val="0"/>
        <w:spacing w:after="60" w:line="24" w:lineRule="atLeast"/>
        <w:ind w:right="49"/>
        <w:jc w:val="both"/>
        <w:rPr>
          <w:rFonts w:eastAsia="Calibri"/>
          <w:sz w:val="26"/>
          <w:szCs w:val="26"/>
          <w:lang w:eastAsia="en-US"/>
        </w:rPr>
      </w:pPr>
      <w:r w:rsidRPr="00010C64">
        <w:rPr>
          <w:rFonts w:eastAsia="Calibri"/>
          <w:sz w:val="26"/>
          <w:szCs w:val="26"/>
          <w:lang w:eastAsia="en-US"/>
        </w:rPr>
        <w:tab/>
        <w:t>Tại trụ sở Công ty Đấu giá Hợp danh Minh Nhật. Địa chỉ: Số 40 đường Đặng Dung, phường Tân Giang, thành phố Hà Tĩnh.</w:t>
      </w:r>
    </w:p>
    <w:p w14:paraId="031ADBA5" w14:textId="7F0D7869" w:rsidR="003853B8" w:rsidRPr="00010C64" w:rsidRDefault="003853B8" w:rsidP="00D9761C">
      <w:pPr>
        <w:autoSpaceDE w:val="0"/>
        <w:autoSpaceDN w:val="0"/>
        <w:spacing w:after="60" w:line="288" w:lineRule="auto"/>
        <w:ind w:firstLineChars="271" w:firstLine="707"/>
        <w:jc w:val="both"/>
        <w:rPr>
          <w:rFonts w:eastAsia="Times New Roman"/>
          <w:b/>
          <w:bCs/>
          <w:sz w:val="26"/>
          <w:szCs w:val="26"/>
        </w:rPr>
      </w:pPr>
      <w:r w:rsidRPr="00010C64">
        <w:rPr>
          <w:rFonts w:eastAsia="Times New Roman"/>
          <w:b/>
          <w:bCs/>
          <w:sz w:val="26"/>
          <w:szCs w:val="26"/>
          <w:u w:val="single"/>
        </w:rPr>
        <w:t xml:space="preserve">Điều </w:t>
      </w:r>
      <w:r w:rsidR="00B141FA">
        <w:rPr>
          <w:rFonts w:eastAsia="Times New Roman"/>
          <w:b/>
          <w:bCs/>
          <w:sz w:val="26"/>
          <w:szCs w:val="26"/>
          <w:u w:val="single"/>
        </w:rPr>
        <w:t>4</w:t>
      </w:r>
      <w:r w:rsidRPr="00010C64">
        <w:rPr>
          <w:rFonts w:eastAsia="Times New Roman"/>
          <w:b/>
          <w:bCs/>
          <w:sz w:val="26"/>
          <w:szCs w:val="26"/>
        </w:rPr>
        <w:t>: Đối tượng tham gia đấu giá, hồ sơ tham gia đấu giá.</w:t>
      </w:r>
    </w:p>
    <w:p w14:paraId="3868F7EC" w14:textId="77777777" w:rsidR="003853B8" w:rsidRPr="00010C64" w:rsidRDefault="003853B8" w:rsidP="00D9761C">
      <w:pPr>
        <w:spacing w:after="60" w:line="288" w:lineRule="auto"/>
        <w:ind w:firstLine="720"/>
        <w:jc w:val="both"/>
        <w:rPr>
          <w:rFonts w:eastAsia="Times New Roman"/>
          <w:spacing w:val="2"/>
          <w:sz w:val="26"/>
          <w:szCs w:val="26"/>
          <w:lang w:val="vi-VN"/>
        </w:rPr>
      </w:pPr>
      <w:r w:rsidRPr="00010C64">
        <w:rPr>
          <w:rFonts w:eastAsia="Times New Roman"/>
          <w:b/>
          <w:bCs/>
          <w:spacing w:val="2"/>
          <w:sz w:val="26"/>
          <w:szCs w:val="26"/>
          <w:lang w:val="vi-VN"/>
        </w:rPr>
        <w:t xml:space="preserve">1. </w:t>
      </w:r>
      <w:r w:rsidRPr="00010C64">
        <w:rPr>
          <w:rFonts w:eastAsia="Times New Roman"/>
          <w:spacing w:val="2"/>
          <w:sz w:val="26"/>
          <w:szCs w:val="26"/>
          <w:lang w:val="vi-VN"/>
        </w:rPr>
        <w:t>Đối tượng tham gia đấu giá: Là các tổ chức, cá nhân chấp nhận giá khởi điểm; những điều quy định tại Quy chế này; đã thực hiện thủ tục liên quan đến việc xem xét hiện trạng tài sản; mua và nộp hồ sơ, tiền đặt trước đúng quy định và không thuộc một trong những trường hợp sau:</w:t>
      </w:r>
    </w:p>
    <w:p w14:paraId="2DFBEE4E" w14:textId="77777777" w:rsidR="003853B8" w:rsidRPr="00010C64" w:rsidRDefault="003853B8" w:rsidP="00D9761C">
      <w:pPr>
        <w:spacing w:after="60" w:line="288" w:lineRule="auto"/>
        <w:ind w:firstLine="720"/>
        <w:jc w:val="both"/>
        <w:rPr>
          <w:rFonts w:eastAsia="Times New Roman"/>
          <w:spacing w:val="-4"/>
          <w:sz w:val="26"/>
          <w:szCs w:val="26"/>
        </w:rPr>
      </w:pPr>
      <w:r w:rsidRPr="00010C64">
        <w:rPr>
          <w:rFonts w:eastAsia="Times New Roman"/>
          <w:spacing w:val="-4"/>
          <w:sz w:val="26"/>
          <w:szCs w:val="26"/>
          <w:lang w:val="vi-VN"/>
        </w:rPr>
        <w:lastRenderedPageBreak/>
        <w:t>a)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34F20173"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sz w:val="26"/>
          <w:szCs w:val="26"/>
          <w:lang w:val="vi-VN"/>
        </w:rPr>
        <w:t>b) Người làm việc trong Công ty Đấu giá Hợp danh Minh Nhật; cha, mẹ, vợ, chồng, con, anh ruột, chị ruột, em ruột của đấu giá viên điều hành</w:t>
      </w:r>
      <w:r w:rsidRPr="00010C64">
        <w:rPr>
          <w:rFonts w:eastAsia="Times New Roman"/>
          <w:sz w:val="26"/>
          <w:szCs w:val="26"/>
        </w:rPr>
        <w:t xml:space="preserve"> phiên</w:t>
      </w:r>
      <w:r w:rsidRPr="00010C64">
        <w:rPr>
          <w:rFonts w:eastAsia="Times New Roman"/>
          <w:sz w:val="26"/>
          <w:szCs w:val="26"/>
          <w:lang w:val="vi-VN"/>
        </w:rPr>
        <w:t xml:space="preserve"> đấu giá; người trực tiếp giám định, định giá tài sản; cha, mẹ, vợ, chồng, con, anh ruột, chị ruột, em ruột của người trực tiếp giám định, định giá tài sản;</w:t>
      </w:r>
    </w:p>
    <w:p w14:paraId="432E6DD2"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sz w:val="26"/>
          <w:szCs w:val="26"/>
          <w:lang w:val="vi-VN"/>
        </w:rPr>
        <w:t>c)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6737F158"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sz w:val="26"/>
          <w:szCs w:val="26"/>
          <w:lang w:val="vi-VN"/>
        </w:rPr>
        <w:t>d) Cha, mẹ, vợ, chồng, con, anh ruột, chị ruột, em ruột của người quy định tại điểm c khoản này;</w:t>
      </w:r>
    </w:p>
    <w:p w14:paraId="6832B7ED"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sz w:val="26"/>
          <w:szCs w:val="26"/>
          <w:lang w:val="vi-VN"/>
        </w:rPr>
        <w:t>đ) Người không có quyền mua tài sản đấu giá theo quy định của pháp luật áp dụng đối với loại tài sản đó.</w:t>
      </w:r>
    </w:p>
    <w:p w14:paraId="7CC6DBB5" w14:textId="77777777" w:rsidR="003853B8" w:rsidRPr="00010C64" w:rsidRDefault="003853B8" w:rsidP="00D9761C">
      <w:pPr>
        <w:spacing w:after="60" w:line="288" w:lineRule="auto"/>
        <w:jc w:val="both"/>
        <w:rPr>
          <w:rFonts w:eastAsia="Times New Roman"/>
          <w:sz w:val="26"/>
          <w:szCs w:val="26"/>
        </w:rPr>
      </w:pPr>
      <w:r w:rsidRPr="00010C64">
        <w:rPr>
          <w:rFonts w:eastAsia="Times New Roman"/>
          <w:sz w:val="26"/>
          <w:szCs w:val="26"/>
          <w:lang w:val="vi-VN"/>
        </w:rPr>
        <w:tab/>
        <w:t xml:space="preserve">Người tham gia đấu giá có thể ủy quyền bằng văn bản cho người khác thay mặt mình tham gia đấu giá (Người được ủy quyền chỉ được đại diện cho một khách hàng tham gia đấu giá trong cùng một tài sản và không đồng thời là khách hàng tham gia đấu giá). </w:t>
      </w:r>
    </w:p>
    <w:p w14:paraId="73E79C12" w14:textId="77777777" w:rsidR="003853B8" w:rsidRPr="00010C64" w:rsidRDefault="003853B8" w:rsidP="00D9761C">
      <w:pPr>
        <w:spacing w:after="60" w:line="288" w:lineRule="auto"/>
        <w:jc w:val="both"/>
        <w:rPr>
          <w:rFonts w:eastAsia="Times New Roman"/>
          <w:sz w:val="26"/>
          <w:szCs w:val="26"/>
        </w:rPr>
      </w:pPr>
      <w:r w:rsidRPr="00010C64">
        <w:rPr>
          <w:rFonts w:eastAsia="Times New Roman"/>
          <w:sz w:val="26"/>
          <w:szCs w:val="26"/>
        </w:rPr>
        <w:tab/>
      </w:r>
      <w:r w:rsidRPr="00010C64">
        <w:rPr>
          <w:rFonts w:eastAsia="Times New Roman"/>
          <w:b/>
          <w:bCs/>
          <w:sz w:val="26"/>
          <w:szCs w:val="26"/>
        </w:rPr>
        <w:t>2.</w:t>
      </w:r>
      <w:r w:rsidRPr="00010C64">
        <w:rPr>
          <w:rFonts w:eastAsia="Times New Roman"/>
          <w:sz w:val="26"/>
          <w:szCs w:val="26"/>
        </w:rPr>
        <w:t xml:space="preserve"> Hồ sơ mời tham gia đấu giá </w:t>
      </w:r>
      <w:r w:rsidRPr="00010C64">
        <w:rPr>
          <w:rFonts w:eastAsia="Times New Roman"/>
          <w:sz w:val="26"/>
          <w:szCs w:val="26"/>
          <w:lang w:val="eu-ES"/>
        </w:rPr>
        <w:t>bao gồm:</w:t>
      </w:r>
    </w:p>
    <w:p w14:paraId="175B5F58"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sz w:val="26"/>
          <w:szCs w:val="26"/>
        </w:rPr>
        <w:t>- Phiếu đăng ký tham gia đấu giá;</w:t>
      </w:r>
    </w:p>
    <w:p w14:paraId="27656FBD"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sz w:val="26"/>
          <w:szCs w:val="26"/>
        </w:rPr>
        <w:t>- Quy chế cuộc đấu giá;</w:t>
      </w:r>
    </w:p>
    <w:p w14:paraId="797C650C"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sz w:val="26"/>
          <w:szCs w:val="26"/>
        </w:rPr>
        <w:t>- Tài liệu liên quan đến tài sản đấu giá.</w:t>
      </w:r>
    </w:p>
    <w:p w14:paraId="343D70D3" w14:textId="77777777" w:rsidR="003853B8" w:rsidRPr="00010C64" w:rsidRDefault="003853B8" w:rsidP="00D9761C">
      <w:pPr>
        <w:spacing w:after="60" w:line="288" w:lineRule="auto"/>
        <w:ind w:firstLine="720"/>
        <w:jc w:val="both"/>
        <w:rPr>
          <w:rFonts w:eastAsia="Times New Roman"/>
          <w:sz w:val="26"/>
          <w:szCs w:val="26"/>
          <w:lang w:val="vi-VN"/>
        </w:rPr>
      </w:pPr>
      <w:r w:rsidRPr="00010C64">
        <w:rPr>
          <w:rFonts w:eastAsia="Times New Roman"/>
          <w:b/>
          <w:bCs/>
          <w:sz w:val="26"/>
          <w:szCs w:val="26"/>
        </w:rPr>
        <w:t>3</w:t>
      </w:r>
      <w:r w:rsidRPr="00010C64">
        <w:rPr>
          <w:rFonts w:eastAsia="Times New Roman"/>
          <w:b/>
          <w:bCs/>
          <w:sz w:val="26"/>
          <w:szCs w:val="26"/>
          <w:lang w:val="vi-VN"/>
        </w:rPr>
        <w:t>.</w:t>
      </w:r>
      <w:r w:rsidRPr="00010C64">
        <w:rPr>
          <w:rFonts w:eastAsia="Times New Roman"/>
          <w:sz w:val="26"/>
          <w:szCs w:val="26"/>
          <w:lang w:val="vi-VN"/>
        </w:rPr>
        <w:t xml:space="preserve"> Cá nhân, tổ chức đăng ký tham gia đấu giá thông qua việc mua, nộp hồ sơ tham gia đấu giá hợp lệ và nộp tiền đặt trước cho Công ty </w:t>
      </w:r>
      <w:r w:rsidRPr="00010C64">
        <w:rPr>
          <w:rFonts w:eastAsia="Times New Roman"/>
          <w:sz w:val="26"/>
          <w:szCs w:val="26"/>
        </w:rPr>
        <w:t xml:space="preserve">Đấu giá Hợp danh Minh Nhật </w:t>
      </w:r>
      <w:r w:rsidRPr="00010C64">
        <w:rPr>
          <w:rFonts w:eastAsia="Times New Roman"/>
          <w:sz w:val="26"/>
          <w:szCs w:val="26"/>
          <w:lang w:val="vi-VN"/>
        </w:rPr>
        <w:t>theo quy định của Luật Đấu giá tài sản ngày 17 tháng 11 năm 2016; Luật sửa đổi, bổ sung một số điều của Luật Đấu giá tài sản ngày 27 tháng 6 năm 2024</w:t>
      </w:r>
      <w:r w:rsidRPr="00010C64">
        <w:rPr>
          <w:rFonts w:eastAsia="Times New Roman"/>
          <w:sz w:val="26"/>
          <w:szCs w:val="26"/>
        </w:rPr>
        <w:t xml:space="preserve"> </w:t>
      </w:r>
      <w:r w:rsidRPr="00010C64">
        <w:rPr>
          <w:rFonts w:eastAsia="Times New Roman"/>
          <w:sz w:val="26"/>
          <w:szCs w:val="26"/>
          <w:lang w:val="vi-VN"/>
        </w:rPr>
        <w:t xml:space="preserve">và các văn bản hướng dẫn thi hành. Hồ sơ bao gồm: </w:t>
      </w:r>
    </w:p>
    <w:p w14:paraId="341E250C" w14:textId="77777777" w:rsidR="003853B8" w:rsidRPr="00010C64" w:rsidRDefault="003853B8" w:rsidP="00D9761C">
      <w:pPr>
        <w:spacing w:after="60" w:line="288" w:lineRule="auto"/>
        <w:ind w:firstLine="720"/>
        <w:jc w:val="both"/>
        <w:rPr>
          <w:rFonts w:eastAsia="Times New Roman"/>
          <w:sz w:val="26"/>
          <w:szCs w:val="26"/>
          <w:lang w:val="vi-VN"/>
        </w:rPr>
      </w:pPr>
      <w:r w:rsidRPr="00010C64">
        <w:rPr>
          <w:rFonts w:eastAsia="Times New Roman"/>
          <w:sz w:val="26"/>
          <w:szCs w:val="26"/>
          <w:lang w:val="vi-VN"/>
        </w:rPr>
        <w:t>+) Đối với các tổ chức:</w:t>
      </w:r>
    </w:p>
    <w:p w14:paraId="03800166"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sz w:val="26"/>
          <w:szCs w:val="26"/>
          <w:lang w:val="vi-VN"/>
        </w:rPr>
        <w:t xml:space="preserve">- </w:t>
      </w:r>
      <w:r w:rsidRPr="00010C64">
        <w:rPr>
          <w:rFonts w:eastAsia="Times New Roman"/>
          <w:sz w:val="26"/>
          <w:szCs w:val="26"/>
        </w:rPr>
        <w:t>Phiếu đăng ký tham gia đấu giá (mẫu do công ty phát hành)</w:t>
      </w:r>
    </w:p>
    <w:p w14:paraId="60C256D5"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sz w:val="26"/>
          <w:szCs w:val="26"/>
          <w:lang w:val="vi-VN"/>
        </w:rPr>
        <w:t>- Bản sao Giấy phép đăng ký kinh doanh</w:t>
      </w:r>
      <w:r w:rsidRPr="00010C64">
        <w:rPr>
          <w:rFonts w:eastAsia="Times New Roman"/>
          <w:sz w:val="26"/>
          <w:szCs w:val="26"/>
        </w:rPr>
        <w:t>/ Giấy chứng nhận đăng ký doanh nghiệp/Giấy chứng nhận đăng ký hoạt động/Quyết định thành lập</w:t>
      </w:r>
      <w:r w:rsidRPr="00010C64">
        <w:rPr>
          <w:rFonts w:eastAsia="Times New Roman"/>
          <w:sz w:val="26"/>
          <w:szCs w:val="26"/>
          <w:lang w:val="vi-VN"/>
        </w:rPr>
        <w:t xml:space="preserve"> do cơ quan có thẩm quyền cấp</w:t>
      </w:r>
      <w:r w:rsidRPr="00010C64">
        <w:rPr>
          <w:rFonts w:eastAsia="Times New Roman"/>
          <w:sz w:val="26"/>
          <w:szCs w:val="26"/>
        </w:rPr>
        <w:t xml:space="preserve"> hoặc các giấy tờ có giá trị pháp lý tương đương khác. </w:t>
      </w:r>
    </w:p>
    <w:p w14:paraId="1A8A0CBD" w14:textId="77777777" w:rsidR="003853B8" w:rsidRPr="00010C64" w:rsidRDefault="003853B8" w:rsidP="00D9761C">
      <w:pPr>
        <w:spacing w:after="60" w:line="288" w:lineRule="auto"/>
        <w:ind w:firstLine="720"/>
        <w:jc w:val="both"/>
        <w:rPr>
          <w:rFonts w:eastAsia="Times New Roman"/>
          <w:spacing w:val="-6"/>
          <w:sz w:val="26"/>
          <w:szCs w:val="26"/>
          <w:lang w:val="vi-VN"/>
        </w:rPr>
      </w:pPr>
      <w:r w:rsidRPr="00010C64">
        <w:rPr>
          <w:rFonts w:eastAsia="Times New Roman"/>
          <w:spacing w:val="-6"/>
          <w:sz w:val="26"/>
          <w:szCs w:val="26"/>
          <w:lang w:val="vi-VN"/>
        </w:rPr>
        <w:t xml:space="preserve">- Bản sao Chứng minh nhân dân/Căn cước công dân của người </w:t>
      </w:r>
      <w:r w:rsidRPr="00010C64">
        <w:rPr>
          <w:rFonts w:eastAsia="Times New Roman"/>
          <w:spacing w:val="-6"/>
          <w:sz w:val="26"/>
          <w:szCs w:val="26"/>
        </w:rPr>
        <w:t xml:space="preserve">đăng ký </w:t>
      </w:r>
      <w:r w:rsidRPr="00010C64">
        <w:rPr>
          <w:rFonts w:eastAsia="Times New Roman"/>
          <w:spacing w:val="-6"/>
          <w:sz w:val="26"/>
          <w:szCs w:val="26"/>
          <w:lang w:val="vi-VN"/>
        </w:rPr>
        <w:t>tham gia đấu giá</w:t>
      </w:r>
      <w:r w:rsidRPr="00010C64">
        <w:rPr>
          <w:rFonts w:eastAsia="Times New Roman"/>
          <w:spacing w:val="-6"/>
          <w:sz w:val="26"/>
          <w:szCs w:val="26"/>
        </w:rPr>
        <w:t xml:space="preserve"> (mang bản chính để đối chiếu)</w:t>
      </w:r>
      <w:r w:rsidRPr="00010C64">
        <w:rPr>
          <w:rFonts w:eastAsia="Times New Roman"/>
          <w:spacing w:val="-6"/>
          <w:sz w:val="26"/>
          <w:szCs w:val="26"/>
          <w:lang w:val="vi-VN"/>
        </w:rPr>
        <w:t>;</w:t>
      </w:r>
    </w:p>
    <w:p w14:paraId="3D175C97" w14:textId="77777777" w:rsidR="003853B8" w:rsidRPr="00010C64" w:rsidRDefault="003853B8" w:rsidP="00D9761C">
      <w:pPr>
        <w:spacing w:after="60" w:line="288" w:lineRule="auto"/>
        <w:ind w:firstLine="720"/>
        <w:jc w:val="both"/>
        <w:rPr>
          <w:rFonts w:eastAsia="Times New Roman"/>
          <w:sz w:val="26"/>
          <w:szCs w:val="26"/>
          <w:lang w:val="vi-VN"/>
        </w:rPr>
      </w:pPr>
      <w:r w:rsidRPr="00010C64">
        <w:rPr>
          <w:rFonts w:eastAsia="Times New Roman"/>
          <w:sz w:val="26"/>
          <w:szCs w:val="26"/>
          <w:lang w:val="vi-VN"/>
        </w:rPr>
        <w:t xml:space="preserve">- Chứng từ nộp tiền đặt trước. </w:t>
      </w:r>
    </w:p>
    <w:p w14:paraId="4447F3F5" w14:textId="77777777" w:rsidR="003853B8" w:rsidRPr="00010C64" w:rsidRDefault="003853B8" w:rsidP="00D9761C">
      <w:pPr>
        <w:spacing w:after="60" w:line="288" w:lineRule="auto"/>
        <w:ind w:firstLine="720"/>
        <w:jc w:val="both"/>
        <w:rPr>
          <w:rFonts w:eastAsia="Times New Roman"/>
          <w:sz w:val="26"/>
          <w:szCs w:val="26"/>
          <w:lang w:val="vi-VN"/>
        </w:rPr>
      </w:pPr>
      <w:r w:rsidRPr="00010C64">
        <w:rPr>
          <w:rFonts w:eastAsia="Times New Roman"/>
          <w:sz w:val="26"/>
          <w:szCs w:val="26"/>
          <w:lang w:val="vi-VN"/>
        </w:rPr>
        <w:t xml:space="preserve">+) Đối với cá nhân: </w:t>
      </w:r>
    </w:p>
    <w:p w14:paraId="1766D573"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sz w:val="26"/>
          <w:szCs w:val="26"/>
          <w:lang w:val="vi-VN"/>
        </w:rPr>
        <w:t xml:space="preserve">- </w:t>
      </w:r>
      <w:r w:rsidRPr="00010C64">
        <w:rPr>
          <w:rFonts w:eastAsia="Times New Roman"/>
          <w:sz w:val="26"/>
          <w:szCs w:val="26"/>
        </w:rPr>
        <w:t>Phiếu đăng ký tham gia đấu giá (mẫu do công ty phát hành)</w:t>
      </w:r>
    </w:p>
    <w:p w14:paraId="5F174F47" w14:textId="77777777" w:rsidR="003853B8" w:rsidRPr="00010C64" w:rsidRDefault="003853B8" w:rsidP="00D9761C">
      <w:pPr>
        <w:spacing w:after="60" w:line="288" w:lineRule="auto"/>
        <w:ind w:firstLine="720"/>
        <w:jc w:val="both"/>
        <w:rPr>
          <w:rFonts w:eastAsia="Times New Roman"/>
          <w:spacing w:val="-6"/>
          <w:sz w:val="26"/>
          <w:szCs w:val="26"/>
          <w:lang w:val="vi-VN"/>
        </w:rPr>
      </w:pPr>
      <w:r w:rsidRPr="00010C64">
        <w:rPr>
          <w:rFonts w:eastAsia="Times New Roman"/>
          <w:spacing w:val="-6"/>
          <w:sz w:val="26"/>
          <w:szCs w:val="26"/>
          <w:lang w:val="vi-VN"/>
        </w:rPr>
        <w:lastRenderedPageBreak/>
        <w:t>- Bản sao Chứng minh nhân dân/Căn cước công dân của người tham gia đấu giá</w:t>
      </w:r>
      <w:r w:rsidRPr="00010C64">
        <w:rPr>
          <w:rFonts w:eastAsia="Times New Roman"/>
          <w:spacing w:val="-6"/>
          <w:sz w:val="26"/>
          <w:szCs w:val="26"/>
        </w:rPr>
        <w:t xml:space="preserve"> (mang bản chính để đối chiếu)</w:t>
      </w:r>
      <w:r w:rsidRPr="00010C64">
        <w:rPr>
          <w:rFonts w:eastAsia="Times New Roman"/>
          <w:spacing w:val="-6"/>
          <w:sz w:val="26"/>
          <w:szCs w:val="26"/>
          <w:lang w:val="vi-VN"/>
        </w:rPr>
        <w:t>;</w:t>
      </w:r>
    </w:p>
    <w:p w14:paraId="1C4940F8" w14:textId="77777777" w:rsidR="003853B8" w:rsidRPr="00010C64" w:rsidRDefault="003853B8" w:rsidP="00D9761C">
      <w:pPr>
        <w:spacing w:after="60" w:line="288" w:lineRule="auto"/>
        <w:ind w:firstLine="720"/>
        <w:jc w:val="both"/>
        <w:rPr>
          <w:rFonts w:eastAsia="Times New Roman"/>
          <w:sz w:val="26"/>
          <w:szCs w:val="26"/>
          <w:lang w:val="vi-VN"/>
        </w:rPr>
      </w:pPr>
      <w:r w:rsidRPr="00010C64">
        <w:rPr>
          <w:rFonts w:eastAsia="Times New Roman"/>
          <w:sz w:val="26"/>
          <w:szCs w:val="26"/>
          <w:lang w:val="vi-VN"/>
        </w:rPr>
        <w:t>- Chứng từ nộp tiền đặt trước.</w:t>
      </w:r>
    </w:p>
    <w:p w14:paraId="414E2C55" w14:textId="77777777" w:rsidR="003853B8" w:rsidRPr="00010C64" w:rsidRDefault="003853B8" w:rsidP="00D9761C">
      <w:pPr>
        <w:spacing w:after="60" w:line="288" w:lineRule="auto"/>
        <w:jc w:val="both"/>
        <w:rPr>
          <w:rFonts w:eastAsia="Times New Roman"/>
          <w:sz w:val="26"/>
          <w:szCs w:val="26"/>
          <w:lang w:val="vi-VN"/>
        </w:rPr>
      </w:pPr>
      <w:r w:rsidRPr="00010C64">
        <w:rPr>
          <w:rFonts w:eastAsia="Times New Roman"/>
          <w:sz w:val="26"/>
          <w:szCs w:val="26"/>
          <w:lang w:val="vi-VN"/>
        </w:rPr>
        <w:tab/>
        <w:t xml:space="preserve">+) Đối với trường hợp ủy quyền: </w:t>
      </w:r>
    </w:p>
    <w:p w14:paraId="6F07823B" w14:textId="2703A398" w:rsidR="003853B8" w:rsidRPr="00010C64" w:rsidRDefault="003853B8" w:rsidP="00D9761C">
      <w:pPr>
        <w:spacing w:after="60" w:line="288" w:lineRule="auto"/>
        <w:jc w:val="both"/>
        <w:rPr>
          <w:rFonts w:eastAsia="Times New Roman"/>
          <w:sz w:val="26"/>
          <w:szCs w:val="26"/>
          <w:lang w:val="vi-VN"/>
        </w:rPr>
      </w:pPr>
      <w:r w:rsidRPr="00010C64">
        <w:rPr>
          <w:rFonts w:eastAsia="Times New Roman"/>
          <w:sz w:val="26"/>
          <w:szCs w:val="26"/>
          <w:lang w:val="vi-VN"/>
        </w:rPr>
        <w:tab/>
        <w:t xml:space="preserve">- </w:t>
      </w:r>
      <w:r w:rsidR="00324969" w:rsidRPr="00010C64">
        <w:rPr>
          <w:rFonts w:eastAsia="Times New Roman"/>
          <w:sz w:val="26"/>
          <w:szCs w:val="26"/>
        </w:rPr>
        <w:t>Hợp đồng</w:t>
      </w:r>
      <w:r w:rsidRPr="00010C64">
        <w:rPr>
          <w:rFonts w:eastAsia="Times New Roman"/>
          <w:sz w:val="26"/>
          <w:szCs w:val="26"/>
          <w:lang w:val="vi-VN"/>
        </w:rPr>
        <w:t xml:space="preserve"> ủy quyền đúng quy định của pháp luật;</w:t>
      </w:r>
    </w:p>
    <w:p w14:paraId="0E1C0AF8" w14:textId="51A7D8CE" w:rsidR="003853B8" w:rsidRPr="00010C64" w:rsidRDefault="003853B8" w:rsidP="00D9761C">
      <w:pPr>
        <w:spacing w:after="60" w:line="288" w:lineRule="auto"/>
        <w:ind w:firstLine="720"/>
        <w:jc w:val="both"/>
        <w:rPr>
          <w:rFonts w:eastAsia="Times New Roman"/>
          <w:sz w:val="26"/>
          <w:szCs w:val="26"/>
        </w:rPr>
      </w:pPr>
      <w:r w:rsidRPr="00010C64">
        <w:rPr>
          <w:rFonts w:eastAsia="Times New Roman"/>
          <w:sz w:val="26"/>
          <w:szCs w:val="26"/>
          <w:lang w:val="vi-VN"/>
        </w:rPr>
        <w:t>- Chứng minh nhân dân/Căn cước công dân của người ủy quyền và người được ủy quyền</w:t>
      </w:r>
      <w:r w:rsidRPr="00010C64">
        <w:rPr>
          <w:rFonts w:eastAsia="Times New Roman"/>
          <w:sz w:val="26"/>
          <w:szCs w:val="26"/>
        </w:rPr>
        <w:t xml:space="preserve"> </w:t>
      </w:r>
      <w:r w:rsidRPr="00010C64">
        <w:rPr>
          <w:rFonts w:eastAsia="Times New Roman"/>
          <w:spacing w:val="-6"/>
          <w:sz w:val="26"/>
          <w:szCs w:val="26"/>
        </w:rPr>
        <w:t>(mang bản chính để đối chiếu)</w:t>
      </w:r>
      <w:r w:rsidRPr="00010C64">
        <w:rPr>
          <w:rFonts w:eastAsia="Times New Roman"/>
          <w:spacing w:val="-6"/>
          <w:sz w:val="26"/>
          <w:szCs w:val="26"/>
          <w:lang w:val="vi-VN"/>
        </w:rPr>
        <w:t>;</w:t>
      </w:r>
    </w:p>
    <w:p w14:paraId="64DD978B" w14:textId="715BE625" w:rsidR="003853B8" w:rsidRPr="00010C64" w:rsidRDefault="003853B8" w:rsidP="00D9761C">
      <w:pPr>
        <w:spacing w:after="60" w:line="288" w:lineRule="auto"/>
        <w:ind w:firstLine="720"/>
        <w:jc w:val="both"/>
        <w:rPr>
          <w:rFonts w:eastAsia="Times New Roman"/>
          <w:b/>
          <w:bCs/>
          <w:sz w:val="26"/>
          <w:szCs w:val="26"/>
        </w:rPr>
      </w:pPr>
      <w:r w:rsidRPr="00010C64">
        <w:rPr>
          <w:rFonts w:eastAsia="Times New Roman"/>
          <w:b/>
          <w:bCs/>
          <w:sz w:val="26"/>
          <w:szCs w:val="26"/>
          <w:u w:val="single"/>
        </w:rPr>
        <w:t xml:space="preserve">Điều </w:t>
      </w:r>
      <w:r w:rsidR="00B141FA">
        <w:rPr>
          <w:rFonts w:eastAsia="Times New Roman"/>
          <w:b/>
          <w:bCs/>
          <w:sz w:val="26"/>
          <w:szCs w:val="26"/>
          <w:u w:val="single"/>
        </w:rPr>
        <w:t>5</w:t>
      </w:r>
      <w:r w:rsidRPr="00010C64">
        <w:rPr>
          <w:rFonts w:eastAsia="Times New Roman"/>
          <w:b/>
          <w:bCs/>
          <w:sz w:val="26"/>
          <w:szCs w:val="26"/>
        </w:rPr>
        <w:t>. Nội quy phòng đấu giá:</w:t>
      </w:r>
    </w:p>
    <w:p w14:paraId="240BAC54"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b/>
          <w:bCs/>
          <w:sz w:val="26"/>
          <w:szCs w:val="26"/>
        </w:rPr>
        <w:t xml:space="preserve">- </w:t>
      </w:r>
      <w:r w:rsidRPr="00010C64">
        <w:rPr>
          <w:rFonts w:eastAsia="Times New Roman"/>
          <w:sz w:val="26"/>
          <w:szCs w:val="26"/>
        </w:rPr>
        <w:t>Chỉ những khách hàng có tên trong danh sách đăng ký tham gia đấu giá mới được tham gia đấu giá; Khách hàng xuất trình Chứng minh nhân dân/Căn cước công dân bản chính khi điểm danh kiểm tra tư cách khách hàng tham gia đấu giá;</w:t>
      </w:r>
    </w:p>
    <w:p w14:paraId="6EDEDD84" w14:textId="77777777" w:rsidR="003853B8" w:rsidRPr="00010C64" w:rsidRDefault="003853B8" w:rsidP="00D9761C">
      <w:pPr>
        <w:spacing w:after="60" w:line="288" w:lineRule="auto"/>
        <w:ind w:firstLine="720"/>
        <w:jc w:val="both"/>
        <w:rPr>
          <w:rFonts w:eastAsia="Times New Roman"/>
          <w:spacing w:val="-4"/>
          <w:sz w:val="26"/>
          <w:szCs w:val="26"/>
        </w:rPr>
      </w:pPr>
      <w:r w:rsidRPr="00010C64">
        <w:rPr>
          <w:rFonts w:eastAsia="Times New Roman"/>
          <w:b/>
          <w:bCs/>
          <w:spacing w:val="-4"/>
          <w:sz w:val="26"/>
          <w:szCs w:val="26"/>
        </w:rPr>
        <w:t xml:space="preserve">- </w:t>
      </w:r>
      <w:r w:rsidRPr="00010C64">
        <w:rPr>
          <w:rFonts w:eastAsia="Times New Roman"/>
          <w:spacing w:val="-4"/>
          <w:sz w:val="26"/>
          <w:szCs w:val="26"/>
        </w:rPr>
        <w:t>Khách hàng tham gia đấu giá phải đến đúng thời gian theo thông báo đấu giá;</w:t>
      </w:r>
    </w:p>
    <w:p w14:paraId="76E50A55"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b/>
          <w:sz w:val="26"/>
          <w:szCs w:val="26"/>
        </w:rPr>
        <w:t>-</w:t>
      </w:r>
      <w:r w:rsidRPr="00010C64">
        <w:rPr>
          <w:rFonts w:eastAsia="Times New Roman"/>
          <w:sz w:val="26"/>
          <w:szCs w:val="26"/>
        </w:rPr>
        <w:t xml:space="preserve"> Không sử dụng các chất kích thích khi đến tham gia đấu giá;</w:t>
      </w:r>
    </w:p>
    <w:p w14:paraId="4BCA68F9"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b/>
          <w:bCs/>
          <w:sz w:val="26"/>
          <w:szCs w:val="26"/>
        </w:rPr>
        <w:t xml:space="preserve">- </w:t>
      </w:r>
      <w:r w:rsidRPr="00010C64">
        <w:rPr>
          <w:rFonts w:eastAsia="Times New Roman"/>
          <w:sz w:val="26"/>
          <w:szCs w:val="26"/>
        </w:rPr>
        <w:t>Không mang vũ khí, chất cháy, chất nổ đến khu vực tổ chức phiên đấu giá;</w:t>
      </w:r>
    </w:p>
    <w:p w14:paraId="2F29E94E" w14:textId="77777777" w:rsidR="003853B8" w:rsidRPr="00010C64" w:rsidRDefault="003853B8" w:rsidP="00D9761C">
      <w:pPr>
        <w:spacing w:after="60" w:line="288" w:lineRule="auto"/>
        <w:ind w:firstLine="720"/>
        <w:jc w:val="both"/>
        <w:rPr>
          <w:rFonts w:eastAsia="Times New Roman"/>
          <w:sz w:val="26"/>
          <w:szCs w:val="26"/>
        </w:rPr>
      </w:pPr>
      <w:r w:rsidRPr="00010C64">
        <w:rPr>
          <w:rFonts w:eastAsia="Times New Roman"/>
          <w:b/>
          <w:bCs/>
          <w:sz w:val="26"/>
          <w:szCs w:val="26"/>
        </w:rPr>
        <w:t xml:space="preserve">- </w:t>
      </w:r>
      <w:r w:rsidRPr="00010C64">
        <w:rPr>
          <w:rFonts w:eastAsia="Times New Roman"/>
          <w:sz w:val="26"/>
          <w:szCs w:val="26"/>
        </w:rPr>
        <w:t>Không sử dụng điện thoại di động hoặc bất kỳ phương tiện truyền thông nào trong phòng đấu giá;</w:t>
      </w:r>
    </w:p>
    <w:p w14:paraId="75E82ECC" w14:textId="77777777" w:rsidR="003853B8" w:rsidRPr="00010C64" w:rsidRDefault="003853B8" w:rsidP="00D9761C">
      <w:pPr>
        <w:spacing w:after="60" w:line="288" w:lineRule="auto"/>
        <w:ind w:firstLine="720"/>
        <w:jc w:val="both"/>
        <w:rPr>
          <w:rFonts w:eastAsia="Times New Roman"/>
          <w:spacing w:val="-4"/>
          <w:sz w:val="26"/>
          <w:szCs w:val="26"/>
        </w:rPr>
      </w:pPr>
      <w:r w:rsidRPr="00010C64">
        <w:rPr>
          <w:rFonts w:eastAsia="Times New Roman"/>
          <w:b/>
          <w:bCs/>
          <w:sz w:val="26"/>
          <w:szCs w:val="26"/>
        </w:rPr>
        <w:t xml:space="preserve">- </w:t>
      </w:r>
      <w:r w:rsidRPr="00010C64">
        <w:rPr>
          <w:rFonts w:eastAsia="Times New Roman"/>
          <w:spacing w:val="-4"/>
          <w:sz w:val="26"/>
          <w:szCs w:val="26"/>
        </w:rPr>
        <w:t>Ngồi đúng vị trí được ban tổ chức hướng dẫn, không đi lại trong phòng đấu giá;</w:t>
      </w:r>
    </w:p>
    <w:p w14:paraId="675843AA" w14:textId="77777777" w:rsidR="003853B8" w:rsidRPr="00010C64" w:rsidRDefault="003853B8" w:rsidP="00D9761C">
      <w:pPr>
        <w:spacing w:after="60" w:line="288" w:lineRule="auto"/>
        <w:ind w:firstLine="720"/>
        <w:jc w:val="both"/>
        <w:rPr>
          <w:rFonts w:eastAsia="Times New Roman"/>
          <w:spacing w:val="-4"/>
          <w:sz w:val="26"/>
          <w:szCs w:val="26"/>
        </w:rPr>
      </w:pPr>
      <w:r w:rsidRPr="00010C64">
        <w:rPr>
          <w:rFonts w:eastAsia="Times New Roman"/>
          <w:b/>
          <w:bCs/>
          <w:sz w:val="26"/>
          <w:szCs w:val="26"/>
        </w:rPr>
        <w:t xml:space="preserve">- </w:t>
      </w:r>
      <w:r w:rsidRPr="00010C64">
        <w:rPr>
          <w:rFonts w:eastAsia="Times New Roman"/>
          <w:sz w:val="26"/>
          <w:szCs w:val="26"/>
        </w:rPr>
        <w:t>Không nói chuyện trao đổi bàn bạc giữa những người tham gia đấu giá;</w:t>
      </w:r>
    </w:p>
    <w:p w14:paraId="4028BED4" w14:textId="7C373CC2" w:rsidR="003853B8" w:rsidRDefault="003853B8" w:rsidP="00D9761C">
      <w:pPr>
        <w:spacing w:after="60" w:line="288" w:lineRule="auto"/>
        <w:ind w:firstLine="720"/>
        <w:jc w:val="both"/>
        <w:rPr>
          <w:rFonts w:eastAsia="Times New Roman"/>
          <w:sz w:val="26"/>
          <w:szCs w:val="26"/>
        </w:rPr>
      </w:pPr>
      <w:r w:rsidRPr="00010C64">
        <w:rPr>
          <w:rFonts w:eastAsia="Times New Roman"/>
          <w:b/>
          <w:bCs/>
          <w:sz w:val="26"/>
          <w:szCs w:val="26"/>
        </w:rPr>
        <w:t xml:space="preserve">- </w:t>
      </w:r>
      <w:r w:rsidRPr="00010C64">
        <w:rPr>
          <w:rFonts w:eastAsia="Times New Roman"/>
          <w:sz w:val="26"/>
          <w:szCs w:val="26"/>
        </w:rPr>
        <w:t>Không được chụp ảnh, ghi hình trong phòng đấu giá (Nếu không được phép của người điều hành phiên đấu giá).</w:t>
      </w:r>
    </w:p>
    <w:p w14:paraId="4EC69C02" w14:textId="236E3AF9" w:rsidR="00B141FA" w:rsidRPr="00B141FA" w:rsidRDefault="00484E53" w:rsidP="00B141FA">
      <w:pPr>
        <w:spacing w:after="60" w:line="288" w:lineRule="auto"/>
        <w:ind w:firstLine="720"/>
        <w:jc w:val="both"/>
        <w:rPr>
          <w:rFonts w:eastAsia="Times New Roman"/>
          <w:b/>
          <w:bCs/>
          <w:sz w:val="26"/>
          <w:szCs w:val="26"/>
        </w:rPr>
      </w:pPr>
      <w:r w:rsidRPr="00010C64">
        <w:rPr>
          <w:rFonts w:eastAsia="Times New Roman"/>
          <w:b/>
          <w:bCs/>
          <w:sz w:val="26"/>
          <w:szCs w:val="26"/>
          <w:u w:val="single"/>
        </w:rPr>
        <w:t xml:space="preserve">Điều </w:t>
      </w:r>
      <w:r>
        <w:rPr>
          <w:rFonts w:eastAsia="Times New Roman"/>
          <w:b/>
          <w:bCs/>
          <w:sz w:val="26"/>
          <w:szCs w:val="26"/>
          <w:u w:val="single"/>
        </w:rPr>
        <w:t>6</w:t>
      </w:r>
      <w:r>
        <w:rPr>
          <w:rFonts w:eastAsia="Times New Roman"/>
          <w:b/>
          <w:bCs/>
          <w:sz w:val="26"/>
          <w:szCs w:val="26"/>
        </w:rPr>
        <w:t>.</w:t>
      </w:r>
      <w:r w:rsidRPr="00010C64">
        <w:rPr>
          <w:rFonts w:eastAsia="Times New Roman"/>
          <w:b/>
          <w:bCs/>
          <w:sz w:val="26"/>
          <w:szCs w:val="26"/>
        </w:rPr>
        <w:t xml:space="preserve"> </w:t>
      </w:r>
      <w:r w:rsidR="00B141FA" w:rsidRPr="00B141FA">
        <w:rPr>
          <w:rFonts w:eastAsia="Times New Roman"/>
          <w:b/>
          <w:bCs/>
          <w:sz w:val="26"/>
          <w:szCs w:val="26"/>
        </w:rPr>
        <w:t xml:space="preserve">Hình thức, phương thức đấu giá; trình tự, thủ tục tiến hành phiên đấu giá. </w:t>
      </w:r>
    </w:p>
    <w:p w14:paraId="345BD7D0" w14:textId="77777777" w:rsidR="00B141FA" w:rsidRPr="00B141FA" w:rsidRDefault="00B141FA" w:rsidP="00B141FA">
      <w:pPr>
        <w:spacing w:after="60" w:line="288" w:lineRule="auto"/>
        <w:ind w:firstLine="720"/>
        <w:jc w:val="both"/>
        <w:rPr>
          <w:rFonts w:eastAsia="Times New Roman"/>
          <w:sz w:val="26"/>
          <w:szCs w:val="26"/>
        </w:rPr>
      </w:pPr>
      <w:r w:rsidRPr="00B141FA">
        <w:rPr>
          <w:rFonts w:eastAsia="Times New Roman"/>
          <w:b/>
          <w:bCs/>
          <w:sz w:val="26"/>
          <w:szCs w:val="26"/>
        </w:rPr>
        <w:t>1. Hình thức đấu giá:</w:t>
      </w:r>
      <w:r w:rsidRPr="00B141FA">
        <w:rPr>
          <w:rFonts w:eastAsia="Times New Roman"/>
          <w:sz w:val="26"/>
          <w:szCs w:val="26"/>
        </w:rPr>
        <w:t xml:space="preserve"> Đấu giá bằng bỏ phiếu trực tiếp tại phiên đấu giá. </w:t>
      </w:r>
    </w:p>
    <w:p w14:paraId="42730D4C" w14:textId="77777777" w:rsidR="00B141FA" w:rsidRPr="00B141FA" w:rsidRDefault="00B141FA" w:rsidP="00B141FA">
      <w:pPr>
        <w:spacing w:after="60" w:line="288" w:lineRule="auto"/>
        <w:ind w:firstLine="720"/>
        <w:jc w:val="both"/>
        <w:rPr>
          <w:rFonts w:eastAsia="Times New Roman"/>
          <w:sz w:val="26"/>
          <w:szCs w:val="26"/>
        </w:rPr>
      </w:pPr>
      <w:r w:rsidRPr="00B141FA">
        <w:rPr>
          <w:rFonts w:eastAsia="Times New Roman"/>
          <w:b/>
          <w:bCs/>
          <w:sz w:val="26"/>
          <w:szCs w:val="26"/>
        </w:rPr>
        <w:t>2. Phương thức đấu giá:</w:t>
      </w:r>
      <w:r w:rsidRPr="00B141FA">
        <w:rPr>
          <w:rFonts w:eastAsia="Times New Roman"/>
          <w:sz w:val="26"/>
          <w:szCs w:val="26"/>
        </w:rPr>
        <w:t xml:space="preserve"> Đấu giá bằng phương thức trả giá lên. Người tham gia đấu giá trả từ thấp lên cao cho đến khi xác định được người trả giá cao nhất so với giá khởi điểm. </w:t>
      </w:r>
    </w:p>
    <w:p w14:paraId="52D1E211" w14:textId="762A771D" w:rsidR="00B141FA" w:rsidRPr="00B141FA" w:rsidRDefault="00B141FA" w:rsidP="00B141FA">
      <w:pPr>
        <w:spacing w:after="60" w:line="288" w:lineRule="auto"/>
        <w:ind w:firstLine="720"/>
        <w:jc w:val="both"/>
        <w:rPr>
          <w:rFonts w:eastAsia="Times New Roman"/>
          <w:b/>
          <w:bCs/>
          <w:sz w:val="26"/>
          <w:szCs w:val="26"/>
        </w:rPr>
      </w:pPr>
      <w:r w:rsidRPr="00B141FA">
        <w:rPr>
          <w:rFonts w:eastAsia="Times New Roman"/>
          <w:b/>
          <w:bCs/>
          <w:sz w:val="26"/>
          <w:szCs w:val="26"/>
        </w:rPr>
        <w:t>3. Trình tự, thủ tục tiến hành phiên đấu giá</w:t>
      </w:r>
      <w:r>
        <w:rPr>
          <w:rFonts w:eastAsia="Times New Roman"/>
          <w:b/>
          <w:bCs/>
          <w:sz w:val="26"/>
          <w:szCs w:val="26"/>
        </w:rPr>
        <w:t>:</w:t>
      </w:r>
    </w:p>
    <w:p w14:paraId="58DA8EA0" w14:textId="77777777" w:rsidR="00B141FA" w:rsidRPr="00B141FA" w:rsidRDefault="00B141FA" w:rsidP="00B141FA">
      <w:pPr>
        <w:spacing w:after="60" w:line="288" w:lineRule="auto"/>
        <w:ind w:firstLine="720"/>
        <w:jc w:val="both"/>
        <w:rPr>
          <w:rFonts w:eastAsia="Times New Roman"/>
          <w:sz w:val="26"/>
          <w:szCs w:val="26"/>
        </w:rPr>
      </w:pPr>
      <w:r w:rsidRPr="00B141FA">
        <w:rPr>
          <w:rFonts w:eastAsia="Times New Roman"/>
          <w:sz w:val="26"/>
          <w:szCs w:val="26"/>
        </w:rPr>
        <w:t xml:space="preserve">Đấu giá viên điều hành phiên đấu giá giới thiệu bản thân, người giúp việc; khách mời và công bố danh sách người tham gia đấu giá và điểm danh để xác định người tham gia đấu giá; Đọc Quy chế cuộc đấu giá; Giới thiệu tài sản đấu giá; Nhắc lại mức giá khởi điểm của tài sản; Thông báo bước giá và khoảng thời gian tối đa giữa các lần trả giá; Phát số cho người tham gia đấu giá; Hướng dẫn cách trả giá và trả lời câu hỏi của người tham gia đấu giá; Nhắc lại yêu cầu đối với phiếu hợp lệ; thời gian để thực hiện việc ghi phiếu. </w:t>
      </w:r>
    </w:p>
    <w:p w14:paraId="539E71E8" w14:textId="77777777" w:rsidR="00B141FA" w:rsidRPr="00B141FA" w:rsidRDefault="00B141FA" w:rsidP="00B141FA">
      <w:pPr>
        <w:spacing w:after="60" w:line="288" w:lineRule="auto"/>
        <w:ind w:firstLine="720"/>
        <w:jc w:val="both"/>
        <w:rPr>
          <w:rFonts w:eastAsia="Times New Roman"/>
          <w:sz w:val="26"/>
          <w:szCs w:val="26"/>
        </w:rPr>
      </w:pPr>
      <w:r w:rsidRPr="00B141FA">
        <w:rPr>
          <w:rFonts w:eastAsia="Times New Roman"/>
          <w:sz w:val="26"/>
          <w:szCs w:val="26"/>
        </w:rPr>
        <w:t xml:space="preserve">Tại mỗi vòng đấu giá khách hàng tham gia đấu giá sẽ được Công ty phát 01 phiếu trả giá có đóng dấu treo của Công ty, khách hàng điền đầy đủ các nội dung ghi trên phiếu trả giá và đúng với thông tin trong hồ sơ đăng ký tham gia đấu giá; ghi rõ giá trả bằng số và chữ, giá trả bằng số và bằng chữ phải rõ ràng, thống nhất và đúng bước giá quy </w:t>
      </w:r>
      <w:r w:rsidRPr="00B141FA">
        <w:rPr>
          <w:rFonts w:eastAsia="Times New Roman"/>
          <w:sz w:val="26"/>
          <w:szCs w:val="26"/>
        </w:rPr>
        <w:lastRenderedPageBreak/>
        <w:t xml:space="preserve">định; có ký và ghi rõ họ tên người trả giá. Hết thời gian ghi phiếu (05 phút kể từ thời điểm phát phiếu), người tham gia đấu giá trực tiếp bỏ phiếu vào thùng phiếu; đấu giá viên kiểm đếm và công bố số phiếu phát ra, số phiếu thu về, số phiếu hợp lệ, số phiếu không hợp lệ, công bố giá trả của từng phiếu trả giá, giá trả cao nhất với sự giám sát của ít nhất một người tham gia đấu giá. </w:t>
      </w:r>
    </w:p>
    <w:p w14:paraId="0084ACB3" w14:textId="77777777" w:rsidR="00B141FA" w:rsidRPr="00B141FA" w:rsidRDefault="00B141FA" w:rsidP="00B141FA">
      <w:pPr>
        <w:spacing w:after="60" w:line="288" w:lineRule="auto"/>
        <w:ind w:firstLine="720"/>
        <w:jc w:val="both"/>
        <w:rPr>
          <w:rFonts w:eastAsia="Times New Roman"/>
          <w:sz w:val="26"/>
          <w:szCs w:val="26"/>
        </w:rPr>
      </w:pPr>
      <w:r w:rsidRPr="00B141FA">
        <w:rPr>
          <w:rFonts w:eastAsia="Times New Roman"/>
          <w:sz w:val="26"/>
          <w:szCs w:val="26"/>
        </w:rPr>
        <w:t xml:space="preserve">Sau khi đấu giá viên công bố giá cao nhất đã trả của vòng đấu giá đó thì người tham gia đấu giá tiếp tục trả giá cho vòng tiếp theo. Người từ chối không tham gia trả giá hoặc trả giá không hợp lệ ở vòng đấu giá trước thì sẽ không được tiếp tục trả giá ở vòng tiếp theo. Giá khởi điểm của vòng đấu giá tiếp theo là giá cao nhất đã trả ở vòng đấu giá trước liền kề. Phiên đấu giá kết thúc khi không còn ai tham gia trả giá. Đấu giá viên công bố người trả giá cao nhất và công bố người đó là người trúng đấu giá. </w:t>
      </w:r>
    </w:p>
    <w:p w14:paraId="7CE1F337" w14:textId="77777777" w:rsidR="00B141FA" w:rsidRPr="00B141FA" w:rsidRDefault="00B141FA" w:rsidP="00B141FA">
      <w:pPr>
        <w:spacing w:after="60" w:line="288" w:lineRule="auto"/>
        <w:ind w:firstLine="720"/>
        <w:jc w:val="both"/>
        <w:rPr>
          <w:rFonts w:eastAsia="Times New Roman"/>
          <w:sz w:val="26"/>
          <w:szCs w:val="26"/>
        </w:rPr>
      </w:pPr>
      <w:r w:rsidRPr="00B141FA">
        <w:rPr>
          <w:rFonts w:eastAsia="Times New Roman"/>
          <w:sz w:val="26"/>
          <w:szCs w:val="26"/>
        </w:rPr>
        <w:t xml:space="preserve">Trường hợp phiếu trả giá có sự sai lệch giữa số tiền trả giá bằng số và bằng chữ thì số tiền trả giá bằng chữ được xét là số tiền trả giá của người tham gia đấu giá. </w:t>
      </w:r>
    </w:p>
    <w:p w14:paraId="033C7AEC" w14:textId="77777777" w:rsidR="00B141FA" w:rsidRPr="00B141FA" w:rsidRDefault="00B141FA" w:rsidP="00B141FA">
      <w:pPr>
        <w:spacing w:after="60" w:line="288" w:lineRule="auto"/>
        <w:ind w:firstLine="720"/>
        <w:jc w:val="both"/>
        <w:rPr>
          <w:rFonts w:eastAsia="Times New Roman"/>
          <w:sz w:val="26"/>
          <w:szCs w:val="26"/>
        </w:rPr>
      </w:pPr>
      <w:r w:rsidRPr="00B141FA">
        <w:rPr>
          <w:rFonts w:eastAsia="Times New Roman"/>
          <w:sz w:val="26"/>
          <w:szCs w:val="26"/>
        </w:rPr>
        <w:t>Trường hợp nếu hết thời gian quy định mà khách hàng tham gia đấu giá không nộp phiếu trả giá thì bị mất quyền tham gia đấu giá.</w:t>
      </w:r>
    </w:p>
    <w:p w14:paraId="42446B01" w14:textId="77777777" w:rsidR="00B141FA" w:rsidRPr="00B141FA" w:rsidRDefault="00B141FA" w:rsidP="00B141FA">
      <w:pPr>
        <w:spacing w:after="60" w:line="288" w:lineRule="auto"/>
        <w:ind w:firstLine="720"/>
        <w:jc w:val="both"/>
        <w:rPr>
          <w:rFonts w:eastAsia="Times New Roman"/>
          <w:sz w:val="26"/>
          <w:szCs w:val="26"/>
        </w:rPr>
      </w:pPr>
      <w:r w:rsidRPr="00B141FA">
        <w:rPr>
          <w:rFonts w:eastAsia="Times New Roman"/>
          <w:sz w:val="26"/>
          <w:szCs w:val="26"/>
        </w:rPr>
        <w:t>Trường hợp có từ hai người trở lên cùng trả mức giá cao nhất, đấu giá viên tổ chức đấu giá tiếp giữa những người cùng trả giá cao nhất để chọn ra người trúng đấu giá. Nếu trong số những người có giá trả cao nhất có người tiếp tục trả giá thì đấu giá viên phát phiếu trả giá cho người đó; đấu giá viên công bố người đó là người trúng đấu giá nếu người đó có giá trả cao hơn. Nếu tất cả người có giá trả cao nhất không đồng ý đấu giá tiếp thì đấu giá viên tổ chức bốc thăm để chọn ra người trúng đấu giá. Phiếu bốc thăm gồm có: thăm “Trúng đấu giá” và thăm “Không trúng đấu giá”, người bốc được thăm “Trúng đấu giá” là người trúng đấu giá.</w:t>
      </w:r>
    </w:p>
    <w:p w14:paraId="55C9D2D7" w14:textId="5EFCBFCF" w:rsidR="00B141FA" w:rsidRPr="00B141FA" w:rsidRDefault="00484E53" w:rsidP="00B141FA">
      <w:pPr>
        <w:spacing w:after="60" w:line="288" w:lineRule="auto"/>
        <w:ind w:firstLine="720"/>
        <w:jc w:val="both"/>
        <w:rPr>
          <w:rFonts w:eastAsia="Times New Roman"/>
          <w:b/>
          <w:bCs/>
          <w:sz w:val="26"/>
          <w:szCs w:val="26"/>
        </w:rPr>
      </w:pPr>
      <w:r w:rsidRPr="00010C64">
        <w:rPr>
          <w:rFonts w:eastAsia="Times New Roman"/>
          <w:b/>
          <w:bCs/>
          <w:sz w:val="26"/>
          <w:szCs w:val="26"/>
          <w:u w:val="single"/>
        </w:rPr>
        <w:t xml:space="preserve">Điều </w:t>
      </w:r>
      <w:r>
        <w:rPr>
          <w:rFonts w:eastAsia="Times New Roman"/>
          <w:b/>
          <w:bCs/>
          <w:sz w:val="26"/>
          <w:szCs w:val="26"/>
          <w:u w:val="single"/>
        </w:rPr>
        <w:t>7</w:t>
      </w:r>
      <w:r w:rsidRPr="00010C64">
        <w:rPr>
          <w:rFonts w:eastAsia="Times New Roman"/>
          <w:b/>
          <w:bCs/>
          <w:sz w:val="26"/>
          <w:szCs w:val="26"/>
        </w:rPr>
        <w:t xml:space="preserve">: </w:t>
      </w:r>
      <w:r w:rsidR="00B141FA" w:rsidRPr="00B141FA">
        <w:rPr>
          <w:rFonts w:eastAsia="Times New Roman"/>
          <w:b/>
          <w:bCs/>
          <w:sz w:val="26"/>
          <w:szCs w:val="26"/>
        </w:rPr>
        <w:t>Phiếu trả giá hợp lệ; phiếu trả giá không hợp lệ và cách trả giá:</w:t>
      </w:r>
    </w:p>
    <w:p w14:paraId="3AAA6BE8" w14:textId="77777777" w:rsidR="00B141FA" w:rsidRPr="00B141FA" w:rsidRDefault="00B141FA" w:rsidP="00B141FA">
      <w:pPr>
        <w:spacing w:after="60" w:line="288" w:lineRule="auto"/>
        <w:ind w:firstLine="720"/>
        <w:jc w:val="both"/>
        <w:rPr>
          <w:rFonts w:eastAsia="Times New Roman"/>
          <w:sz w:val="26"/>
          <w:szCs w:val="26"/>
        </w:rPr>
      </w:pPr>
      <w:r w:rsidRPr="00B141FA">
        <w:rPr>
          <w:rFonts w:eastAsia="Times New Roman"/>
          <w:sz w:val="26"/>
          <w:szCs w:val="26"/>
        </w:rPr>
        <w:t xml:space="preserve">+ Phiếu trả giá hợp lệ là phiếu do Công ty Đấu giá Hợp danh Minh Nhật phát hành, có đóng dấu treo của Công ty, ghi đầy đủ các nội dung trên phiếu trả giá và đúng với thông tin trong hồ sơ đăng ký tham gia đấu giá; ghi rõ giá trả bằng số và chữ, giá trả bằng số và bằng chữ rõ ràng, trùng khớp, đúng bước giá quy định, có ký và ghi rõ họ tên người trả giá, bỏ vào thùng phiếu đúng thời gian quy định. </w:t>
      </w:r>
    </w:p>
    <w:p w14:paraId="36FA690A" w14:textId="77777777" w:rsidR="00B141FA" w:rsidRPr="00B141FA" w:rsidRDefault="00B141FA" w:rsidP="00B141FA">
      <w:pPr>
        <w:spacing w:after="60" w:line="288" w:lineRule="auto"/>
        <w:ind w:firstLine="720"/>
        <w:jc w:val="both"/>
        <w:rPr>
          <w:rFonts w:eastAsia="Times New Roman"/>
          <w:sz w:val="26"/>
          <w:szCs w:val="26"/>
        </w:rPr>
      </w:pPr>
      <w:r w:rsidRPr="00B141FA">
        <w:rPr>
          <w:rFonts w:eastAsia="Times New Roman"/>
          <w:sz w:val="26"/>
          <w:szCs w:val="26"/>
        </w:rPr>
        <w:t xml:space="preserve">+ Phiếu trả giá không hợp lệ là: phiếu không phải do Công ty Đấu giá Hợp danh Minh Nhật phát hành, phiếu trả thấp hơn giá khởi điểm, phiếu không trả giá, giá trả phần số và chữ không đọc được, phiếu trả không nguyên lần bước giá, phiếu thiếu các thông tin (bao gồm: họ, tên người tham gia đấu giá, giá trả, chữ ký người tham gia đấu giá). </w:t>
      </w:r>
    </w:p>
    <w:p w14:paraId="10A3BBC8" w14:textId="3F9C8298" w:rsidR="00B141FA" w:rsidRPr="00010C64" w:rsidRDefault="00B141FA" w:rsidP="00B141FA">
      <w:pPr>
        <w:spacing w:after="60" w:line="288" w:lineRule="auto"/>
        <w:ind w:firstLine="720"/>
        <w:jc w:val="both"/>
        <w:rPr>
          <w:rFonts w:eastAsia="Times New Roman"/>
          <w:sz w:val="26"/>
          <w:szCs w:val="26"/>
        </w:rPr>
      </w:pPr>
      <w:r w:rsidRPr="00484E53">
        <w:rPr>
          <w:rFonts w:eastAsia="Times New Roman"/>
          <w:b/>
          <w:bCs/>
          <w:sz w:val="26"/>
          <w:szCs w:val="26"/>
        </w:rPr>
        <w:t>Cách thức trả giá:</w:t>
      </w:r>
      <w:r w:rsidRPr="00B141FA">
        <w:rPr>
          <w:rFonts w:eastAsia="Times New Roman"/>
          <w:sz w:val="26"/>
          <w:szCs w:val="26"/>
        </w:rPr>
        <w:t xml:space="preserve"> Khách hàng tham gia đấu giá phải trả giá bằng số nguyên lần bước giá (tức là giá trả bằng: giá khởi điểm cộng với nguyên lần bước giá, ví dụ: Giá khởi điểm + 01 bước giá hoặc 02 bước giá hoặc 03 bước giá…)</w:t>
      </w:r>
      <w:r w:rsidRPr="00B141FA">
        <w:rPr>
          <w:rFonts w:eastAsia="Times New Roman"/>
          <w:sz w:val="26"/>
          <w:szCs w:val="26"/>
        </w:rPr>
        <w:tab/>
      </w:r>
    </w:p>
    <w:p w14:paraId="69605E66" w14:textId="1BB8D2FA" w:rsidR="00CB3567" w:rsidRPr="00010C64" w:rsidRDefault="00CB3567" w:rsidP="00D9761C">
      <w:pPr>
        <w:spacing w:after="60" w:line="288" w:lineRule="auto"/>
        <w:ind w:firstLine="680"/>
        <w:jc w:val="both"/>
        <w:rPr>
          <w:rFonts w:eastAsia="Arial Unicode MS"/>
          <w:sz w:val="26"/>
          <w:szCs w:val="26"/>
          <w:lang w:val="pt-BR"/>
        </w:rPr>
      </w:pPr>
      <w:r w:rsidRPr="00010C64">
        <w:rPr>
          <w:rFonts w:eastAsia="Times New Roman"/>
          <w:b/>
          <w:bCs/>
          <w:sz w:val="26"/>
          <w:szCs w:val="26"/>
          <w:u w:val="single"/>
        </w:rPr>
        <w:t xml:space="preserve">Điều </w:t>
      </w:r>
      <w:r w:rsidR="00484E53">
        <w:rPr>
          <w:rFonts w:eastAsia="Times New Roman"/>
          <w:b/>
          <w:bCs/>
          <w:sz w:val="26"/>
          <w:szCs w:val="26"/>
          <w:u w:val="single"/>
        </w:rPr>
        <w:t>8</w:t>
      </w:r>
      <w:r w:rsidRPr="00010C64">
        <w:rPr>
          <w:rFonts w:eastAsia="Times New Roman"/>
          <w:b/>
          <w:bCs/>
          <w:sz w:val="26"/>
          <w:szCs w:val="26"/>
        </w:rPr>
        <w:t>: Rút lại giá đã trả</w:t>
      </w:r>
    </w:p>
    <w:p w14:paraId="31124DFD" w14:textId="77777777" w:rsidR="00CB3567" w:rsidRPr="00010C64" w:rsidRDefault="00CB3567" w:rsidP="00D9761C">
      <w:pPr>
        <w:spacing w:after="60" w:line="288" w:lineRule="auto"/>
        <w:ind w:firstLine="660"/>
        <w:jc w:val="both"/>
        <w:rPr>
          <w:rFonts w:eastAsia="Times New Roman"/>
          <w:sz w:val="26"/>
          <w:szCs w:val="26"/>
        </w:rPr>
      </w:pPr>
      <w:r w:rsidRPr="00010C64">
        <w:rPr>
          <w:rFonts w:eastAsia="Times New Roman"/>
          <w:sz w:val="26"/>
          <w:szCs w:val="26"/>
        </w:rPr>
        <w:t xml:space="preserve">Tại phiên đấu giá thực hiện bằng phương thức trả giá lên theo hình thức đấu giá bằng bỏ phiếu trực tiếp tại phiên đấu giá, nếu người đã trả giá cao nhất rút lại giá đã trả trước khi đấu giá viên công bố người trúng đấu giá thì phiên đấu giá vẫn tiếp tục và bắt </w:t>
      </w:r>
      <w:r w:rsidRPr="00010C64">
        <w:rPr>
          <w:rFonts w:eastAsia="Times New Roman"/>
          <w:sz w:val="26"/>
          <w:szCs w:val="26"/>
        </w:rPr>
        <w:lastRenderedPageBreak/>
        <w:t xml:space="preserve">đầu từ giá của người trả giá liền kề trước đó. Người rút lại giá đã trả bị truất quyền tham gia cuộc đấu giá. </w:t>
      </w:r>
    </w:p>
    <w:p w14:paraId="2646C212" w14:textId="1BDBC663" w:rsidR="00CB3567" w:rsidRPr="00010C64" w:rsidRDefault="00CB3567" w:rsidP="00D9761C">
      <w:pPr>
        <w:spacing w:after="60" w:line="288" w:lineRule="auto"/>
        <w:ind w:firstLine="660"/>
        <w:jc w:val="both"/>
        <w:rPr>
          <w:rFonts w:eastAsia="Times New Roman"/>
          <w:sz w:val="26"/>
          <w:szCs w:val="26"/>
        </w:rPr>
      </w:pPr>
      <w:r w:rsidRPr="00010C64">
        <w:rPr>
          <w:rFonts w:eastAsia="Times New Roman"/>
          <w:b/>
          <w:bCs/>
          <w:sz w:val="26"/>
          <w:szCs w:val="26"/>
          <w:u w:val="single"/>
        </w:rPr>
        <w:t xml:space="preserve">Điều </w:t>
      </w:r>
      <w:r w:rsidR="00484E53">
        <w:rPr>
          <w:rFonts w:eastAsia="Times New Roman"/>
          <w:b/>
          <w:bCs/>
          <w:sz w:val="26"/>
          <w:szCs w:val="26"/>
          <w:u w:val="single"/>
        </w:rPr>
        <w:t>9</w:t>
      </w:r>
      <w:r w:rsidRPr="00010C64">
        <w:rPr>
          <w:rFonts w:eastAsia="Times New Roman"/>
          <w:b/>
          <w:bCs/>
          <w:sz w:val="26"/>
          <w:szCs w:val="26"/>
        </w:rPr>
        <w:t>. Từ chối kết quả trúng đấu giá</w:t>
      </w:r>
    </w:p>
    <w:p w14:paraId="049AECFA" w14:textId="0278EC1C" w:rsidR="00CB3567" w:rsidRPr="00484E53" w:rsidRDefault="00CB3567" w:rsidP="00484E53">
      <w:pPr>
        <w:tabs>
          <w:tab w:val="left" w:pos="660"/>
        </w:tabs>
        <w:spacing w:after="60" w:line="288" w:lineRule="auto"/>
        <w:jc w:val="both"/>
        <w:rPr>
          <w:rFonts w:eastAsia="Times New Roman"/>
          <w:sz w:val="26"/>
          <w:szCs w:val="26"/>
        </w:rPr>
      </w:pPr>
      <w:r w:rsidRPr="00010C64">
        <w:rPr>
          <w:rFonts w:eastAsia="Times New Roman"/>
          <w:sz w:val="26"/>
          <w:szCs w:val="26"/>
        </w:rPr>
        <w:tab/>
        <w:t>Trường hợp đấu giá theo phương thức trả giá lên, sau khi đấu giá viên điều hành phiên đấu giá đã công bố người trúng đấu giá mà tại phiên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 Trường hợp giá liền kề cộng với khoản tiền đặt trước nhỏ hơn giá đã trả của người từ chối kết quả trúng đấu giá hoặc người trả giá liền kề không chấp nhận mua tài sản đấu giá thì cuộc đấu giá không thành.</w:t>
      </w:r>
    </w:p>
    <w:p w14:paraId="735E0F75" w14:textId="48A3B3D3" w:rsidR="00214AD5" w:rsidRPr="00484E53" w:rsidRDefault="00410810" w:rsidP="00484E53">
      <w:pPr>
        <w:spacing w:after="60" w:line="288" w:lineRule="auto"/>
        <w:ind w:firstLine="720"/>
        <w:jc w:val="both"/>
        <w:rPr>
          <w:rFonts w:eastAsia="Times New Roman"/>
          <w:spacing w:val="-4"/>
          <w:sz w:val="26"/>
          <w:szCs w:val="26"/>
        </w:rPr>
      </w:pPr>
      <w:r w:rsidRPr="00010C64">
        <w:rPr>
          <w:rFonts w:eastAsia="Times New Roman"/>
          <w:b/>
          <w:bCs/>
          <w:spacing w:val="-4"/>
          <w:sz w:val="26"/>
          <w:szCs w:val="26"/>
          <w:u w:val="single"/>
        </w:rPr>
        <w:t>Điều 1</w:t>
      </w:r>
      <w:r w:rsidR="00484E53">
        <w:rPr>
          <w:rFonts w:eastAsia="Times New Roman"/>
          <w:b/>
          <w:bCs/>
          <w:spacing w:val="-4"/>
          <w:sz w:val="26"/>
          <w:szCs w:val="26"/>
          <w:u w:val="single"/>
        </w:rPr>
        <w:t>0</w:t>
      </w:r>
      <w:r w:rsidRPr="00010C64">
        <w:rPr>
          <w:rFonts w:eastAsia="Times New Roman"/>
          <w:b/>
          <w:bCs/>
          <w:spacing w:val="-4"/>
          <w:sz w:val="26"/>
          <w:szCs w:val="26"/>
          <w:u w:val="single"/>
        </w:rPr>
        <w:t>.</w:t>
      </w:r>
      <w:r w:rsidRPr="00010C64">
        <w:rPr>
          <w:rFonts w:eastAsia="Times New Roman"/>
          <w:spacing w:val="-4"/>
          <w:sz w:val="26"/>
          <w:szCs w:val="26"/>
        </w:rPr>
        <w:t xml:space="preserve"> </w:t>
      </w:r>
      <w:r w:rsidRPr="00010C64">
        <w:rPr>
          <w:rFonts w:eastAsia="Times New Roman"/>
          <w:b/>
          <w:bCs/>
          <w:spacing w:val="-2"/>
          <w:sz w:val="26"/>
          <w:szCs w:val="26"/>
        </w:rPr>
        <w:t>Đấu giá trong trường hợp chỉ có một người đăng ký tham gia đấu</w:t>
      </w:r>
      <w:r w:rsidRPr="00010C64">
        <w:rPr>
          <w:rFonts w:eastAsia="Times New Roman"/>
          <w:b/>
          <w:bCs/>
          <w:spacing w:val="-4"/>
          <w:sz w:val="26"/>
          <w:szCs w:val="26"/>
        </w:rPr>
        <w:t xml:space="preserve"> </w:t>
      </w:r>
      <w:r w:rsidRPr="00010C64">
        <w:rPr>
          <w:rFonts w:eastAsia="Times New Roman"/>
          <w:b/>
          <w:bCs/>
          <w:sz w:val="26"/>
          <w:szCs w:val="26"/>
        </w:rPr>
        <w:t>giá, một người tham gia đấu giá, một người trả giá, một người chấp nhận giá</w:t>
      </w:r>
    </w:p>
    <w:p w14:paraId="6383AE42" w14:textId="2337BC35" w:rsidR="00410810" w:rsidRDefault="00410810" w:rsidP="00214AD5">
      <w:pPr>
        <w:spacing w:after="60" w:line="336" w:lineRule="auto"/>
        <w:ind w:firstLine="720"/>
        <w:jc w:val="both"/>
        <w:rPr>
          <w:rFonts w:eastAsia="Times New Roman"/>
          <w:sz w:val="26"/>
          <w:szCs w:val="26"/>
        </w:rPr>
      </w:pPr>
      <w:r w:rsidRPr="00010C64">
        <w:rPr>
          <w:rFonts w:eastAsia="Times New Roman"/>
          <w:b/>
          <w:bCs/>
          <w:sz w:val="26"/>
          <w:szCs w:val="26"/>
        </w:rPr>
        <w:t>1.</w:t>
      </w:r>
      <w:r w:rsidRPr="00010C64">
        <w:rPr>
          <w:rFonts w:eastAsia="Times New Roman"/>
          <w:sz w:val="26"/>
          <w:szCs w:val="26"/>
        </w:rPr>
        <w:t xml:space="preserve"> Việc đấu giá tài sản trong trường hợp chỉ có một người đăng ký tham gia đấu giá, một người tham gia đấu giá, một người trả giá, một người chấp nhận giá được thực hiện như sau:</w:t>
      </w:r>
    </w:p>
    <w:p w14:paraId="05E985EE" w14:textId="77777777" w:rsidR="00214AD5" w:rsidRPr="00214AD5" w:rsidRDefault="00214AD5" w:rsidP="00214AD5">
      <w:pPr>
        <w:spacing w:after="60" w:line="336" w:lineRule="auto"/>
        <w:ind w:firstLine="720"/>
        <w:jc w:val="both"/>
        <w:rPr>
          <w:rFonts w:eastAsia="Times New Roman"/>
          <w:sz w:val="26"/>
          <w:szCs w:val="26"/>
        </w:rPr>
      </w:pPr>
      <w:r w:rsidRPr="00214AD5">
        <w:rPr>
          <w:rFonts w:eastAsia="Times New Roman"/>
          <w:sz w:val="26"/>
          <w:szCs w:val="26"/>
        </w:rPr>
        <w:t>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dự phiên đấu giá hoặc có nhiều người tham dự phiên đấu giá nhưng chỉ có một người trả giá hợp lệ hoặc có nhiều người trả giá nhưng chỉ có một người trả giá cao nhất và ít nhất bằng giá khởi điểm thì tài sản được bán cho người đó;</w:t>
      </w:r>
    </w:p>
    <w:p w14:paraId="3156109E" w14:textId="6AC3BD65" w:rsidR="00214AD5" w:rsidRDefault="00214AD5" w:rsidP="00214AD5">
      <w:pPr>
        <w:spacing w:after="60" w:line="336" w:lineRule="auto"/>
        <w:jc w:val="both"/>
        <w:rPr>
          <w:rFonts w:eastAsia="Times New Roman"/>
          <w:sz w:val="26"/>
          <w:szCs w:val="26"/>
        </w:rPr>
      </w:pPr>
      <w:r w:rsidRPr="00214AD5">
        <w:rPr>
          <w:rFonts w:eastAsia="Times New Roman"/>
          <w:sz w:val="26"/>
          <w:szCs w:val="26"/>
        </w:rPr>
        <w:tab/>
        <w:t>2. Việc đấu giá tài sản theo quy định tại khoản 1 Điều này chỉ được tiến hành sau khi đã thực hiện đầy đủ trình tự, thủ tục đấu giá tài sản theo quy định của Luật này và không có khiếu nại liên quan đến trình tự, thủ tục cho đến ngày tổ chức phiên đấu giá;</w:t>
      </w:r>
    </w:p>
    <w:p w14:paraId="1F2901DE" w14:textId="1FF0C2DF" w:rsidR="00484E53" w:rsidRPr="00484E53" w:rsidRDefault="00484E53" w:rsidP="00484E53">
      <w:pPr>
        <w:spacing w:after="60" w:line="336" w:lineRule="auto"/>
        <w:ind w:firstLine="720"/>
        <w:jc w:val="both"/>
        <w:rPr>
          <w:rFonts w:eastAsia="Times New Roman"/>
          <w:b/>
          <w:bCs/>
          <w:sz w:val="26"/>
          <w:szCs w:val="26"/>
        </w:rPr>
      </w:pPr>
      <w:r w:rsidRPr="00010C64">
        <w:rPr>
          <w:rFonts w:eastAsia="Times New Roman"/>
          <w:b/>
          <w:bCs/>
          <w:spacing w:val="-4"/>
          <w:sz w:val="26"/>
          <w:szCs w:val="26"/>
          <w:u w:val="single"/>
        </w:rPr>
        <w:t>Điều 1</w:t>
      </w:r>
      <w:r>
        <w:rPr>
          <w:rFonts w:eastAsia="Times New Roman"/>
          <w:b/>
          <w:bCs/>
          <w:spacing w:val="-4"/>
          <w:sz w:val="26"/>
          <w:szCs w:val="26"/>
          <w:u w:val="single"/>
        </w:rPr>
        <w:t>1</w:t>
      </w:r>
      <w:r w:rsidRPr="00010C64">
        <w:rPr>
          <w:rFonts w:eastAsia="Times New Roman"/>
          <w:b/>
          <w:bCs/>
          <w:spacing w:val="-4"/>
          <w:sz w:val="26"/>
          <w:szCs w:val="26"/>
          <w:u w:val="single"/>
        </w:rPr>
        <w:t>.</w:t>
      </w:r>
      <w:r w:rsidRPr="00010C64">
        <w:rPr>
          <w:rFonts w:eastAsia="Times New Roman"/>
          <w:spacing w:val="-4"/>
          <w:sz w:val="26"/>
          <w:szCs w:val="26"/>
        </w:rPr>
        <w:t xml:space="preserve"> </w:t>
      </w:r>
      <w:r w:rsidRPr="00484E53">
        <w:rPr>
          <w:rFonts w:eastAsia="Times New Roman"/>
          <w:b/>
          <w:bCs/>
          <w:sz w:val="26"/>
          <w:szCs w:val="26"/>
        </w:rPr>
        <w:t xml:space="preserve">Truất quyền tham gia đấu giá, xử lý tiền đặt trước: </w:t>
      </w:r>
    </w:p>
    <w:p w14:paraId="03395CFF" w14:textId="47DC63B1" w:rsidR="00484E53" w:rsidRPr="00484E53" w:rsidRDefault="00484E53" w:rsidP="00484E53">
      <w:pPr>
        <w:spacing w:after="60" w:line="336" w:lineRule="auto"/>
        <w:ind w:firstLine="720"/>
        <w:jc w:val="both"/>
        <w:rPr>
          <w:rFonts w:eastAsia="Times New Roman"/>
          <w:sz w:val="26"/>
          <w:szCs w:val="26"/>
        </w:rPr>
      </w:pPr>
      <w:r w:rsidRPr="00484E53">
        <w:rPr>
          <w:rFonts w:eastAsia="Times New Roman"/>
          <w:b/>
          <w:bCs/>
          <w:sz w:val="26"/>
          <w:szCs w:val="26"/>
        </w:rPr>
        <w:t>1.</w:t>
      </w:r>
      <w:r w:rsidRPr="00484E53">
        <w:rPr>
          <w:rFonts w:eastAsia="Times New Roman"/>
          <w:sz w:val="26"/>
          <w:szCs w:val="26"/>
        </w:rPr>
        <w:t xml:space="preserve"> Người tham gia đấu giá bị truất quyền tham gia đấu giá nếu vi phạm một trong những quy định sau:</w:t>
      </w:r>
    </w:p>
    <w:p w14:paraId="4AB150B8"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Người trả giá cao nhất rút lại giá đã trả theo quy định tại Điều 50 Luật đấu giá tài sản năm 2016, sửa đổi bổ sung năm 2024;</w:t>
      </w:r>
    </w:p>
    <w:p w14:paraId="0F727186"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Có hành vi vi phạm quy định tại khoản 5, Điều 9 Luật đấu giá tài sản năm 2016, sửa đổi bổ sung năm 2024;</w:t>
      </w:r>
    </w:p>
    <w:p w14:paraId="3479E185" w14:textId="7270B1BC"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Cung cấp thông tin, tài liệu sai sự thật; sử dụng giấy tờ giả mạo để đăng ký tham gia đấu giá, tham dự phiên đấu giá;</w:t>
      </w:r>
    </w:p>
    <w:p w14:paraId="42CD7BDD"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6015B13D"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lastRenderedPageBreak/>
        <w:t>+ Cản trở hoạt động đấu giá tài sản; gây rối, mất trật tự tại phiên đấu giá;</w:t>
      </w:r>
    </w:p>
    <w:p w14:paraId="3B3D56D7"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Đe dọa, cưỡng ép đấu giá viên, người tham gia đấu giá khác nhằm làm sai lệch kết quả đấu giá tài sản;</w:t>
      </w:r>
    </w:p>
    <w:p w14:paraId="3B393C3D"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1DC8CA9A"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Tham dự phiên đấu giá trong trường hợp vợ, chồng, anh ruột, chị ruột, em ruột cũng là người tham gia đấu giá đối với tài sản đó;</w:t>
      </w:r>
    </w:p>
    <w:p w14:paraId="3B1132A3"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1DD07600"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Các hành vi bị nghiêm cấm khác theo quy định của luật có liên quan.</w:t>
      </w:r>
    </w:p>
    <w:p w14:paraId="614BAF38"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b/>
          <w:bCs/>
          <w:sz w:val="26"/>
          <w:szCs w:val="26"/>
        </w:rPr>
        <w:t>2.</w:t>
      </w:r>
      <w:r w:rsidRPr="00484E53">
        <w:rPr>
          <w:rFonts w:eastAsia="Times New Roman"/>
          <w:sz w:val="26"/>
          <w:szCs w:val="26"/>
        </w:rPr>
        <w:t xml:space="preserve"> Xử lý tiền đặt trước: </w:t>
      </w:r>
    </w:p>
    <w:p w14:paraId="2F8DF3A7"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Người tham gia đấu giá không được nhận lại tiền đặt trước trong các trường hợp sau đây:</w:t>
      </w:r>
    </w:p>
    <w:p w14:paraId="73C90E41"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xml:space="preserve">- Đã nộp tiền đặt trước nhưng không tham dự phiên đấu giá, buổi công bố giá mà không thuộc trường hợp bất khả kháng; </w:t>
      </w:r>
    </w:p>
    <w:p w14:paraId="0334C37C"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Bị truất quyền tham gia đấu giá do có hành vi vi phạm quy định tại khoản 5, Điều 9 Luật đấu giá tài sản năm 2016, sửa đổi bổ sung năm 2024.</w:t>
      </w:r>
    </w:p>
    <w:p w14:paraId="1A3C26DE"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Từ chối ký biên bản đấu giá theo quy định tại khoản 3 Điều 44 của Luật đấu giá tài sản năm 2016, sửa đổi bổ sung năm 2024.</w:t>
      </w:r>
    </w:p>
    <w:p w14:paraId="10ABDCAF"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Rút lại giá đã trả hoặc giá đã chấp nhận theo quy định tại Điều 50 của Luật đấu giá tài sản năm 2016, sửa đổi bổ sung năm 2024.</w:t>
      </w:r>
    </w:p>
    <w:p w14:paraId="2C3DDB60" w14:textId="77777777" w:rsidR="00484E53" w:rsidRPr="00484E53" w:rsidRDefault="00484E53" w:rsidP="00484E53">
      <w:pPr>
        <w:spacing w:after="60" w:line="336" w:lineRule="auto"/>
        <w:ind w:firstLine="720"/>
        <w:jc w:val="both"/>
        <w:rPr>
          <w:rFonts w:eastAsia="Times New Roman"/>
          <w:sz w:val="26"/>
          <w:szCs w:val="26"/>
        </w:rPr>
      </w:pPr>
      <w:r w:rsidRPr="00484E53">
        <w:rPr>
          <w:rFonts w:eastAsia="Times New Roman"/>
          <w:sz w:val="26"/>
          <w:szCs w:val="26"/>
        </w:rPr>
        <w:t>- Từ chối kết quả trúng đấu giá theo quy định tại Điều 51 của Luật đấu giá tài sản năm 2016, sửa đổi bổ sung năm 2024.</w:t>
      </w:r>
    </w:p>
    <w:p w14:paraId="43FBD0D9" w14:textId="14490248" w:rsidR="00CB3567" w:rsidRPr="00D2482F" w:rsidRDefault="00484E53" w:rsidP="00D2482F">
      <w:pPr>
        <w:spacing w:after="60" w:line="336" w:lineRule="auto"/>
        <w:ind w:firstLine="720"/>
        <w:jc w:val="both"/>
        <w:rPr>
          <w:rFonts w:eastAsia="Times New Roman"/>
          <w:sz w:val="26"/>
          <w:szCs w:val="26"/>
        </w:rPr>
      </w:pPr>
      <w:r w:rsidRPr="00484E53">
        <w:rPr>
          <w:rFonts w:eastAsia="Times New Roman"/>
          <w:sz w:val="26"/>
          <w:szCs w:val="26"/>
        </w:rPr>
        <w:t xml:space="preserve"> Số tiền đặt trước trong các trường hợp trên thuộc về bên có tài sản đấu giá.</w:t>
      </w:r>
      <w:r w:rsidR="00CB3567" w:rsidRPr="00010C64">
        <w:rPr>
          <w:rFonts w:eastAsia="Times New Roman"/>
          <w:sz w:val="26"/>
          <w:szCs w:val="26"/>
          <w:lang w:val="vi-VN"/>
        </w:rPr>
        <w:t xml:space="preserve"> </w:t>
      </w:r>
    </w:p>
    <w:p w14:paraId="2E87EDB3" w14:textId="4318FBBA" w:rsidR="00CB3567" w:rsidRPr="00010C64" w:rsidRDefault="00CB3567" w:rsidP="00D9761C">
      <w:pPr>
        <w:spacing w:after="60" w:line="288" w:lineRule="auto"/>
        <w:ind w:firstLine="720"/>
        <w:jc w:val="both"/>
        <w:rPr>
          <w:rFonts w:eastAsia="Times New Roman"/>
          <w:b/>
          <w:bCs/>
          <w:sz w:val="26"/>
          <w:szCs w:val="26"/>
          <w:lang w:val="vi-VN"/>
        </w:rPr>
      </w:pPr>
      <w:r w:rsidRPr="00010C64">
        <w:rPr>
          <w:rFonts w:eastAsia="Times New Roman"/>
          <w:b/>
          <w:bCs/>
          <w:sz w:val="26"/>
          <w:szCs w:val="26"/>
          <w:u w:val="single"/>
          <w:lang w:val="vi-VN"/>
        </w:rPr>
        <w:t>Điều 1</w:t>
      </w:r>
      <w:r w:rsidR="00D2482F">
        <w:rPr>
          <w:rFonts w:eastAsia="Times New Roman"/>
          <w:b/>
          <w:bCs/>
          <w:sz w:val="26"/>
          <w:szCs w:val="26"/>
          <w:u w:val="single"/>
        </w:rPr>
        <w:t>2</w:t>
      </w:r>
      <w:r w:rsidRPr="00010C64">
        <w:rPr>
          <w:rFonts w:eastAsia="Times New Roman"/>
          <w:b/>
          <w:bCs/>
          <w:sz w:val="26"/>
          <w:szCs w:val="26"/>
          <w:lang w:val="vi-VN"/>
        </w:rPr>
        <w:t xml:space="preserve">. Hợp đồng mua bán tài sản đấu giá </w:t>
      </w:r>
    </w:p>
    <w:p w14:paraId="2FB6AFD7" w14:textId="77777777" w:rsidR="00CB3567" w:rsidRPr="00010C64" w:rsidRDefault="00CB3567" w:rsidP="00D9761C">
      <w:pPr>
        <w:spacing w:after="60" w:line="288" w:lineRule="auto"/>
        <w:ind w:firstLine="567"/>
        <w:jc w:val="both"/>
        <w:rPr>
          <w:rFonts w:eastAsia="Times New Roman"/>
          <w:sz w:val="26"/>
          <w:szCs w:val="26"/>
          <w:shd w:val="clear" w:color="auto" w:fill="FFFFFF"/>
        </w:rPr>
      </w:pPr>
      <w:r w:rsidRPr="00010C64">
        <w:rPr>
          <w:rFonts w:eastAsia="Times New Roman"/>
          <w:sz w:val="26"/>
          <w:szCs w:val="26"/>
          <w:shd w:val="clear" w:color="auto" w:fill="FFFFFF"/>
        </w:rPr>
        <w:t>Kết quả đấu giá tài sản là căn cứ để các bên ký kết hợp đồng mua bán tài sản đấu giá hoặc cơ sở để cơ quan có thẩm quyền phê duyệt. Hợp đồng mua bán tài sản đấu giá được ký kết giữa người có tài sản đấu giá với người trúng đấu giá hoặc giữa người có tài sản đấu giá, người trúng đấu giá và tổ chức hành nghề đấu giá tài sản nếu các bên có thỏa thuận, trừ trường hợp pháp luật có quy định khác. Hợp đồng mua bán tài sản đấu giá được thực hiện theo quy định của pháp luật về dân sự.</w:t>
      </w:r>
    </w:p>
    <w:p w14:paraId="0E848D58" w14:textId="77777777" w:rsidR="00CB3567" w:rsidRPr="00D2482F" w:rsidRDefault="00CB3567" w:rsidP="00D9761C">
      <w:pPr>
        <w:spacing w:after="60" w:line="288" w:lineRule="auto"/>
        <w:ind w:firstLine="567"/>
        <w:jc w:val="both"/>
        <w:rPr>
          <w:rFonts w:eastAsia="Times New Roman"/>
          <w:sz w:val="26"/>
          <w:szCs w:val="26"/>
          <w:shd w:val="clear" w:color="auto" w:fill="FFFFFF"/>
        </w:rPr>
      </w:pPr>
      <w:r w:rsidRPr="00D2482F">
        <w:rPr>
          <w:rFonts w:eastAsia="Times New Roman"/>
          <w:sz w:val="26"/>
          <w:szCs w:val="26"/>
          <w:shd w:val="clear" w:color="auto" w:fill="FFFFFF"/>
        </w:rPr>
        <w:lastRenderedPageBreak/>
        <w:t> Trong thời hạn 07 ngày làm việc kể từ ngày nhận được hồ sơ cuộc đấu giá theo quy định tại </w:t>
      </w:r>
      <w:bookmarkStart w:id="0" w:name="tc_56"/>
      <w:r w:rsidRPr="00D2482F">
        <w:rPr>
          <w:rFonts w:eastAsia="Times New Roman"/>
          <w:sz w:val="26"/>
          <w:szCs w:val="26"/>
          <w:shd w:val="clear" w:color="auto" w:fill="FFFFFF"/>
        </w:rPr>
        <w:t xml:space="preserve">khoản 2 Điều 45 của Luật </w:t>
      </w:r>
      <w:bookmarkEnd w:id="0"/>
      <w:r w:rsidRPr="00D2482F">
        <w:rPr>
          <w:rFonts w:eastAsia="Times New Roman"/>
          <w:sz w:val="26"/>
          <w:szCs w:val="26"/>
          <w:shd w:val="clear" w:color="auto" w:fill="FFFFFF"/>
        </w:rPr>
        <w:t>đấu giá tài sản thì người có tài sản đấu giá và người trúng đấu giá ký kết hợp đồng mua bán tài sản đấu giá, trừ trường hợp pháp luật có quy định khác.</w:t>
      </w:r>
    </w:p>
    <w:p w14:paraId="0E2F3254" w14:textId="7487EF87" w:rsidR="00CB3567" w:rsidRPr="00010C64" w:rsidRDefault="00CB3567" w:rsidP="00D9761C">
      <w:pPr>
        <w:spacing w:after="60" w:line="288" w:lineRule="auto"/>
        <w:ind w:firstLine="567"/>
        <w:jc w:val="both"/>
        <w:rPr>
          <w:rFonts w:eastAsia="Times New Roman"/>
          <w:sz w:val="26"/>
          <w:szCs w:val="26"/>
          <w:shd w:val="clear" w:color="auto" w:fill="FFFFFF"/>
        </w:rPr>
      </w:pPr>
      <w:r w:rsidRPr="00010C64">
        <w:rPr>
          <w:rFonts w:eastAsia="Times New Roman"/>
          <w:sz w:val="26"/>
          <w:szCs w:val="26"/>
          <w:shd w:val="clear" w:color="auto" w:fill="FFFFFF"/>
        </w:rPr>
        <w:t>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w:t>
      </w:r>
      <w:bookmarkStart w:id="1" w:name="tc_57"/>
      <w:r w:rsidRPr="00010C64">
        <w:rPr>
          <w:rFonts w:eastAsia="Times New Roman"/>
          <w:sz w:val="26"/>
          <w:szCs w:val="26"/>
          <w:shd w:val="clear" w:color="auto" w:fill="FFFFFF"/>
        </w:rPr>
        <w:t xml:space="preserve">khoản 3 Điều 44 của Luật </w:t>
      </w:r>
      <w:bookmarkEnd w:id="1"/>
      <w:r w:rsidRPr="00010C64">
        <w:rPr>
          <w:rFonts w:eastAsia="Times New Roman"/>
          <w:sz w:val="26"/>
          <w:szCs w:val="26"/>
          <w:shd w:val="clear" w:color="auto" w:fill="FFFFFF"/>
        </w:rPr>
        <w:t>đấu giá tài sản hoặc từ chối kết quả trúng đấu giá quy định tại </w:t>
      </w:r>
      <w:bookmarkStart w:id="2" w:name="tc_58"/>
      <w:r w:rsidRPr="00010C64">
        <w:rPr>
          <w:rFonts w:eastAsia="Times New Roman"/>
          <w:sz w:val="26"/>
          <w:szCs w:val="26"/>
          <w:shd w:val="clear" w:color="auto" w:fill="FFFFFF"/>
        </w:rPr>
        <w:t xml:space="preserve">Điều 51 của Luật </w:t>
      </w:r>
      <w:bookmarkEnd w:id="2"/>
      <w:r w:rsidRPr="00010C64">
        <w:rPr>
          <w:rFonts w:eastAsia="Times New Roman"/>
          <w:sz w:val="26"/>
          <w:szCs w:val="26"/>
          <w:shd w:val="clear" w:color="auto" w:fill="FFFFFF"/>
        </w:rPr>
        <w:t>đấu giá tài sản</w:t>
      </w:r>
      <w:r w:rsidR="000960CF" w:rsidRPr="00010C64">
        <w:rPr>
          <w:rFonts w:eastAsia="Times New Roman"/>
          <w:sz w:val="26"/>
          <w:szCs w:val="26"/>
          <w:shd w:val="clear" w:color="auto" w:fill="FFFFFF"/>
        </w:rPr>
        <w:t xml:space="preserve"> </w:t>
      </w:r>
      <w:r w:rsidR="000960CF" w:rsidRPr="00010C64">
        <w:rPr>
          <w:rFonts w:eastAsia="Times New Roman"/>
          <w:sz w:val="26"/>
          <w:szCs w:val="26"/>
        </w:rPr>
        <w:t>năm 2016, sửa đổi bổ sung một số điều năm 2024</w:t>
      </w:r>
      <w:r w:rsidRPr="00010C64">
        <w:rPr>
          <w:rFonts w:eastAsia="Times New Roman"/>
          <w:sz w:val="26"/>
          <w:szCs w:val="26"/>
          <w:shd w:val="clear" w:color="auto" w:fill="FFFFFF"/>
        </w:rPr>
        <w:t>. Kể từ thời điểm này, quyền và nghĩa vụ của các bên được thực hiện theo quy định của pháp luật về dân sự và quy định khác của pháp luật có liên quan.</w:t>
      </w:r>
    </w:p>
    <w:p w14:paraId="237264EA" w14:textId="6A918712" w:rsidR="003853B8" w:rsidRPr="00010C64" w:rsidRDefault="003853B8" w:rsidP="00D9761C">
      <w:pPr>
        <w:spacing w:after="60" w:line="288" w:lineRule="auto"/>
        <w:ind w:firstLine="709"/>
        <w:jc w:val="both"/>
        <w:rPr>
          <w:rFonts w:eastAsia="Times New Roman"/>
          <w:b/>
          <w:bCs/>
          <w:sz w:val="26"/>
          <w:szCs w:val="26"/>
        </w:rPr>
      </w:pPr>
      <w:r w:rsidRPr="00010C64">
        <w:rPr>
          <w:rFonts w:eastAsia="Times New Roman"/>
          <w:b/>
          <w:bCs/>
          <w:sz w:val="26"/>
          <w:szCs w:val="26"/>
          <w:u w:val="single"/>
        </w:rPr>
        <w:t>Điều 1</w:t>
      </w:r>
      <w:r w:rsidR="00D2482F">
        <w:rPr>
          <w:rFonts w:eastAsia="Times New Roman"/>
          <w:b/>
          <w:bCs/>
          <w:sz w:val="26"/>
          <w:szCs w:val="26"/>
          <w:u w:val="single"/>
        </w:rPr>
        <w:t>3</w:t>
      </w:r>
      <w:r w:rsidRPr="00010C64">
        <w:rPr>
          <w:rFonts w:eastAsia="Times New Roman"/>
          <w:b/>
          <w:bCs/>
          <w:sz w:val="26"/>
          <w:szCs w:val="26"/>
        </w:rPr>
        <w:t>. Thanh toán tiền mua tài sản:</w:t>
      </w:r>
    </w:p>
    <w:p w14:paraId="421343CC" w14:textId="77777777" w:rsidR="00FF6E68" w:rsidRPr="00010C64" w:rsidRDefault="00FF6E68" w:rsidP="00D9761C">
      <w:pPr>
        <w:spacing w:after="60" w:line="288" w:lineRule="auto"/>
        <w:ind w:firstLine="709"/>
        <w:jc w:val="both"/>
        <w:rPr>
          <w:rFonts w:eastAsia="Times New Roman"/>
          <w:sz w:val="26"/>
          <w:szCs w:val="26"/>
        </w:rPr>
      </w:pPr>
      <w:r w:rsidRPr="00010C64">
        <w:rPr>
          <w:rFonts w:eastAsia="Times New Roman"/>
          <w:sz w:val="26"/>
          <w:szCs w:val="26"/>
        </w:rPr>
        <w:t>Người trúng đấu giá thanh toán đủ tiền mua tài sản (sau khi đã trừ đi khoản tiền đặt trước) bằng hình thức chuyển tiền vào tài khoản của Ngân hàng TMCP Ngoại thương Việt Nam (Vietcombank) - CN Bắc Hà Tĩnh trong thời hạn không quá 20 ngày, kể từ ngày đấu giá thành và không được gia hạn thêm.</w:t>
      </w:r>
    </w:p>
    <w:p w14:paraId="781CCF29" w14:textId="77777777" w:rsidR="00FF6E68" w:rsidRPr="00010C64" w:rsidRDefault="00FF6E68" w:rsidP="00D9761C">
      <w:pPr>
        <w:spacing w:after="60" w:line="288" w:lineRule="auto"/>
        <w:ind w:firstLine="709"/>
        <w:jc w:val="both"/>
        <w:rPr>
          <w:rFonts w:eastAsia="Times New Roman"/>
          <w:sz w:val="26"/>
          <w:szCs w:val="26"/>
        </w:rPr>
      </w:pPr>
      <w:r w:rsidRPr="00010C64">
        <w:rPr>
          <w:rFonts w:eastAsia="Times New Roman"/>
          <w:sz w:val="26"/>
          <w:szCs w:val="26"/>
        </w:rPr>
        <w:t>Thông tin số tài khoản của Ngân hàng TMCP Ngoại thương Việt Nam - CN Bắc Hà Tĩnh như sau:</w:t>
      </w:r>
    </w:p>
    <w:p w14:paraId="044440DF" w14:textId="77777777" w:rsidR="00FF6E68" w:rsidRPr="00010C64" w:rsidRDefault="00FF6E68" w:rsidP="00D9761C">
      <w:pPr>
        <w:spacing w:after="60" w:line="288" w:lineRule="auto"/>
        <w:ind w:firstLine="709"/>
        <w:jc w:val="both"/>
        <w:rPr>
          <w:rFonts w:eastAsia="Times New Roman"/>
          <w:spacing w:val="-2"/>
          <w:sz w:val="26"/>
          <w:szCs w:val="26"/>
        </w:rPr>
      </w:pPr>
      <w:r w:rsidRPr="00010C64">
        <w:rPr>
          <w:rFonts w:eastAsia="Times New Roman"/>
          <w:spacing w:val="-2"/>
          <w:sz w:val="26"/>
          <w:szCs w:val="26"/>
        </w:rPr>
        <w:t>- Tên tài khoản:</w:t>
      </w:r>
      <w:r w:rsidRPr="00010C64">
        <w:rPr>
          <w:sz w:val="26"/>
          <w:szCs w:val="26"/>
        </w:rPr>
        <w:t xml:space="preserve"> </w:t>
      </w:r>
      <w:r w:rsidRPr="00010C64">
        <w:rPr>
          <w:rFonts w:eastAsia="Times New Roman"/>
          <w:spacing w:val="-2"/>
          <w:sz w:val="26"/>
          <w:szCs w:val="26"/>
        </w:rPr>
        <w:t>Ngân hàng TMCP Ngoại thương Việt Nam - CN Bắc Hà Tĩnh.</w:t>
      </w:r>
    </w:p>
    <w:p w14:paraId="497970EB" w14:textId="77777777" w:rsidR="00FF6E68" w:rsidRPr="00010C64" w:rsidRDefault="00FF6E68" w:rsidP="00D9761C">
      <w:pPr>
        <w:spacing w:after="60" w:line="288" w:lineRule="auto"/>
        <w:ind w:firstLine="709"/>
        <w:jc w:val="both"/>
        <w:rPr>
          <w:rFonts w:eastAsia="Times New Roman"/>
          <w:spacing w:val="-2"/>
          <w:sz w:val="26"/>
          <w:szCs w:val="26"/>
        </w:rPr>
      </w:pPr>
      <w:r w:rsidRPr="00010C64">
        <w:rPr>
          <w:rFonts w:eastAsia="Times New Roman"/>
          <w:spacing w:val="-2"/>
          <w:sz w:val="26"/>
          <w:szCs w:val="26"/>
        </w:rPr>
        <w:t xml:space="preserve">- Số TK: </w:t>
      </w:r>
      <w:bookmarkStart w:id="3" w:name="_Hlk108171822"/>
      <w:r w:rsidRPr="00010C64">
        <w:rPr>
          <w:rFonts w:eastAsia="Times New Roman"/>
          <w:b/>
          <w:spacing w:val="-2"/>
          <w:sz w:val="26"/>
          <w:szCs w:val="26"/>
          <w:lang w:val="nl-NL" w:eastAsia="en-US"/>
        </w:rPr>
        <w:t xml:space="preserve">6400270301014 </w:t>
      </w:r>
      <w:r w:rsidRPr="00010C64">
        <w:rPr>
          <w:rFonts w:eastAsia="Calibri"/>
          <w:spacing w:val="-2"/>
          <w:sz w:val="26"/>
          <w:szCs w:val="26"/>
          <w:lang w:eastAsia="en-US"/>
        </w:rPr>
        <w:t xml:space="preserve">tại </w:t>
      </w:r>
      <w:bookmarkEnd w:id="3"/>
      <w:r w:rsidRPr="00010C64">
        <w:rPr>
          <w:rFonts w:eastAsia="Calibri"/>
          <w:spacing w:val="-2"/>
          <w:sz w:val="26"/>
          <w:szCs w:val="26"/>
          <w:lang w:eastAsia="en-US"/>
        </w:rPr>
        <w:t>Ngân hàng TMCP Ngoại thương Việt Nam (Vietcombank) - CN Bắc Hà Tĩnh.</w:t>
      </w:r>
    </w:p>
    <w:p w14:paraId="52EDD344" w14:textId="77777777" w:rsidR="00FF6E68" w:rsidRPr="00010C64" w:rsidRDefault="00FF6E68" w:rsidP="00D9761C">
      <w:pPr>
        <w:spacing w:after="60" w:line="288" w:lineRule="auto"/>
        <w:ind w:firstLine="709"/>
        <w:jc w:val="both"/>
        <w:rPr>
          <w:rFonts w:eastAsia="Times New Roman"/>
          <w:sz w:val="26"/>
          <w:szCs w:val="26"/>
        </w:rPr>
      </w:pPr>
      <w:r w:rsidRPr="00010C64">
        <w:rPr>
          <w:rFonts w:eastAsia="Times New Roman"/>
          <w:sz w:val="26"/>
          <w:szCs w:val="26"/>
        </w:rPr>
        <w:t>- Nội dung: {Họ tên người trúng đấu giá} nộp tiền mua tài sản đấu giá của Ngân hàng TMCP Ngoại thương Việt Nam (Vietcombank) - CN Bắc Hà Tĩnh.</w:t>
      </w:r>
    </w:p>
    <w:p w14:paraId="08CEC720" w14:textId="77777777" w:rsidR="00FF6E68" w:rsidRPr="00010C64" w:rsidRDefault="00FF6E68" w:rsidP="00D9761C">
      <w:pPr>
        <w:spacing w:before="80" w:after="60" w:line="288" w:lineRule="auto"/>
        <w:ind w:right="-1" w:firstLine="567"/>
        <w:jc w:val="both"/>
        <w:rPr>
          <w:rFonts w:eastAsia="Times New Roman"/>
          <w:sz w:val="26"/>
          <w:szCs w:val="26"/>
          <w:highlight w:val="white"/>
        </w:rPr>
      </w:pPr>
      <w:r w:rsidRPr="00010C64">
        <w:rPr>
          <w:rFonts w:eastAsia="Times New Roman"/>
          <w:sz w:val="26"/>
          <w:szCs w:val="26"/>
          <w:highlight w:val="white"/>
        </w:rPr>
        <w:t xml:space="preserve">Trường hợp sau khi phiên đấu giá kết thúc mà người trúng đấu giá tài sản từ chối mua hoặc đã ký hợp đồng mua bán tài sản bán đấu giá nhưng chưa thanh toán thêm bất kỳ khoản tiền nào thì sau khi trừ chi phí đấu giá tài sản, khoản tiền đặt trước thuộc về bên có tài sản đấu giá. </w:t>
      </w:r>
    </w:p>
    <w:p w14:paraId="7FB9CDEB" w14:textId="77777777" w:rsidR="00FF6E68" w:rsidRPr="00010C64" w:rsidRDefault="00FF6E68" w:rsidP="00D9761C">
      <w:pPr>
        <w:spacing w:before="80" w:after="60" w:line="288" w:lineRule="auto"/>
        <w:ind w:right="-1" w:firstLine="567"/>
        <w:jc w:val="both"/>
        <w:rPr>
          <w:rFonts w:eastAsia="Times New Roman"/>
          <w:sz w:val="26"/>
          <w:szCs w:val="26"/>
          <w:highlight w:val="white"/>
        </w:rPr>
      </w:pPr>
      <w:r w:rsidRPr="00010C64">
        <w:rPr>
          <w:rFonts w:eastAsia="Times New Roman"/>
          <w:sz w:val="26"/>
          <w:szCs w:val="26"/>
          <w:highlight w:val="white"/>
        </w:rPr>
        <w:t xml:space="preserve">Trường hợp người mua được tài sản bán đấu giá không thực hiện đầy đủ hoặc không đúng hạn nghĩa vụ thanh toán theo hợp đồng thì tiền thanh toán mua tài sản đấu giá được xử lý theo thỏa thuận trong hợp đồng mua bán tài sản bán đấu giá và quy định của pháp luật về hợp đồng mua bán tài sản. </w:t>
      </w:r>
    </w:p>
    <w:p w14:paraId="366D1A51" w14:textId="5402B577" w:rsidR="00FF6E68" w:rsidRPr="00010C64" w:rsidRDefault="00FF6E68" w:rsidP="00D9761C">
      <w:pPr>
        <w:spacing w:after="60" w:line="288" w:lineRule="auto"/>
        <w:ind w:firstLine="567"/>
        <w:jc w:val="both"/>
        <w:rPr>
          <w:rFonts w:eastAsia="Times New Roman"/>
          <w:sz w:val="26"/>
          <w:szCs w:val="26"/>
        </w:rPr>
      </w:pPr>
      <w:r w:rsidRPr="00010C64">
        <w:rPr>
          <w:rFonts w:eastAsia="Times New Roman"/>
          <w:b/>
          <w:bCs/>
          <w:sz w:val="26"/>
          <w:szCs w:val="26"/>
          <w:u w:val="single"/>
        </w:rPr>
        <w:t>Điều 1</w:t>
      </w:r>
      <w:r w:rsidR="00D2482F">
        <w:rPr>
          <w:rFonts w:eastAsia="Times New Roman"/>
          <w:b/>
          <w:bCs/>
          <w:sz w:val="26"/>
          <w:szCs w:val="26"/>
          <w:u w:val="single"/>
        </w:rPr>
        <w:t>4</w:t>
      </w:r>
      <w:r w:rsidRPr="00010C64">
        <w:rPr>
          <w:rFonts w:eastAsia="Times New Roman"/>
          <w:b/>
          <w:bCs/>
          <w:sz w:val="26"/>
          <w:szCs w:val="26"/>
        </w:rPr>
        <w:t>. Địa điểm, bảo quản, bàn giao tài sản:</w:t>
      </w:r>
      <w:r w:rsidRPr="00010C64">
        <w:rPr>
          <w:rFonts w:eastAsia="Times New Roman"/>
          <w:sz w:val="26"/>
          <w:szCs w:val="26"/>
        </w:rPr>
        <w:t xml:space="preserve">    </w:t>
      </w:r>
    </w:p>
    <w:p w14:paraId="12975A5D" w14:textId="77777777" w:rsidR="00FF6E68" w:rsidRPr="00010C64" w:rsidRDefault="00FF6E68" w:rsidP="00D9761C">
      <w:pPr>
        <w:spacing w:after="60" w:line="288" w:lineRule="auto"/>
        <w:ind w:firstLine="567"/>
        <w:jc w:val="both"/>
        <w:rPr>
          <w:rFonts w:eastAsia="Times New Roman"/>
          <w:b/>
          <w:bCs/>
          <w:sz w:val="26"/>
          <w:szCs w:val="26"/>
        </w:rPr>
      </w:pPr>
      <w:r w:rsidRPr="00010C64">
        <w:rPr>
          <w:rFonts w:eastAsia="Times New Roman"/>
          <w:b/>
          <w:bCs/>
          <w:sz w:val="26"/>
          <w:szCs w:val="26"/>
        </w:rPr>
        <w:t xml:space="preserve">1. Bảo quản và bàn giao tài sản: </w:t>
      </w:r>
    </w:p>
    <w:p w14:paraId="53725975" w14:textId="77777777" w:rsidR="00FF6E68" w:rsidRPr="00010C64" w:rsidRDefault="00FF6E68" w:rsidP="00D9761C">
      <w:pPr>
        <w:spacing w:after="60" w:line="288" w:lineRule="auto"/>
        <w:ind w:firstLine="567"/>
        <w:jc w:val="both"/>
        <w:rPr>
          <w:rFonts w:eastAsia="Times New Roman"/>
          <w:sz w:val="26"/>
          <w:szCs w:val="26"/>
        </w:rPr>
      </w:pPr>
      <w:r w:rsidRPr="00010C64">
        <w:rPr>
          <w:rFonts w:eastAsia="Times New Roman"/>
          <w:sz w:val="26"/>
          <w:szCs w:val="26"/>
        </w:rPr>
        <w:t>- Bảo quản tài sản: Ngân hàng TMCP Ngoại thương Việt Nam (Vietcombank) - CN Bắc Hà Tĩnh có trách nhiệm yêu cầu người đang quản lý và trông coi tài sản giữ nguyên hiện trạng tài sản.</w:t>
      </w:r>
    </w:p>
    <w:p w14:paraId="64DEB5C4" w14:textId="77777777" w:rsidR="00FF6E68" w:rsidRPr="00010C64" w:rsidRDefault="00FF6E68" w:rsidP="00D9761C">
      <w:pPr>
        <w:spacing w:after="60" w:line="288" w:lineRule="auto"/>
        <w:ind w:firstLine="567"/>
        <w:jc w:val="both"/>
        <w:rPr>
          <w:rFonts w:eastAsia="Times New Roman"/>
          <w:sz w:val="26"/>
          <w:szCs w:val="26"/>
        </w:rPr>
      </w:pPr>
      <w:r w:rsidRPr="00010C64">
        <w:rPr>
          <w:rFonts w:eastAsia="Times New Roman"/>
          <w:sz w:val="26"/>
          <w:szCs w:val="26"/>
        </w:rPr>
        <w:t xml:space="preserve">- Bàn giao tài sản đấu giá: Trong thời hạn không quá ba mươi (30) ngày, kể từ ngày người mua được tài sản đã thanh toán đầy đủ tiền mua tài sản, Ngân hàng TMCP </w:t>
      </w:r>
      <w:r w:rsidRPr="00010C64">
        <w:rPr>
          <w:rFonts w:eastAsia="Times New Roman"/>
          <w:sz w:val="26"/>
          <w:szCs w:val="26"/>
        </w:rPr>
        <w:lastRenderedPageBreak/>
        <w:t>Ngoại thương Việt Nam (Vietcombank) - CN Bắc Hà Tĩnh phải tổ chức việc giao tài sản cho người mua được tài sản, trừ trường hợp có sự kiện bất khả kháng.</w:t>
      </w:r>
    </w:p>
    <w:p w14:paraId="4EF01F5B" w14:textId="77777777" w:rsidR="00FF6E68" w:rsidRPr="00010C64" w:rsidRDefault="00FF6E68" w:rsidP="00D9761C">
      <w:pPr>
        <w:spacing w:after="60" w:line="288" w:lineRule="auto"/>
        <w:jc w:val="both"/>
        <w:rPr>
          <w:rFonts w:eastAsia="Times New Roman"/>
          <w:sz w:val="26"/>
          <w:szCs w:val="26"/>
        </w:rPr>
      </w:pPr>
      <w:r w:rsidRPr="00010C64">
        <w:rPr>
          <w:rFonts w:eastAsia="Times New Roman"/>
          <w:sz w:val="26"/>
          <w:szCs w:val="26"/>
        </w:rPr>
        <w:tab/>
        <w:t>Công ty Đấu giá Hợp danh Minh Nhật có trách nhiệm phối hợp với Ngân hàng TMCP Ngoại thương Việt Nam (Vietcombank) - CN Bắc Hà Tĩnh hướng dẫn người mua được tài sản thực hiện các thủ tục nhận bàn giao tài sản và toàn bộ hồ sơ, tài liệu liên quan đến tài sản cho người trúng đấu giá. Trường hợp phát sinh vướng mắc làm chậm công tác bàn giao tài sản, các bên có trách nhiệm thông báo cho nhau bằng văn bản và trên cơ sở cùng nhau bàn bạc, giải quyết sự việc.</w:t>
      </w:r>
    </w:p>
    <w:p w14:paraId="6CEFC943" w14:textId="604327F3" w:rsidR="00FF6E68" w:rsidRDefault="00FF6E68" w:rsidP="00010C64">
      <w:pPr>
        <w:spacing w:after="80" w:line="278" w:lineRule="auto"/>
        <w:jc w:val="both"/>
        <w:rPr>
          <w:sz w:val="26"/>
          <w:szCs w:val="26"/>
        </w:rPr>
      </w:pPr>
      <w:r w:rsidRPr="00010C64">
        <w:rPr>
          <w:rFonts w:eastAsia="Times New Roman"/>
          <w:b/>
          <w:bCs/>
          <w:spacing w:val="-4"/>
          <w:sz w:val="26"/>
          <w:szCs w:val="26"/>
        </w:rPr>
        <w:tab/>
        <w:t>2. Địa điểm bàn giao tài sản:</w:t>
      </w:r>
      <w:r w:rsidRPr="00010C64">
        <w:rPr>
          <w:sz w:val="26"/>
          <w:szCs w:val="26"/>
        </w:rPr>
        <w:t xml:space="preserve"> </w:t>
      </w:r>
      <w:r w:rsidR="00010C64" w:rsidRPr="00010C64">
        <w:rPr>
          <w:sz w:val="26"/>
          <w:szCs w:val="26"/>
        </w:rPr>
        <w:t>Công ty Cổ phần Đầu tư Xây lắp và Thương mại Hoàng Long</w:t>
      </w:r>
      <w:r w:rsidR="00996364">
        <w:rPr>
          <w:sz w:val="26"/>
          <w:szCs w:val="26"/>
        </w:rPr>
        <w:t xml:space="preserve"> tại</w:t>
      </w:r>
      <w:r w:rsidR="00010C64" w:rsidRPr="00010C64">
        <w:rPr>
          <w:sz w:val="26"/>
          <w:szCs w:val="26"/>
        </w:rPr>
        <w:t xml:space="preserve"> xã Cẩm Vịnh, huyện Cẩm Xuyên, tỉnh Hà Tĩnh. </w:t>
      </w:r>
    </w:p>
    <w:p w14:paraId="39D0E7F6" w14:textId="691774E3" w:rsidR="00D2482F" w:rsidRPr="00D2482F" w:rsidRDefault="00D2482F" w:rsidP="00D2482F">
      <w:pPr>
        <w:spacing w:after="80" w:line="278" w:lineRule="auto"/>
        <w:ind w:firstLine="720"/>
        <w:jc w:val="both"/>
        <w:rPr>
          <w:sz w:val="26"/>
          <w:szCs w:val="26"/>
        </w:rPr>
      </w:pPr>
      <w:r w:rsidRPr="00010C64">
        <w:rPr>
          <w:rFonts w:eastAsia="Times New Roman"/>
          <w:b/>
          <w:sz w:val="26"/>
          <w:szCs w:val="26"/>
          <w:u w:val="single"/>
        </w:rPr>
        <w:t>Điều 1</w:t>
      </w:r>
      <w:r>
        <w:rPr>
          <w:rFonts w:eastAsia="Times New Roman"/>
          <w:b/>
          <w:sz w:val="26"/>
          <w:szCs w:val="26"/>
          <w:u w:val="single"/>
        </w:rPr>
        <w:t>5</w:t>
      </w:r>
      <w:r w:rsidRPr="00010C64">
        <w:rPr>
          <w:rFonts w:eastAsia="Times New Roman"/>
          <w:b/>
          <w:sz w:val="26"/>
          <w:szCs w:val="26"/>
          <w:u w:val="single"/>
        </w:rPr>
        <w:t>.</w:t>
      </w:r>
      <w:r w:rsidRPr="00010C64">
        <w:rPr>
          <w:rFonts w:eastAsia="Times New Roman"/>
          <w:b/>
          <w:sz w:val="26"/>
          <w:szCs w:val="26"/>
        </w:rPr>
        <w:t xml:space="preserve"> </w:t>
      </w:r>
      <w:r w:rsidRPr="00D2482F">
        <w:rPr>
          <w:b/>
          <w:bCs/>
          <w:sz w:val="26"/>
          <w:szCs w:val="26"/>
        </w:rPr>
        <w:t xml:space="preserve">Trách nhiệm về giá trị, chất lượng của tài sản đã đấu giá </w:t>
      </w:r>
    </w:p>
    <w:p w14:paraId="1E5F8CC7" w14:textId="0E83758B" w:rsidR="00D2482F" w:rsidRPr="00D2482F" w:rsidRDefault="00D2482F" w:rsidP="00D2482F">
      <w:pPr>
        <w:spacing w:after="80" w:line="278" w:lineRule="auto"/>
        <w:ind w:firstLine="720"/>
        <w:jc w:val="both"/>
        <w:rPr>
          <w:sz w:val="26"/>
          <w:szCs w:val="26"/>
        </w:rPr>
      </w:pPr>
      <w:r w:rsidRPr="00D2482F">
        <w:rPr>
          <w:b/>
          <w:bCs/>
          <w:sz w:val="26"/>
          <w:szCs w:val="26"/>
        </w:rPr>
        <w:t>1.</w:t>
      </w:r>
      <w:r w:rsidRPr="00D2482F">
        <w:rPr>
          <w:sz w:val="26"/>
          <w:szCs w:val="26"/>
        </w:rPr>
        <w:t xml:space="preserve"> Người tham gia đấu giá có trách nhiệm tham khảo, nghiên cứu kỹ về thông tin, giá trị, chất lượng tài sản cũng như các quy định khác của pháp luật về tài sản đấu giá trước khi đăng ký tham gia đấu giá. </w:t>
      </w:r>
    </w:p>
    <w:p w14:paraId="52A881EA" w14:textId="64411F60" w:rsidR="00D2482F" w:rsidRPr="00D2482F" w:rsidRDefault="00D2482F" w:rsidP="00D2482F">
      <w:pPr>
        <w:spacing w:after="80" w:line="278" w:lineRule="auto"/>
        <w:ind w:firstLine="720"/>
        <w:jc w:val="both"/>
        <w:rPr>
          <w:sz w:val="26"/>
          <w:szCs w:val="26"/>
        </w:rPr>
      </w:pPr>
      <w:r w:rsidRPr="00D2482F">
        <w:rPr>
          <w:b/>
          <w:bCs/>
          <w:sz w:val="26"/>
          <w:szCs w:val="26"/>
        </w:rPr>
        <w:t>2.</w:t>
      </w:r>
      <w:r w:rsidRPr="00D2482F">
        <w:rPr>
          <w:sz w:val="26"/>
          <w:szCs w:val="26"/>
        </w:rPr>
        <w:t xml:space="preserve"> Tổ chức đấu giá tài sản không chịu trách nhiệm về giá trị, chất lượng của tài sản đấu giá và không có trách nhiệm giải quyết các khiếu nại liên quan đến tài sản và việc đăng ký quyền sở hữu và sử dụng tài sản nêu trên.</w:t>
      </w:r>
    </w:p>
    <w:p w14:paraId="258CBCC2" w14:textId="315D8376" w:rsidR="00D2482F" w:rsidRPr="00D2482F" w:rsidRDefault="00D2482F" w:rsidP="00D2482F">
      <w:pPr>
        <w:spacing w:after="80" w:line="278" w:lineRule="auto"/>
        <w:ind w:firstLine="720"/>
        <w:jc w:val="both"/>
        <w:rPr>
          <w:sz w:val="26"/>
          <w:szCs w:val="26"/>
        </w:rPr>
      </w:pPr>
      <w:r w:rsidRPr="00D2482F">
        <w:rPr>
          <w:b/>
          <w:bCs/>
          <w:sz w:val="26"/>
          <w:szCs w:val="26"/>
        </w:rPr>
        <w:t>3.</w:t>
      </w:r>
      <w:r w:rsidRPr="00D2482F">
        <w:rPr>
          <w:sz w:val="26"/>
          <w:szCs w:val="26"/>
        </w:rPr>
        <w:t xml:space="preserve"> Đơn vị có tài sản phải chịu trách nhiệm về tài sản đưa ra đấu giá; giải thích rõ cho khách hàng về giá trị, chất lượng, điều kiện sử dụng và các quy định khác của pháp luật đối với loại tài sản đấu giá đó và có trách nhiệm giải quyết các khiếu nại liên quan đến tài sản và liên quan đến việc đăng ký quyền sở hữu và sử dụng tài sản bán đấu giá.</w:t>
      </w:r>
    </w:p>
    <w:p w14:paraId="233234A5" w14:textId="543A6CCE" w:rsidR="00D2482F" w:rsidRPr="00D2482F" w:rsidRDefault="00D2482F" w:rsidP="00D2482F">
      <w:pPr>
        <w:spacing w:after="80" w:line="278" w:lineRule="auto"/>
        <w:ind w:firstLine="720"/>
        <w:jc w:val="both"/>
        <w:rPr>
          <w:b/>
          <w:bCs/>
          <w:sz w:val="26"/>
          <w:szCs w:val="26"/>
        </w:rPr>
      </w:pPr>
      <w:r w:rsidRPr="00010C64">
        <w:rPr>
          <w:rFonts w:eastAsia="Times New Roman"/>
          <w:b/>
          <w:sz w:val="26"/>
          <w:szCs w:val="26"/>
          <w:u w:val="single"/>
        </w:rPr>
        <w:t>Điều 1</w:t>
      </w:r>
      <w:r>
        <w:rPr>
          <w:rFonts w:eastAsia="Times New Roman"/>
          <w:b/>
          <w:sz w:val="26"/>
          <w:szCs w:val="26"/>
          <w:u w:val="single"/>
        </w:rPr>
        <w:t>6</w:t>
      </w:r>
      <w:r w:rsidRPr="00010C64">
        <w:rPr>
          <w:rFonts w:eastAsia="Times New Roman"/>
          <w:b/>
          <w:sz w:val="26"/>
          <w:szCs w:val="26"/>
          <w:u w:val="single"/>
        </w:rPr>
        <w:t>.</w:t>
      </w:r>
      <w:r w:rsidRPr="00010C64">
        <w:rPr>
          <w:rFonts w:eastAsia="Times New Roman"/>
          <w:b/>
          <w:sz w:val="26"/>
          <w:szCs w:val="26"/>
        </w:rPr>
        <w:t xml:space="preserve"> </w:t>
      </w:r>
      <w:r w:rsidRPr="00D2482F">
        <w:rPr>
          <w:b/>
          <w:bCs/>
          <w:sz w:val="26"/>
          <w:szCs w:val="26"/>
        </w:rPr>
        <w:t>Quyền và nghĩa vụ của người đăng ký tham gia đấu giá</w:t>
      </w:r>
    </w:p>
    <w:p w14:paraId="581A736F" w14:textId="05D19D18" w:rsidR="00D2482F" w:rsidRPr="00D2482F" w:rsidRDefault="00D2482F" w:rsidP="00D2482F">
      <w:pPr>
        <w:spacing w:after="80" w:line="278" w:lineRule="auto"/>
        <w:ind w:firstLine="720"/>
        <w:jc w:val="both"/>
        <w:rPr>
          <w:sz w:val="26"/>
          <w:szCs w:val="26"/>
        </w:rPr>
      </w:pPr>
      <w:r w:rsidRPr="00D2482F">
        <w:rPr>
          <w:sz w:val="26"/>
          <w:szCs w:val="26"/>
        </w:rPr>
        <w:t>- Người đăng ký tham gia đấu giá được quyền tham gia đấu giá tài sản khi có đủ điều kiện tham gia đấu giá; thực hiện đầy đủ các thủ tục về xem tài sản, mua, nộp hồ sơ, nộp tiền đặt trước theo quy định tại Quy chế này.</w:t>
      </w:r>
    </w:p>
    <w:p w14:paraId="09CB4CD5" w14:textId="55845C63" w:rsidR="00D2482F" w:rsidRPr="00D2482F" w:rsidRDefault="00D2482F" w:rsidP="00D2482F">
      <w:pPr>
        <w:spacing w:after="80" w:line="278" w:lineRule="auto"/>
        <w:ind w:firstLine="720"/>
        <w:jc w:val="both"/>
        <w:rPr>
          <w:sz w:val="26"/>
          <w:szCs w:val="26"/>
        </w:rPr>
      </w:pPr>
      <w:r w:rsidRPr="00D2482F">
        <w:rPr>
          <w:sz w:val="26"/>
          <w:szCs w:val="26"/>
        </w:rPr>
        <w:t xml:space="preserve">- Người đăng ký tham gia đấu giá có nghĩa vụ tự tham khảo, tìm hiểu kỹ các quy định của pháp luật liên quan đến tài sản đấu giá, Quy chế đấu giá do Công ty đề ra trước khi đăng ký đấu giá tài sản và tuân thủ mọi quy định của pháp luật đối với tài sản đấu giá. </w:t>
      </w:r>
    </w:p>
    <w:p w14:paraId="574F433F" w14:textId="51D9246B" w:rsidR="00D2482F" w:rsidRPr="00D2482F" w:rsidRDefault="00D2482F" w:rsidP="00D2482F">
      <w:pPr>
        <w:spacing w:after="80" w:line="278" w:lineRule="auto"/>
        <w:ind w:firstLine="720"/>
        <w:jc w:val="both"/>
        <w:rPr>
          <w:sz w:val="26"/>
          <w:szCs w:val="26"/>
        </w:rPr>
      </w:pPr>
      <w:r w:rsidRPr="00D2482F">
        <w:rPr>
          <w:sz w:val="26"/>
          <w:szCs w:val="26"/>
        </w:rPr>
        <w:t>- Người tham gia đấu giá phải chấp nhận việc dừng/tạm dừng đấu giá trong trường hợp đơn vị có tài sản đề nghị Công ty Đấu giá Hợp danh Minh Nhật dừng/tạm dừng đấu giá trên cơ sở quy định của pháp luật.</w:t>
      </w:r>
    </w:p>
    <w:p w14:paraId="16D3A6C0" w14:textId="2D619555" w:rsidR="00D2482F" w:rsidRPr="00D2482F" w:rsidRDefault="00D2482F" w:rsidP="00D2482F">
      <w:pPr>
        <w:spacing w:after="80" w:line="278" w:lineRule="auto"/>
        <w:ind w:firstLine="720"/>
        <w:jc w:val="both"/>
        <w:rPr>
          <w:sz w:val="26"/>
          <w:szCs w:val="26"/>
        </w:rPr>
      </w:pPr>
      <w:r w:rsidRPr="00010C64">
        <w:rPr>
          <w:rFonts w:eastAsia="Times New Roman"/>
          <w:b/>
          <w:sz w:val="26"/>
          <w:szCs w:val="26"/>
          <w:u w:val="single"/>
        </w:rPr>
        <w:t>Điều 17.</w:t>
      </w:r>
      <w:r w:rsidRPr="00010C64">
        <w:rPr>
          <w:rFonts w:eastAsia="Times New Roman"/>
          <w:b/>
          <w:sz w:val="26"/>
          <w:szCs w:val="26"/>
        </w:rPr>
        <w:t xml:space="preserve"> </w:t>
      </w:r>
      <w:r w:rsidRPr="00D2482F">
        <w:rPr>
          <w:b/>
          <w:bCs/>
          <w:sz w:val="26"/>
          <w:szCs w:val="26"/>
        </w:rPr>
        <w:t>Quyền và nghĩa vụ của người trúng đấu giá</w:t>
      </w:r>
      <w:r w:rsidRPr="00D2482F">
        <w:rPr>
          <w:sz w:val="26"/>
          <w:szCs w:val="26"/>
        </w:rPr>
        <w:t xml:space="preserve">  </w:t>
      </w:r>
    </w:p>
    <w:p w14:paraId="50B0C594" w14:textId="77777777" w:rsidR="00D2482F" w:rsidRPr="00D2482F" w:rsidRDefault="00D2482F" w:rsidP="00D2482F">
      <w:pPr>
        <w:spacing w:after="80" w:line="278" w:lineRule="auto"/>
        <w:ind w:firstLine="720"/>
        <w:jc w:val="both"/>
        <w:rPr>
          <w:sz w:val="26"/>
          <w:szCs w:val="26"/>
        </w:rPr>
      </w:pPr>
      <w:r w:rsidRPr="00D2482F">
        <w:rPr>
          <w:sz w:val="26"/>
          <w:szCs w:val="26"/>
        </w:rPr>
        <w:t>Quyền và nghĩa vụ của người trúng đấu giá được xác định từ thời điểm Đấu giá viên công bố người trúng đấu giá. Người trúng đấu giá có các quyền và nghĩa vụ sau đây:</w:t>
      </w:r>
    </w:p>
    <w:p w14:paraId="28989097" w14:textId="77777777" w:rsidR="00D2482F" w:rsidRPr="00D2482F" w:rsidRDefault="00D2482F" w:rsidP="00D2482F">
      <w:pPr>
        <w:spacing w:after="80" w:line="278" w:lineRule="auto"/>
        <w:ind w:firstLine="720"/>
        <w:jc w:val="both"/>
        <w:rPr>
          <w:b/>
          <w:bCs/>
          <w:sz w:val="26"/>
          <w:szCs w:val="26"/>
        </w:rPr>
      </w:pPr>
      <w:r w:rsidRPr="00D2482F">
        <w:rPr>
          <w:b/>
          <w:bCs/>
          <w:sz w:val="26"/>
          <w:szCs w:val="26"/>
        </w:rPr>
        <w:t xml:space="preserve">1. Quyền của người trúng đấu giá </w:t>
      </w:r>
    </w:p>
    <w:p w14:paraId="7FEFB1D1" w14:textId="77777777" w:rsidR="00D2482F" w:rsidRPr="00D2482F" w:rsidRDefault="00D2482F" w:rsidP="00D2482F">
      <w:pPr>
        <w:spacing w:after="80" w:line="278" w:lineRule="auto"/>
        <w:ind w:firstLine="720"/>
        <w:jc w:val="both"/>
        <w:rPr>
          <w:sz w:val="26"/>
          <w:szCs w:val="26"/>
        </w:rPr>
      </w:pPr>
      <w:r w:rsidRPr="00D2482F">
        <w:rPr>
          <w:sz w:val="26"/>
          <w:szCs w:val="26"/>
        </w:rPr>
        <w:t>- Yêu cầu bên có tài sản đấu giá ký hợp đồng mua bán tài sản đấu giá;</w:t>
      </w:r>
    </w:p>
    <w:p w14:paraId="29858B46" w14:textId="77777777" w:rsidR="00D2482F" w:rsidRPr="00D2482F" w:rsidRDefault="00D2482F" w:rsidP="00D2482F">
      <w:pPr>
        <w:spacing w:after="80" w:line="278" w:lineRule="auto"/>
        <w:ind w:firstLine="720"/>
        <w:jc w:val="both"/>
        <w:rPr>
          <w:sz w:val="26"/>
          <w:szCs w:val="26"/>
        </w:rPr>
      </w:pPr>
      <w:r w:rsidRPr="00D2482F">
        <w:rPr>
          <w:sz w:val="26"/>
          <w:szCs w:val="26"/>
        </w:rPr>
        <w:lastRenderedPageBreak/>
        <w:t>- Được nhận tài sản đấu giá, có quyền sở hữu đối với tài sản đấu giá theo quy định của pháp luật;</w:t>
      </w:r>
    </w:p>
    <w:p w14:paraId="033CC916" w14:textId="77777777" w:rsidR="00D2482F" w:rsidRPr="00D2482F" w:rsidRDefault="00D2482F" w:rsidP="00D2482F">
      <w:pPr>
        <w:spacing w:after="80" w:line="278" w:lineRule="auto"/>
        <w:ind w:firstLine="720"/>
        <w:jc w:val="both"/>
        <w:rPr>
          <w:sz w:val="26"/>
          <w:szCs w:val="26"/>
        </w:rPr>
      </w:pPr>
      <w:r w:rsidRPr="00D2482F">
        <w:rPr>
          <w:sz w:val="26"/>
          <w:szCs w:val="26"/>
        </w:rPr>
        <w:t>- Được Cơ quan nhà nước có thẩm quyền cấp Giấy chứng nhận quyền sở hữu, quyền sử dụng tài sản đấu giá đối với tài sản phải đăng ký quyền sở hữu, quyền sử dụng theo quy định của pháp luật (nếu có).</w:t>
      </w:r>
    </w:p>
    <w:p w14:paraId="4DFAFD80" w14:textId="77777777" w:rsidR="00D2482F" w:rsidRPr="00D2482F" w:rsidRDefault="00D2482F" w:rsidP="00D2482F">
      <w:pPr>
        <w:spacing w:after="80" w:line="278" w:lineRule="auto"/>
        <w:ind w:firstLine="720"/>
        <w:jc w:val="both"/>
        <w:rPr>
          <w:sz w:val="26"/>
          <w:szCs w:val="26"/>
        </w:rPr>
      </w:pPr>
      <w:r w:rsidRPr="00D2482F">
        <w:rPr>
          <w:sz w:val="26"/>
          <w:szCs w:val="26"/>
        </w:rPr>
        <w:t xml:space="preserve">- Các quyền khác theo thỏa thuận trong hợp đồng mua bán tài sản đấu giá và theo quy định của pháp luật. </w:t>
      </w:r>
    </w:p>
    <w:p w14:paraId="30DBED4C" w14:textId="77777777" w:rsidR="00D2482F" w:rsidRPr="00D2482F" w:rsidRDefault="00D2482F" w:rsidP="00D2482F">
      <w:pPr>
        <w:spacing w:after="80" w:line="278" w:lineRule="auto"/>
        <w:ind w:firstLine="720"/>
        <w:jc w:val="both"/>
        <w:rPr>
          <w:b/>
          <w:bCs/>
          <w:sz w:val="26"/>
          <w:szCs w:val="26"/>
        </w:rPr>
      </w:pPr>
      <w:r w:rsidRPr="00D2482F">
        <w:rPr>
          <w:b/>
          <w:bCs/>
          <w:sz w:val="26"/>
          <w:szCs w:val="26"/>
        </w:rPr>
        <w:t xml:space="preserve">2. Nghĩa vụ của người trúng đấu giá. </w:t>
      </w:r>
    </w:p>
    <w:p w14:paraId="002B4645" w14:textId="77777777" w:rsidR="00D2482F" w:rsidRPr="00D2482F" w:rsidRDefault="00D2482F" w:rsidP="00D2482F">
      <w:pPr>
        <w:spacing w:after="80" w:line="278" w:lineRule="auto"/>
        <w:ind w:firstLine="720"/>
        <w:jc w:val="both"/>
        <w:rPr>
          <w:sz w:val="26"/>
          <w:szCs w:val="26"/>
        </w:rPr>
      </w:pPr>
      <w:r w:rsidRPr="00D2482F">
        <w:rPr>
          <w:sz w:val="26"/>
          <w:szCs w:val="26"/>
        </w:rPr>
        <w:t>- Ký biên bản đấu giá, hợp đồng mua bán tài sản đấu giá;</w:t>
      </w:r>
    </w:p>
    <w:p w14:paraId="17336763" w14:textId="77777777" w:rsidR="00D2482F" w:rsidRPr="00D2482F" w:rsidRDefault="00D2482F" w:rsidP="00D2482F">
      <w:pPr>
        <w:spacing w:after="80" w:line="278" w:lineRule="auto"/>
        <w:ind w:firstLine="720"/>
        <w:jc w:val="both"/>
        <w:rPr>
          <w:sz w:val="26"/>
          <w:szCs w:val="26"/>
        </w:rPr>
      </w:pPr>
      <w:r w:rsidRPr="00D2482F">
        <w:rPr>
          <w:sz w:val="26"/>
          <w:szCs w:val="26"/>
        </w:rPr>
        <w:t>- Thanh toán đầy đủ tiền mua tài sản đấu giá cho bên có tài sản đấu giá theo thỏa thuận trong hợp đồng mua bán tài sản đấu giá hoặc theo quy định của pháp luật có liên quan;</w:t>
      </w:r>
    </w:p>
    <w:p w14:paraId="2A11FBC9" w14:textId="125710A3" w:rsidR="00D2482F" w:rsidRPr="00D2482F" w:rsidRDefault="00D2482F" w:rsidP="00D2482F">
      <w:pPr>
        <w:spacing w:after="80" w:line="278" w:lineRule="auto"/>
        <w:ind w:firstLine="720"/>
        <w:jc w:val="both"/>
        <w:rPr>
          <w:sz w:val="26"/>
          <w:szCs w:val="26"/>
        </w:rPr>
      </w:pPr>
      <w:r w:rsidRPr="00D2482F">
        <w:rPr>
          <w:sz w:val="26"/>
          <w:szCs w:val="26"/>
        </w:rPr>
        <w:t>- Người mua được tài sản có trách nhiệm tự nộp, các khoản thuế, phí, lệ phí khác có liên quan (các khoản tiền trên không nằm trong giá bán tài sản).</w:t>
      </w:r>
    </w:p>
    <w:p w14:paraId="0EF5266B" w14:textId="3126090B" w:rsidR="00D2482F" w:rsidRPr="00D2482F" w:rsidRDefault="00D2482F" w:rsidP="00D2482F">
      <w:pPr>
        <w:spacing w:after="80" w:line="278" w:lineRule="auto"/>
        <w:ind w:firstLine="720"/>
        <w:jc w:val="both"/>
        <w:rPr>
          <w:sz w:val="26"/>
          <w:szCs w:val="26"/>
        </w:rPr>
      </w:pPr>
      <w:r w:rsidRPr="00D2482F">
        <w:rPr>
          <w:sz w:val="26"/>
          <w:szCs w:val="26"/>
        </w:rPr>
        <w:t>- Các nghĩa vụ khác được thỏa thuận trong hợp đồng mua bán tài sản đấu giá và theo quy định của pháp luật.</w:t>
      </w:r>
    </w:p>
    <w:p w14:paraId="6DCF9F19" w14:textId="4DAE9122" w:rsidR="00D2482F" w:rsidRPr="00D2482F" w:rsidRDefault="00D2482F" w:rsidP="00D2482F">
      <w:pPr>
        <w:spacing w:after="80" w:line="278" w:lineRule="auto"/>
        <w:ind w:firstLine="720"/>
        <w:jc w:val="both"/>
        <w:rPr>
          <w:sz w:val="26"/>
          <w:szCs w:val="26"/>
        </w:rPr>
      </w:pPr>
      <w:r w:rsidRPr="00010C64">
        <w:rPr>
          <w:rFonts w:eastAsia="Times New Roman"/>
          <w:b/>
          <w:sz w:val="26"/>
          <w:szCs w:val="26"/>
          <w:u w:val="single"/>
        </w:rPr>
        <w:t>Điều 1</w:t>
      </w:r>
      <w:r>
        <w:rPr>
          <w:rFonts w:eastAsia="Times New Roman"/>
          <w:b/>
          <w:sz w:val="26"/>
          <w:szCs w:val="26"/>
          <w:u w:val="single"/>
        </w:rPr>
        <w:t>8</w:t>
      </w:r>
      <w:r w:rsidRPr="00010C64">
        <w:rPr>
          <w:rFonts w:eastAsia="Times New Roman"/>
          <w:b/>
          <w:sz w:val="26"/>
          <w:szCs w:val="26"/>
          <w:u w:val="single"/>
        </w:rPr>
        <w:t>.</w:t>
      </w:r>
      <w:r w:rsidRPr="00010C64">
        <w:rPr>
          <w:rFonts w:eastAsia="Times New Roman"/>
          <w:b/>
          <w:sz w:val="26"/>
          <w:szCs w:val="26"/>
        </w:rPr>
        <w:t xml:space="preserve"> </w:t>
      </w:r>
      <w:r w:rsidRPr="00D2482F">
        <w:rPr>
          <w:b/>
          <w:bCs/>
          <w:sz w:val="26"/>
          <w:szCs w:val="26"/>
        </w:rPr>
        <w:t>Tổ chức thực hiện.</w:t>
      </w:r>
      <w:r w:rsidRPr="00D2482F">
        <w:rPr>
          <w:sz w:val="26"/>
          <w:szCs w:val="26"/>
        </w:rPr>
        <w:t xml:space="preserve"> </w:t>
      </w:r>
    </w:p>
    <w:p w14:paraId="69B53F0F" w14:textId="5117862E" w:rsidR="00D2482F" w:rsidRPr="00010C64" w:rsidRDefault="00D2482F" w:rsidP="00D2482F">
      <w:pPr>
        <w:spacing w:after="80" w:line="278" w:lineRule="auto"/>
        <w:ind w:firstLine="720"/>
        <w:jc w:val="both"/>
        <w:rPr>
          <w:sz w:val="26"/>
          <w:szCs w:val="26"/>
        </w:rPr>
      </w:pPr>
      <w:r w:rsidRPr="00D2482F">
        <w:rPr>
          <w:sz w:val="26"/>
          <w:szCs w:val="26"/>
        </w:rPr>
        <w:t xml:space="preserve">  Cán bộ, nhân viên của Công ty Đấu giá hợp danh Minh Nhật, đơn vị có tài sản, người tham gia đấu giá và các đơn vị có liên quan có trách nhiệm thực hiện Quy chế cuộc đấu giá này./.</w:t>
      </w:r>
    </w:p>
    <w:p w14:paraId="33AE43A3" w14:textId="3807C596" w:rsidR="003853B8" w:rsidRPr="00010C64" w:rsidRDefault="003853B8" w:rsidP="00D2482F">
      <w:pPr>
        <w:tabs>
          <w:tab w:val="left" w:pos="426"/>
        </w:tabs>
        <w:autoSpaceDE w:val="0"/>
        <w:autoSpaceDN w:val="0"/>
        <w:spacing w:before="80" w:after="60" w:line="288" w:lineRule="auto"/>
        <w:ind w:right="-1"/>
        <w:jc w:val="both"/>
        <w:rPr>
          <w:rFonts w:eastAsia="Times New Roman"/>
          <w:sz w:val="26"/>
          <w:szCs w:val="26"/>
        </w:rPr>
      </w:pPr>
      <w:r w:rsidRPr="00010C64">
        <w:rPr>
          <w:rFonts w:eastAsia="Times New Roman"/>
          <w:sz w:val="26"/>
          <w:szCs w:val="26"/>
        </w:rPr>
        <w:tab/>
      </w:r>
      <w:r w:rsidRPr="00010C64">
        <w:rPr>
          <w:rFonts w:eastAsia="Times New Roman"/>
          <w:sz w:val="26"/>
          <w:szCs w:val="26"/>
        </w:rPr>
        <w:tab/>
      </w:r>
    </w:p>
    <w:p w14:paraId="3F658434" w14:textId="77777777" w:rsidR="003853B8" w:rsidRPr="00034F0F" w:rsidRDefault="003853B8" w:rsidP="003853B8">
      <w:pPr>
        <w:keepNext/>
        <w:spacing w:after="80"/>
        <w:ind w:firstLine="4500"/>
        <w:jc w:val="center"/>
        <w:outlineLvl w:val="3"/>
        <w:rPr>
          <w:rFonts w:eastAsia="Times New Roman"/>
          <w:b/>
          <w:bCs/>
          <w:sz w:val="28"/>
          <w:szCs w:val="28"/>
        </w:rPr>
      </w:pPr>
      <w:r w:rsidRPr="00010C64">
        <w:rPr>
          <w:rFonts w:eastAsia="Times New Roman"/>
          <w:b/>
          <w:bCs/>
          <w:sz w:val="26"/>
          <w:szCs w:val="26"/>
        </w:rPr>
        <w:t xml:space="preserve">   </w:t>
      </w:r>
      <w:r w:rsidRPr="00034F0F">
        <w:rPr>
          <w:rFonts w:eastAsia="Times New Roman"/>
          <w:b/>
          <w:bCs/>
          <w:sz w:val="28"/>
          <w:szCs w:val="28"/>
        </w:rPr>
        <w:t>GIÁM ĐỐC</w:t>
      </w:r>
    </w:p>
    <w:p w14:paraId="348D9D60" w14:textId="77777777" w:rsidR="003853B8" w:rsidRPr="00034F0F" w:rsidRDefault="003853B8" w:rsidP="003853B8">
      <w:pPr>
        <w:spacing w:after="80"/>
        <w:rPr>
          <w:rFonts w:eastAsia="Times New Roman"/>
          <w:b/>
          <w:bCs/>
          <w:sz w:val="28"/>
          <w:szCs w:val="28"/>
        </w:rPr>
      </w:pPr>
      <w:r w:rsidRPr="00034F0F">
        <w:rPr>
          <w:rFonts w:eastAsia="Times New Roman"/>
          <w:b/>
          <w:bCs/>
          <w:sz w:val="28"/>
          <w:szCs w:val="28"/>
        </w:rPr>
        <w:t xml:space="preserve"> </w:t>
      </w:r>
    </w:p>
    <w:p w14:paraId="37DB4797" w14:textId="77777777" w:rsidR="003853B8" w:rsidRPr="00034F0F" w:rsidRDefault="003853B8" w:rsidP="003853B8">
      <w:pPr>
        <w:spacing w:after="80"/>
        <w:rPr>
          <w:rFonts w:eastAsia="Times New Roman"/>
          <w:b/>
          <w:bCs/>
          <w:sz w:val="28"/>
          <w:szCs w:val="28"/>
        </w:rPr>
      </w:pPr>
    </w:p>
    <w:p w14:paraId="72562BEB" w14:textId="77777777" w:rsidR="003853B8" w:rsidRPr="00034F0F" w:rsidRDefault="003853B8" w:rsidP="003853B8">
      <w:pPr>
        <w:spacing w:after="80"/>
        <w:rPr>
          <w:rFonts w:eastAsia="Times New Roman"/>
          <w:b/>
          <w:bCs/>
          <w:sz w:val="28"/>
          <w:szCs w:val="28"/>
        </w:rPr>
      </w:pPr>
      <w:r w:rsidRPr="00034F0F">
        <w:rPr>
          <w:rFonts w:eastAsia="Times New Roman"/>
          <w:b/>
          <w:bCs/>
          <w:sz w:val="28"/>
          <w:szCs w:val="28"/>
        </w:rPr>
        <w:t xml:space="preserve"> </w:t>
      </w:r>
    </w:p>
    <w:p w14:paraId="6EDFBBD2" w14:textId="77777777" w:rsidR="003853B8" w:rsidRPr="00034F0F" w:rsidRDefault="003853B8" w:rsidP="003853B8">
      <w:pPr>
        <w:spacing w:after="80"/>
        <w:ind w:firstLine="4500"/>
        <w:jc w:val="center"/>
        <w:rPr>
          <w:rFonts w:eastAsia="Times New Roman"/>
          <w:b/>
          <w:bCs/>
          <w:sz w:val="28"/>
          <w:szCs w:val="28"/>
        </w:rPr>
      </w:pPr>
      <w:r w:rsidRPr="00034F0F">
        <w:rPr>
          <w:rFonts w:eastAsia="Times New Roman"/>
          <w:b/>
          <w:bCs/>
          <w:sz w:val="28"/>
          <w:szCs w:val="28"/>
        </w:rPr>
        <w:t xml:space="preserve">    Trần Đình Lợi</w:t>
      </w:r>
    </w:p>
    <w:p w14:paraId="18356565" w14:textId="77777777" w:rsidR="003853B8" w:rsidRPr="00010C64" w:rsidRDefault="003853B8" w:rsidP="003853B8">
      <w:pPr>
        <w:spacing w:after="0" w:line="240" w:lineRule="auto"/>
        <w:rPr>
          <w:rFonts w:eastAsia="Times New Roman"/>
          <w:sz w:val="26"/>
          <w:szCs w:val="26"/>
        </w:rPr>
      </w:pPr>
      <w:r w:rsidRPr="00010C64">
        <w:rPr>
          <w:rFonts w:eastAsia="Times New Roman"/>
          <w:sz w:val="26"/>
          <w:szCs w:val="26"/>
        </w:rPr>
        <w:t xml:space="preserve"> </w:t>
      </w:r>
    </w:p>
    <w:p w14:paraId="537FA224" w14:textId="77777777" w:rsidR="003853B8" w:rsidRPr="00506BD0" w:rsidRDefault="003853B8" w:rsidP="003853B8"/>
    <w:p w14:paraId="627C1FBC" w14:textId="77777777" w:rsidR="003853B8" w:rsidRPr="00506BD0" w:rsidRDefault="003853B8" w:rsidP="003853B8"/>
    <w:p w14:paraId="4EDA5546" w14:textId="77777777" w:rsidR="003853B8" w:rsidRPr="00506BD0" w:rsidRDefault="003853B8" w:rsidP="003853B8"/>
    <w:p w14:paraId="74500BA7" w14:textId="77777777" w:rsidR="003853B8" w:rsidRPr="00506BD0" w:rsidRDefault="003853B8"/>
    <w:p w14:paraId="449B41B4" w14:textId="77777777" w:rsidR="007E6BFF" w:rsidRPr="00506BD0" w:rsidRDefault="007E6BFF"/>
    <w:sectPr w:rsidR="007E6BFF" w:rsidRPr="00506BD0" w:rsidSect="00D9761C">
      <w:headerReference w:type="default" r:id="rId6"/>
      <w:footerReference w:type="default" r:id="rId7"/>
      <w:pgSz w:w="11907" w:h="16840" w:code="9"/>
      <w:pgMar w:top="907" w:right="1134" w:bottom="907" w:left="1701" w:header="39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A3D5F" w14:textId="77777777" w:rsidR="00DD3A86" w:rsidRDefault="00DD3A86">
      <w:pPr>
        <w:spacing w:after="0" w:line="240" w:lineRule="auto"/>
      </w:pPr>
      <w:r>
        <w:separator/>
      </w:r>
    </w:p>
  </w:endnote>
  <w:endnote w:type="continuationSeparator" w:id="0">
    <w:p w14:paraId="3908834C" w14:textId="77777777" w:rsidR="00DD3A86" w:rsidRDefault="00DD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AB5A0" w14:textId="77777777" w:rsidR="007E5DC7" w:rsidRPr="002E0A4A" w:rsidRDefault="007E5DC7">
    <w:pPr>
      <w:pStyle w:val="Footer"/>
      <w:jc w:val="center"/>
      <w:rPr>
        <w:rFonts w:cs="Times New Roman"/>
      </w:rPr>
    </w:pPr>
  </w:p>
  <w:p w14:paraId="5C6694F6" w14:textId="77777777" w:rsidR="007E5DC7" w:rsidRDefault="007E5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BED5E" w14:textId="77777777" w:rsidR="00DD3A86" w:rsidRDefault="00DD3A86">
      <w:pPr>
        <w:spacing w:after="0" w:line="240" w:lineRule="auto"/>
      </w:pPr>
      <w:r>
        <w:separator/>
      </w:r>
    </w:p>
  </w:footnote>
  <w:footnote w:type="continuationSeparator" w:id="0">
    <w:p w14:paraId="3E208586" w14:textId="77777777" w:rsidR="00DD3A86" w:rsidRDefault="00DD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300204"/>
      <w:docPartObj>
        <w:docPartGallery w:val="Page Numbers (Top of Page)"/>
        <w:docPartUnique/>
      </w:docPartObj>
    </w:sdtPr>
    <w:sdtEndPr>
      <w:rPr>
        <w:noProof/>
        <w:sz w:val="24"/>
        <w:szCs w:val="24"/>
      </w:rPr>
    </w:sdtEndPr>
    <w:sdtContent>
      <w:p w14:paraId="14AD7512" w14:textId="54B5FA07" w:rsidR="007E5DC7" w:rsidRPr="004F1163" w:rsidRDefault="0044546E">
        <w:pPr>
          <w:pStyle w:val="Header"/>
          <w:jc w:val="center"/>
          <w:rPr>
            <w:sz w:val="24"/>
            <w:szCs w:val="24"/>
          </w:rPr>
        </w:pPr>
        <w:r w:rsidRPr="004F1163">
          <w:rPr>
            <w:sz w:val="24"/>
            <w:szCs w:val="24"/>
          </w:rPr>
          <w:fldChar w:fldCharType="begin"/>
        </w:r>
        <w:r w:rsidRPr="004F1163">
          <w:rPr>
            <w:sz w:val="24"/>
            <w:szCs w:val="24"/>
          </w:rPr>
          <w:instrText xml:space="preserve"> PAGE   \* MERGEFORMAT </w:instrText>
        </w:r>
        <w:r w:rsidRPr="004F1163">
          <w:rPr>
            <w:sz w:val="24"/>
            <w:szCs w:val="24"/>
          </w:rPr>
          <w:fldChar w:fldCharType="separate"/>
        </w:r>
        <w:r w:rsidR="000960CF">
          <w:rPr>
            <w:noProof/>
            <w:sz w:val="24"/>
            <w:szCs w:val="24"/>
          </w:rPr>
          <w:t>13</w:t>
        </w:r>
        <w:r w:rsidRPr="004F1163">
          <w:rPr>
            <w:noProof/>
            <w:sz w:val="24"/>
            <w:szCs w:val="24"/>
          </w:rPr>
          <w:fldChar w:fldCharType="end"/>
        </w:r>
      </w:p>
    </w:sdtContent>
  </w:sdt>
  <w:p w14:paraId="5D70E956" w14:textId="77777777" w:rsidR="007E5DC7" w:rsidRDefault="007E5D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3B8"/>
    <w:rsid w:val="00010C64"/>
    <w:rsid w:val="00034F0F"/>
    <w:rsid w:val="000960CF"/>
    <w:rsid w:val="00156497"/>
    <w:rsid w:val="001C436C"/>
    <w:rsid w:val="001E4957"/>
    <w:rsid w:val="00214AD5"/>
    <w:rsid w:val="002A5B63"/>
    <w:rsid w:val="002B7B3F"/>
    <w:rsid w:val="00324969"/>
    <w:rsid w:val="0038199B"/>
    <w:rsid w:val="003853B8"/>
    <w:rsid w:val="00410810"/>
    <w:rsid w:val="0044546E"/>
    <w:rsid w:val="00484E53"/>
    <w:rsid w:val="00506BD0"/>
    <w:rsid w:val="005749B0"/>
    <w:rsid w:val="006707B8"/>
    <w:rsid w:val="0069607A"/>
    <w:rsid w:val="006E38A9"/>
    <w:rsid w:val="006F5B10"/>
    <w:rsid w:val="00753041"/>
    <w:rsid w:val="007D5BD3"/>
    <w:rsid w:val="007D6B37"/>
    <w:rsid w:val="007E5DC7"/>
    <w:rsid w:val="007E6BFF"/>
    <w:rsid w:val="007F2A8A"/>
    <w:rsid w:val="007F3CFB"/>
    <w:rsid w:val="00874EBD"/>
    <w:rsid w:val="008E203C"/>
    <w:rsid w:val="00965B0C"/>
    <w:rsid w:val="00996364"/>
    <w:rsid w:val="009A0760"/>
    <w:rsid w:val="009A2958"/>
    <w:rsid w:val="009F5C18"/>
    <w:rsid w:val="00AA6C1F"/>
    <w:rsid w:val="00B07A1A"/>
    <w:rsid w:val="00B141FA"/>
    <w:rsid w:val="00B35179"/>
    <w:rsid w:val="00CA0AFF"/>
    <w:rsid w:val="00CB3567"/>
    <w:rsid w:val="00D2482F"/>
    <w:rsid w:val="00D9761C"/>
    <w:rsid w:val="00DD3A86"/>
    <w:rsid w:val="00DE7968"/>
    <w:rsid w:val="00E46B94"/>
    <w:rsid w:val="00E51F19"/>
    <w:rsid w:val="00EC75FF"/>
    <w:rsid w:val="00F349E7"/>
    <w:rsid w:val="00F73BC4"/>
    <w:rsid w:val="00FA76E0"/>
    <w:rsid w:val="00FF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D75F"/>
  <w15:chartTrackingRefBased/>
  <w15:docId w15:val="{015E4E64-CA94-4F28-9A7E-1BCF5F47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3B8"/>
    <w:pPr>
      <w:spacing w:after="200" w:line="276" w:lineRule="auto"/>
    </w:pPr>
    <w:rPr>
      <w:rFonts w:ascii="Times New Roman" w:eastAsia="MS Mincho" w:hAnsi="Times New Roman" w:cs="Times New Roman"/>
      <w:kern w:val="0"/>
      <w:sz w:val="22"/>
      <w:szCs w:val="22"/>
      <w:lang w:eastAsia="ja-JP"/>
      <w14:ligatures w14:val="none"/>
    </w:rPr>
  </w:style>
  <w:style w:type="paragraph" w:styleId="Heading1">
    <w:name w:val="heading 1"/>
    <w:basedOn w:val="Normal"/>
    <w:next w:val="Normal"/>
    <w:link w:val="Heading1Char"/>
    <w:uiPriority w:val="9"/>
    <w:qFormat/>
    <w:rsid w:val="003853B8"/>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3853B8"/>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3853B8"/>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853B8"/>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3853B8"/>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3853B8"/>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3853B8"/>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3853B8"/>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3853B8"/>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3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53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53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53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3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3B8"/>
    <w:rPr>
      <w:rFonts w:eastAsiaTheme="majorEastAsia" w:cstheme="majorBidi"/>
      <w:color w:val="272727" w:themeColor="text1" w:themeTint="D8"/>
    </w:rPr>
  </w:style>
  <w:style w:type="paragraph" w:styleId="Title">
    <w:name w:val="Title"/>
    <w:basedOn w:val="Normal"/>
    <w:next w:val="Normal"/>
    <w:link w:val="TitleChar"/>
    <w:uiPriority w:val="10"/>
    <w:qFormat/>
    <w:rsid w:val="003853B8"/>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85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3B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85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3B8"/>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3853B8"/>
    <w:rPr>
      <w:i/>
      <w:iCs/>
      <w:color w:val="404040" w:themeColor="text1" w:themeTint="BF"/>
    </w:rPr>
  </w:style>
  <w:style w:type="paragraph" w:styleId="ListParagraph">
    <w:name w:val="List Paragraph"/>
    <w:basedOn w:val="Normal"/>
    <w:uiPriority w:val="34"/>
    <w:qFormat/>
    <w:rsid w:val="003853B8"/>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3853B8"/>
    <w:rPr>
      <w:i/>
      <w:iCs/>
      <w:color w:val="2F5496" w:themeColor="accent1" w:themeShade="BF"/>
    </w:rPr>
  </w:style>
  <w:style w:type="paragraph" w:styleId="IntenseQuote">
    <w:name w:val="Intense Quote"/>
    <w:basedOn w:val="Normal"/>
    <w:next w:val="Normal"/>
    <w:link w:val="IntenseQuoteChar"/>
    <w:uiPriority w:val="30"/>
    <w:qFormat/>
    <w:rsid w:val="003853B8"/>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3853B8"/>
    <w:rPr>
      <w:i/>
      <w:iCs/>
      <w:color w:val="2F5496" w:themeColor="accent1" w:themeShade="BF"/>
    </w:rPr>
  </w:style>
  <w:style w:type="character" w:styleId="IntenseReference">
    <w:name w:val="Intense Reference"/>
    <w:basedOn w:val="DefaultParagraphFont"/>
    <w:uiPriority w:val="32"/>
    <w:qFormat/>
    <w:rsid w:val="003853B8"/>
    <w:rPr>
      <w:b/>
      <w:bCs/>
      <w:smallCaps/>
      <w:color w:val="2F5496" w:themeColor="accent1" w:themeShade="BF"/>
      <w:spacing w:val="5"/>
    </w:rPr>
  </w:style>
  <w:style w:type="character" w:customStyle="1" w:styleId="FooterChar">
    <w:name w:val="Footer Char"/>
    <w:basedOn w:val="DefaultParagraphFont"/>
    <w:link w:val="Footer"/>
    <w:uiPriority w:val="99"/>
    <w:rsid w:val="003853B8"/>
  </w:style>
  <w:style w:type="paragraph" w:styleId="Footer">
    <w:name w:val="footer"/>
    <w:basedOn w:val="Normal"/>
    <w:link w:val="FooterChar"/>
    <w:uiPriority w:val="99"/>
    <w:unhideWhenUsed/>
    <w:rsid w:val="003853B8"/>
    <w:pPr>
      <w:tabs>
        <w:tab w:val="center" w:pos="4680"/>
        <w:tab w:val="right" w:pos="9360"/>
      </w:tabs>
      <w:spacing w:after="0" w:line="240" w:lineRule="auto"/>
    </w:pPr>
    <w:rPr>
      <w:rFonts w:asciiTheme="minorHAnsi" w:eastAsiaTheme="minorHAnsi" w:hAnsiTheme="minorHAnsi" w:cstheme="minorBidi"/>
      <w:kern w:val="2"/>
      <w:sz w:val="24"/>
      <w:szCs w:val="24"/>
      <w:lang w:eastAsia="en-US"/>
      <w14:ligatures w14:val="standardContextual"/>
    </w:rPr>
  </w:style>
  <w:style w:type="character" w:customStyle="1" w:styleId="FooterChar1">
    <w:name w:val="Footer Char1"/>
    <w:basedOn w:val="DefaultParagraphFont"/>
    <w:uiPriority w:val="99"/>
    <w:semiHidden/>
    <w:rsid w:val="003853B8"/>
    <w:rPr>
      <w:rFonts w:ascii="Times New Roman" w:eastAsia="MS Mincho" w:hAnsi="Times New Roman" w:cs="Times New Roman"/>
      <w:kern w:val="0"/>
      <w:sz w:val="22"/>
      <w:szCs w:val="22"/>
      <w:lang w:eastAsia="ja-JP"/>
      <w14:ligatures w14:val="none"/>
    </w:rPr>
  </w:style>
  <w:style w:type="paragraph" w:styleId="Header">
    <w:name w:val="header"/>
    <w:basedOn w:val="Normal"/>
    <w:link w:val="HeaderChar"/>
    <w:uiPriority w:val="99"/>
    <w:unhideWhenUsed/>
    <w:rsid w:val="00385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3B8"/>
    <w:rPr>
      <w:rFonts w:ascii="Times New Roman" w:eastAsia="MS Mincho" w:hAnsi="Times New Roman" w:cs="Times New Roman"/>
      <w:kern w:val="0"/>
      <w:sz w:val="22"/>
      <w:szCs w:val="22"/>
      <w:lang w:eastAsia="ja-JP"/>
      <w14:ligatures w14:val="none"/>
    </w:rPr>
  </w:style>
  <w:style w:type="paragraph" w:styleId="BalloonText">
    <w:name w:val="Balloon Text"/>
    <w:basedOn w:val="Normal"/>
    <w:link w:val="BalloonTextChar"/>
    <w:uiPriority w:val="99"/>
    <w:semiHidden/>
    <w:unhideWhenUsed/>
    <w:rsid w:val="00506B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BD0"/>
    <w:rPr>
      <w:rFonts w:ascii="Segoe UI" w:eastAsia="MS Mincho" w:hAnsi="Segoe UI" w:cs="Segoe UI"/>
      <w:kern w:val="0"/>
      <w:sz w:val="18"/>
      <w:szCs w:val="18"/>
      <w:lang w:eastAsia="ja-JP"/>
      <w14:ligatures w14:val="none"/>
    </w:rPr>
  </w:style>
  <w:style w:type="table" w:styleId="TableGrid">
    <w:name w:val="Table Grid"/>
    <w:basedOn w:val="TableNormal"/>
    <w:uiPriority w:val="59"/>
    <w:rsid w:val="00010C6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12</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daugiaminhnhat1@outlook.com</dc:creator>
  <cp:keywords/>
  <dc:description/>
  <cp:lastModifiedBy>thuyngan nguyen</cp:lastModifiedBy>
  <cp:revision>11</cp:revision>
  <cp:lastPrinted>2025-02-12T01:42:00Z</cp:lastPrinted>
  <dcterms:created xsi:type="dcterms:W3CDTF">2025-02-11T03:47:00Z</dcterms:created>
  <dcterms:modified xsi:type="dcterms:W3CDTF">2025-02-14T08:17:00Z</dcterms:modified>
</cp:coreProperties>
</file>