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73C9BB">
      <w:r>
        <w:rPr>
          <w:rFonts w:hint="default"/>
        </w:rPr>
        <w:t>Dựa trên các nguyên tắc về Đạo đức số (DigComp 2.2) và xu hướng Đạo đức AI (2025), để sử dụng các công cụ AI của Canva một cách minh bạch và đạo đức, người dùng cần tuân thủ các nguyên tắc cốt lõi sau. Trước hết là Minh bạch Nguồn gốc, bạn phải luôn công khai (thông qua ghi chú hoặc caption) rằng tác phẩm cuối cùng có sự can thiệp của AI, qua đó đảm bảo tính trách nhiệm giải trình và trung thực với người xem. Thứ hai là Đảm bảo Công bằng và Tôn trọng; điều này yêu cầu bạn tránh sử dụng các mô tả (prompt) mang tính định kiến hoặc phân biệt đối xử để đảm bảo đầu ra của AI là công bằng. Đồng thời, bạn phải tuyệt đối tôn trọng Quyền Riêng tư bằng cách không sử dụng hình ảnh cá nhân hoặc dữ liệu nhạy cảm của người khác làm dữ liệu đầu vào. Cuối cùng, bạn phải chịu trách nhiệm cuối cùng về sản phẩm, kiểm tra kỹ lưỡng để đảm bảo nội dung không lan truyền thông tin sai lệch hay gây hại, thể hiện trách nhiệm đối với An sinh Kỹ thuật số trong môi trường số.</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200EDE"/>
    <w:rsid w:val="52200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2025-10-07T07:46:00Z</dcterms:created>
  <dc:creator>TH Gaming</dc:creator>
  <cp:lastModifiedBy>TH Gaming</cp:lastModifiedBy>
  <dcterms:modified xsi:type="dcterms:W3CDTF">2025-10-07T07:46:44Z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3E55CE53293E442BAFB0B79F73695A49_11</vt:lpwstr>
  </property>
</Properties>
</file>