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="312" w:lineRule="auto"/>
        <w:rPr>
          <w:b w:val="1"/>
          <w:color w:val="37474f"/>
          <w:sz w:val="34"/>
          <w:szCs w:val="34"/>
        </w:rPr>
      </w:pPr>
      <w:bookmarkStart w:colFirst="0" w:colLast="0" w:name="_286pu0xqoikk" w:id="0"/>
      <w:bookmarkEnd w:id="0"/>
      <w:r w:rsidDel="00000000" w:rsidR="00000000" w:rsidRPr="00000000">
        <w:rPr>
          <w:b w:val="1"/>
          <w:color w:val="37474f"/>
          <w:sz w:val="34"/>
          <w:szCs w:val="34"/>
          <w:rtl w:val="0"/>
        </w:rPr>
        <w:t xml:space="preserve">[Bài tập] Mô tả thuật toán tính điểm trung bình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color w:val="986801"/>
          <w:sz w:val="19"/>
          <w:szCs w:val="19"/>
        </w:rPr>
      </w:pPr>
      <w:r w:rsidDel="00000000" w:rsidR="00000000" w:rsidRPr="00000000">
        <w:rPr>
          <w:rtl w:val="0"/>
        </w:rPr>
        <w:t xml:space="preserve">input math;Physics;chemmistry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color w:val="98680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19"/>
          <w:szCs w:val="19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9"/>
          <w:szCs w:val="19"/>
          <w:shd w:fill="fafafa" w:val="clear"/>
          <w:rtl w:val="0"/>
        </w:rPr>
        <w:t xml:space="preserve"> = (Math + Physics + Chemistry) /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9"/>
          <w:szCs w:val="19"/>
          <w:rtl w:val="0"/>
        </w:rPr>
        <w:t xml:space="preserve">3;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  <w:color w:val="98680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19"/>
          <w:szCs w:val="19"/>
          <w:rtl w:val="0"/>
        </w:rPr>
        <w:t xml:space="preserve">output = “Điểm trung binh = ” + Average;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  <w:color w:val="98680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color w:val="526069"/>
          <w:sz w:val="21"/>
          <w:szCs w:val="21"/>
          <w:highlight w:val="white"/>
        </w:rPr>
        <w:drawing>
          <wp:inline distB="114300" distT="114300" distL="114300" distR="114300">
            <wp:extent cx="2581275" cy="3481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2606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