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05: QUẢN LÝ KHÁCH MỜI &amp; ĐỐI TÁC</w:t>
      </w:r>
    </w:p>
    <w:p>
      <w:pPr>
        <w:spacing w:before="100"/>
        <w:jc w:val="center"/>
      </w:pPr>
      <w:r>
        <w:rPr>
          <w:i/>
          <w:iCs/>
          <w:color w:val="595959"/>
          <w:sz w:val="22"/>
          <w:szCs w:val="22"/>
        </w:rPr>
        <w:t xml:space="preserve">(Tương ứng FR-05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Quản lý Khách mời &amp; Đối tác quản lý toàn bộ các bên liên quan bên ngoài Ban tổ chức tham gia vào sự kiện: khách mời tham dự (phân theo nhóm VIP, đối tác, báo chí, khách thường), quy trình gửi thư mời và theo dõi xác nhận tham dự (RSVP), check-in nhanh bằng mã QR trong ngày diễn ra, và thông tin các nhà cung cấp/đối tác dịch vụ cùng trạng thái hợp đồng tương ứng.</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FR-05.1</w:t>
            </w:r>
          </w:p>
        </w:tc>
        <w:tc>
          <w:tcPr>
            <w:tcW w:type="dxa" w:w="5900"/>
            <w:tcMar>
              <w:top w:type="dxa" w:w="80"/>
              <w:left w:type="dxa" w:w="100"/>
              <w:bottom w:type="dxa" w:w="80"/>
              <w:right w:type="dxa" w:w="100"/>
            </w:tcMar>
          </w:tcPr>
          <w:p>
            <w:pPr>
              <w:jc w:val="left"/>
            </w:pPr>
            <w:r>
              <w:rPr>
                <w:b w:val="false"/>
                <w:bCs w:val="false"/>
                <w:color w:val="000000"/>
                <w:sz w:val="20"/>
                <w:szCs w:val="20"/>
              </w:rPr>
              <w:t xml:space="preserve">Quản lý danh sách khách mời, phân nhóm</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FR-05.2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Gửi thư mời và theo dõi trạng thái xác nhận (RSVP)</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FR-05.3</w:t>
            </w:r>
          </w:p>
        </w:tc>
        <w:tc>
          <w:tcPr>
            <w:tcW w:type="dxa" w:w="5900"/>
            <w:tcMar>
              <w:top w:type="dxa" w:w="80"/>
              <w:left w:type="dxa" w:w="100"/>
              <w:bottom w:type="dxa" w:w="80"/>
              <w:right w:type="dxa" w:w="100"/>
            </w:tcMar>
          </w:tcPr>
          <w:p>
            <w:pPr>
              <w:jc w:val="left"/>
            </w:pPr>
            <w:r>
              <w:rPr>
                <w:b w:val="false"/>
                <w:bCs w:val="false"/>
                <w:color w:val="000000"/>
                <w:sz w:val="20"/>
                <w:szCs w:val="20"/>
              </w:rPr>
              <w:t xml:space="preserve">Check-in khách mời ngày sự kiện (quét mã QR)</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FR-05.4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Quản lý thông tin nhà cung cấp/đối tác và trạng thái hợp đồng</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khách mời (State Diagram tổng quát)</w:t>
      </w:r>
    </w:p>
    <w:p>
      <w:pPr>
        <w:spacing w:after="160" w:line="300"/>
      </w:pPr>
      <w:r>
        <w:rPr>
          <w:sz w:val="22"/>
          <w:szCs w:val="22"/>
        </w:rPr>
        <w:t xml:space="preserve">Đã thêm vào danh sách (Added) → Đã gửi thư mời (Invited) → Đã xác nhận tham dự (Confirmed) / Từ chối (Declined) / Chưa phản hồi (No Response) → Đã check-in (Checked-in). Nhánh phụ: khách mời có thể ở trạng thái "Không tham dự dù đã xác nhận (No-show)" nếu đã Confirmed nhưng không check-in trong ngày sự kiện.</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FR-05.1 – Quản lý danh sách khách mời, phân nhóm</w:t>
      </w:r>
    </w:p>
    <w:p>
      <w:pPr>
        <w:pStyle w:val="Heading3"/>
        <w:spacing w:after="100" w:before="200"/>
      </w:pPr>
      <w:r>
        <w:rPr>
          <w:b/>
          <w:bCs/>
          <w:color w:val="C0504D"/>
          <w:sz w:val="23"/>
          <w:szCs w:val="23"/>
        </w:rPr>
        <w:t xml:space="preserve">Mục đích</w:t>
      </w:r>
    </w:p>
    <w:p>
      <w:pPr>
        <w:spacing w:after="160" w:line="300"/>
      </w:pPr>
      <w:r>
        <w:rPr>
          <w:sz w:val="22"/>
          <w:szCs w:val="22"/>
        </w:rPr>
        <w:t xml:space="preserve">Xây dựng và duy trì danh sách khách mời tham dự sự kiện, phân loại theo nhóm (VIP, Đối tác, Báo chí, Khách thường...) để áp dụng các quy trình chăm sóc, mời và đón tiếp phù hợp với từng nhóm.</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Khách mời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Module 01.</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vào tab "Khách mời", chọn "Thêm khách mời" (nhập thủ công) hoặc "Nhập từ file Excel" (nhập hàng loạt).</w:t>
      </w:r>
    </w:p>
    <w:p>
      <w:pPr>
        <w:pStyle w:val="ListParagraph"/>
        <w:numPr>
          <w:ilvl w:val="0"/>
          <w:numId w:val="3"/>
        </w:numPr>
        <w:spacing w:after="80" w:line="280"/>
      </w:pPr>
      <w:r>
        <w:rPr>
          <w:sz w:val="22"/>
          <w:szCs w:val="22"/>
        </w:rPr>
        <w:t xml:space="preserve">Hệ thống hiển thị form/nhập liệu: Họ tên, Đơn vị/Chức danh, Email, Số điện thoại, Nhóm khách mời (VIP/Đối tác/Báo chí/Khách thường), Ghi chú (VD: yêu cầu đặc biệt, đi cùng bao nhiêu người).</w:t>
      </w:r>
    </w:p>
    <w:p>
      <w:pPr>
        <w:pStyle w:val="ListParagraph"/>
        <w:numPr>
          <w:ilvl w:val="0"/>
          <w:numId w:val="3"/>
        </w:numPr>
        <w:spacing w:after="80" w:line="280"/>
      </w:pPr>
      <w:r>
        <w:rPr>
          <w:sz w:val="22"/>
          <w:szCs w:val="22"/>
        </w:rPr>
        <w:t xml:space="preserve">Người dùng xác nhận lưu.</w:t>
      </w:r>
    </w:p>
    <w:p>
      <w:pPr>
        <w:pStyle w:val="ListParagraph"/>
        <w:numPr>
          <w:ilvl w:val="0"/>
          <w:numId w:val="3"/>
        </w:numPr>
        <w:spacing w:after="80" w:line="280"/>
      </w:pPr>
      <w:r>
        <w:rPr>
          <w:sz w:val="22"/>
          <w:szCs w:val="22"/>
        </w:rPr>
        <w:t xml:space="preserve">Hệ thống tạo bản ghi khách mời với trạng thái "Đã thêm vào danh sách".</w:t>
      </w:r>
    </w:p>
    <w:p>
      <w:pPr>
        <w:pStyle w:val="ListParagraph"/>
        <w:numPr>
          <w:ilvl w:val="0"/>
          <w:numId w:val="3"/>
        </w:numPr>
        <w:spacing w:after="80" w:line="280"/>
      </w:pPr>
      <w:r>
        <w:rPr>
          <w:sz w:val="22"/>
          <w:szCs w:val="22"/>
        </w:rPr>
        <w:t xml:space="preserve">Người dùng có thể lọc, tìm kiếm danh sách khách mời theo nhóm, trạng thái, đơn vị.</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Nhập từ Excel có dòng dữ liệu lỗi (thiếu tên, email sai định dạng)</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nhập thành công các dòng hợp lệ, liệt kê chi tiết các dòng lỗi để người dùng sửa và nhập lại riêng.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Trùng khách mời (cùng email/SĐT) trong cùng sự kiện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cảnh báo trùng và đề xuất cập nhật hồ sơ hiện có thay vì tạo bản ghi mới.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Họ tên: bắt buộc. Email hoặc SĐT: bắt buộc tối thiểu 1 trong 2 để có thể gửi thư mời (FR-05.2).</w:t>
      </w:r>
    </w:p>
    <w:p>
      <w:pPr>
        <w:pStyle w:val="ListParagraph"/>
        <w:numPr>
          <w:ilvl w:val="0"/>
          <w:numId w:val="2"/>
        </w:numPr>
        <w:spacing w:after="80" w:line="280"/>
      </w:pPr>
      <w:r>
        <w:rPr>
          <w:sz w:val="22"/>
          <w:szCs w:val="22"/>
        </w:rPr>
        <w:t xml:space="preserve">Một khách mời thuộc đúng 1 nhóm khách mời chính, có thể gắn thêm nhãn (tag) phụ tùy chỉnh.</w:t>
      </w:r>
    </w:p>
    <w:p>
      <w:pPr>
        <w:pStyle w:val="ListParagraph"/>
        <w:numPr>
          <w:ilvl w:val="0"/>
          <w:numId w:val="2"/>
        </w:numPr>
        <w:spacing w:after="80" w:line="280"/>
      </w:pPr>
      <w:r>
        <w:rPr>
          <w:sz w:val="22"/>
          <w:szCs w:val="22"/>
        </w:rPr>
        <w:t xml:space="preserve">Số lượng người đi cùng (guest of) được cộng vào tổng số khách dự kiến của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Họ tên, đơn vị, email/SĐT, nhóm khách mời, số người đi cùng, ghi chú</w:t>
            </w:r>
          </w:p>
        </w:tc>
        <w:tc>
          <w:tcPr>
            <w:tcW w:type="dxa" w:w="4700"/>
            <w:tcMar>
              <w:top w:type="dxa" w:w="80"/>
              <w:left w:type="dxa" w:w="100"/>
              <w:bottom w:type="dxa" w:w="80"/>
              <w:right w:type="dxa" w:w="100"/>
            </w:tcMar>
          </w:tcPr>
          <w:p>
            <w:pPr>
              <w:jc w:val="left"/>
            </w:pPr>
            <w:r>
              <w:rPr>
                <w:b w:val="false"/>
                <w:bCs w:val="false"/>
                <w:color w:val="000000"/>
                <w:sz w:val="20"/>
                <w:szCs w:val="20"/>
              </w:rPr>
              <w:t xml:space="preserve">Họ tên bắt buộc; email/SĐT bắt buộc 1 trong 2</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Guest gắn với Event, trạng thái = Đã thêm vào danh sách</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thêm vào danh sách → (chuyển tiếp sang FR-05.2 khi gửi thư mời).</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"Khách mời" của sự kiện</w:t>
      </w:r>
    </w:p>
    <w:p>
      <w:pPr>
        <w:pStyle w:val="ListParagraph"/>
        <w:numPr>
          <w:ilvl w:val="0"/>
          <w:numId w:val="2"/>
        </w:numPr>
        <w:spacing w:after="80" w:line="280"/>
      </w:pPr>
      <w:r>
        <w:rPr>
          <w:sz w:val="22"/>
          <w:szCs w:val="22"/>
        </w:rPr>
        <w:t xml:space="preserve">Form "Thêm khách mời"</w:t>
      </w:r>
    </w:p>
    <w:p>
      <w:pPr>
        <w:pStyle w:val="ListParagraph"/>
        <w:numPr>
          <w:ilvl w:val="0"/>
          <w:numId w:val="2"/>
        </w:numPr>
        <w:spacing w:after="80" w:line="280"/>
      </w:pPr>
      <w:r>
        <w:rPr>
          <w:sz w:val="22"/>
          <w:szCs w:val="22"/>
        </w:rPr>
        <w:t xml:space="preserve">Chức năng "Nhập từ Excel"</w:t>
      </w:r>
    </w:p>
    <w:p>
      <w:r>
        <w:br w:type="page"/>
      </w:r>
    </w:p>
    <w:p>
      <w:pPr>
        <w:pStyle w:val="Heading2"/>
        <w:spacing w:after="120" w:before="260"/>
      </w:pPr>
      <w:r>
        <w:rPr>
          <w:b/>
          <w:bCs/>
          <w:color w:val="2E5FA3"/>
          <w:sz w:val="25"/>
          <w:szCs w:val="25"/>
        </w:rPr>
        <w:t xml:space="preserve">2.2. FR-05.2 – Gửi thư mời và theo dõi trạng thái xác nhận (RSVP)</w:t>
      </w:r>
    </w:p>
    <w:p>
      <w:pPr>
        <w:pStyle w:val="Heading3"/>
        <w:spacing w:after="100" w:before="200"/>
      </w:pPr>
      <w:r>
        <w:rPr>
          <w:b/>
          <w:bCs/>
          <w:color w:val="C0504D"/>
          <w:sz w:val="23"/>
          <w:szCs w:val="23"/>
        </w:rPr>
        <w:t xml:space="preserve">Mục đích</w:t>
      </w:r>
    </w:p>
    <w:p>
      <w:pPr>
        <w:spacing w:after="160" w:line="300"/>
      </w:pPr>
      <w:r>
        <w:rPr>
          <w:sz w:val="22"/>
          <w:szCs w:val="22"/>
        </w:rPr>
        <w:t xml:space="preserve">Gửi lời mời chính thức đến khách mời qua email/SMS và theo dõi trạng thái phản hồi tham dự theo thời gian thực, giúp BTC ước lượng chính xác số lượng khách thực tế.</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Khách mời (Team Lead)</w:t>
      </w:r>
    </w:p>
    <w:p>
      <w:pPr>
        <w:pStyle w:val="ListParagraph"/>
        <w:numPr>
          <w:ilvl w:val="0"/>
          <w:numId w:val="2"/>
        </w:numPr>
        <w:spacing w:after="80" w:line="280"/>
      </w:pPr>
      <w:r>
        <w:rPr>
          <w:sz w:val="22"/>
          <w:szCs w:val="22"/>
        </w:rPr>
        <w:t xml:space="preserve">Khách mời (Guest) – phản hồi RSVP</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Khách mời đã có trong danh sách (FR-05.1) với email/SĐT hợp lệ.</w:t>
      </w:r>
    </w:p>
    <w:p>
      <w:pPr>
        <w:pStyle w:val="ListParagraph"/>
        <w:numPr>
          <w:ilvl w:val="0"/>
          <w:numId w:val="2"/>
        </w:numPr>
        <w:spacing w:after="80" w:line="280"/>
      </w:pPr>
      <w:r>
        <w:rPr>
          <w:sz w:val="22"/>
          <w:szCs w:val="22"/>
        </w:rPr>
        <w:t xml:space="preserve">Mẫu thư mời (template) đã được chuẩn bị.</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Trưởng nhóm chọn danh sách khách mời cần gửi (toàn bộ hoặc theo nhóm/bộ lọc), chọn "Gửi thư mời".</w:t>
      </w:r>
    </w:p>
    <w:p>
      <w:pPr>
        <w:pStyle w:val="ListParagraph"/>
        <w:numPr>
          <w:ilvl w:val="0"/>
          <w:numId w:val="4"/>
        </w:numPr>
        <w:spacing w:after="80" w:line="280"/>
      </w:pPr>
      <w:r>
        <w:rPr>
          <w:sz w:val="22"/>
          <w:szCs w:val="22"/>
        </w:rPr>
        <w:t xml:space="preserve">Hệ thống hiển thị trình soạn thư mời (tiêu đề, nội dung, có thể chèn tên khách mời tự động), người dùng xác nhận nội dung.</w:t>
      </w:r>
    </w:p>
    <w:p>
      <w:pPr>
        <w:pStyle w:val="ListParagraph"/>
        <w:numPr>
          <w:ilvl w:val="0"/>
          <w:numId w:val="4"/>
        </w:numPr>
        <w:spacing w:after="80" w:line="280"/>
      </w:pPr>
      <w:r>
        <w:rPr>
          <w:sz w:val="22"/>
          <w:szCs w:val="22"/>
        </w:rPr>
        <w:t xml:space="preserve">Người dùng nhấn "Gửi"; hệ thống gửi email/SMS kèm đường link RSVP riêng cho từng khách mời.</w:t>
      </w:r>
    </w:p>
    <w:p>
      <w:pPr>
        <w:pStyle w:val="ListParagraph"/>
        <w:numPr>
          <w:ilvl w:val="0"/>
          <w:numId w:val="4"/>
        </w:numPr>
        <w:spacing w:after="80" w:line="280"/>
      </w:pPr>
      <w:r>
        <w:rPr>
          <w:sz w:val="22"/>
          <w:szCs w:val="22"/>
        </w:rPr>
        <w:t xml:space="preserve">Trạng thái khách mời chuyển "Đã gửi thư mời".</w:t>
      </w:r>
    </w:p>
    <w:p>
      <w:pPr>
        <w:pStyle w:val="ListParagraph"/>
        <w:numPr>
          <w:ilvl w:val="0"/>
          <w:numId w:val="4"/>
        </w:numPr>
        <w:spacing w:after="80" w:line="280"/>
      </w:pPr>
      <w:r>
        <w:rPr>
          <w:sz w:val="22"/>
          <w:szCs w:val="22"/>
        </w:rPr>
        <w:t xml:space="preserve">Khách mời mở link, chọn "Xác nhận tham dự" hoặc "Từ chối", có thể ghi chú số người đi cùng thực tế.</w:t>
      </w:r>
    </w:p>
    <w:p>
      <w:pPr>
        <w:pStyle w:val="ListParagraph"/>
        <w:numPr>
          <w:ilvl w:val="0"/>
          <w:numId w:val="4"/>
        </w:numPr>
        <w:spacing w:after="80" w:line="280"/>
      </w:pPr>
      <w:r>
        <w:rPr>
          <w:sz w:val="22"/>
          <w:szCs w:val="22"/>
        </w:rPr>
        <w:t xml:space="preserve">Hệ thống cập nhật trạng thái khách mời tương ứng "Đã xác nhận" hoặc "Từ chối" theo thời gian thực; Trưởng BTC theo dõi tỷ lệ phản hồi trên Dashboard.</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mời không phản hồi sau X ngày (cấu hình được)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tự động gửi email nhắc nhở 1 lần; nếu vẫn không phản hồi, giữ trạng thái "Chưa phản hồi" và hiển thị trong danh sách cần liên hệ trực tiếp.</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Gửi thư mời thất bại (email không hợp lệ, bị chặn)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đánh dấu "Gửi thất bại" và liệt kê để BTC liên hệ qua kênh khác.</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mời đổi ý sau khi đã xác nhận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cho phép khách mời cập nhật lại phản hồi qua cùng đường link RSVP cho đến trước ngày sự kiện.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khách mời có 1 đường link RSVP riêng, không chia sẻ được cho người khác (gắn với mã định danh duy nhất).</w:t>
      </w:r>
    </w:p>
    <w:p>
      <w:pPr>
        <w:pStyle w:val="ListParagraph"/>
        <w:numPr>
          <w:ilvl w:val="0"/>
          <w:numId w:val="2"/>
        </w:numPr>
        <w:spacing w:after="80" w:line="280"/>
      </w:pPr>
      <w:r>
        <w:rPr>
          <w:sz w:val="22"/>
          <w:szCs w:val="22"/>
        </w:rPr>
        <w:t xml:space="preserve">Tỷ lệ phản hồi (response rate) và tỷ lệ xác nhận (confirmation rate) được tính tự động và hiển thị trên Dashboard khách mời.</w:t>
      </w:r>
    </w:p>
    <w:p>
      <w:pPr>
        <w:pStyle w:val="ListParagraph"/>
        <w:numPr>
          <w:ilvl w:val="0"/>
          <w:numId w:val="2"/>
        </w:numPr>
        <w:spacing w:after="80" w:line="280"/>
      </w:pPr>
      <w:r>
        <w:rPr>
          <w:sz w:val="22"/>
          <w:szCs w:val="22"/>
        </w:rPr>
        <w:t xml:space="preserve">Ngưỡng thời gian nhắc nhở mặc định là 3 ngày sau khi gửi thư mời, có thể cấu hình theo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Nội dung thư mời, danh sách khách mời nhận thư</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RSVP của từng khách mời; thống kê tỷ lệ phản hồi trên Dashboard</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gửi thư mời → Đã xác nhận / Từ chối / Chưa phản hồi.</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Trình soạn thư mời</w:t>
      </w:r>
    </w:p>
    <w:p>
      <w:pPr>
        <w:pStyle w:val="ListParagraph"/>
        <w:numPr>
          <w:ilvl w:val="0"/>
          <w:numId w:val="2"/>
        </w:numPr>
        <w:spacing w:after="80" w:line="280"/>
      </w:pPr>
      <w:r>
        <w:rPr>
          <w:sz w:val="22"/>
          <w:szCs w:val="22"/>
        </w:rPr>
        <w:t xml:space="preserve">Trang RSVP dành cho khách mời (public link)</w:t>
      </w:r>
    </w:p>
    <w:p>
      <w:pPr>
        <w:pStyle w:val="ListParagraph"/>
        <w:numPr>
          <w:ilvl w:val="0"/>
          <w:numId w:val="2"/>
        </w:numPr>
        <w:spacing w:after="80" w:line="280"/>
      </w:pPr>
      <w:r>
        <w:rPr>
          <w:sz w:val="22"/>
          <w:szCs w:val="22"/>
        </w:rPr>
        <w:t xml:space="preserve">Dashboard khách mời – thống kê phản hồi</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Đường link RSVP phải hoạt động ổn định trên mọi trình duyệt/thiết bị di động phổ biến, không yêu cầu đăng nhập.</w:t>
      </w:r>
    </w:p>
    <w:p>
      <w:r>
        <w:br w:type="page"/>
      </w:r>
    </w:p>
    <w:p>
      <w:pPr>
        <w:pStyle w:val="Heading2"/>
        <w:spacing w:after="120" w:before="260"/>
      </w:pPr>
      <w:r>
        <w:rPr>
          <w:b/>
          <w:bCs/>
          <w:color w:val="2E5FA3"/>
          <w:sz w:val="25"/>
          <w:szCs w:val="25"/>
        </w:rPr>
        <w:t xml:space="preserve">2.3. FR-05.3 – Check-in khách mời ngày sự kiện (quét mã QR)</w:t>
      </w:r>
    </w:p>
    <w:p>
      <w:pPr>
        <w:pStyle w:val="Heading3"/>
        <w:spacing w:after="100" w:before="200"/>
      </w:pPr>
      <w:r>
        <w:rPr>
          <w:b/>
          <w:bCs/>
          <w:color w:val="C0504D"/>
          <w:sz w:val="23"/>
          <w:szCs w:val="23"/>
        </w:rPr>
        <w:t xml:space="preserve">Mục đích</w:t>
      </w:r>
    </w:p>
    <w:p>
      <w:pPr>
        <w:spacing w:after="160" w:line="300"/>
      </w:pPr>
      <w:r>
        <w:rPr>
          <w:sz w:val="22"/>
          <w:szCs w:val="22"/>
        </w:rPr>
        <w:t xml:space="preserve">Rút ngắn thời gian đón tiếp và ghi nhận chính xác số lượng khách có mặt thực tế tại sự kiện thông qua quét mã QR cá nhân hóa cho từng khách mời.</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lễ tân (On-site Staff)</w:t>
      </w:r>
    </w:p>
    <w:p>
      <w:pPr>
        <w:pStyle w:val="ListParagraph"/>
        <w:numPr>
          <w:ilvl w:val="0"/>
          <w:numId w:val="2"/>
        </w:numPr>
        <w:spacing w:after="80" w:line="280"/>
      </w:pPr>
      <w:r>
        <w:rPr>
          <w:sz w:val="22"/>
          <w:szCs w:val="22"/>
        </w:rPr>
        <w:t xml:space="preserve">Khách mời (Guest)</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Khách mời đã ở trạng thái "Đã xác nhận" (hoặc bất kỳ trạng thái nào, tùy chính sách sự kiện có cho phép khách vãng lai check-in không).</w:t>
      </w:r>
    </w:p>
    <w:p>
      <w:pPr>
        <w:pStyle w:val="ListParagraph"/>
        <w:numPr>
          <w:ilvl w:val="0"/>
          <w:numId w:val="2"/>
        </w:numPr>
        <w:spacing w:after="80" w:line="280"/>
      </w:pPr>
      <w:r>
        <w:rPr>
          <w:sz w:val="22"/>
          <w:szCs w:val="22"/>
        </w:rPr>
        <w:t xml:space="preserve">Mã QR cá nhân đã được tạo và gửi kèm thư mời/email xác nhận.</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Khách mời đến địa điểm sự kiện, xuất trình mã QR (trên điện thoại hoặc bản in) tại quầy lễ tân.</w:t>
      </w:r>
    </w:p>
    <w:p>
      <w:pPr>
        <w:pStyle w:val="ListParagraph"/>
        <w:numPr>
          <w:ilvl w:val="0"/>
          <w:numId w:val="5"/>
        </w:numPr>
        <w:spacing w:after="80" w:line="280"/>
      </w:pPr>
      <w:r>
        <w:rPr>
          <w:sz w:val="22"/>
          <w:szCs w:val="22"/>
        </w:rPr>
        <w:t xml:space="preserve">Nhân sự lễ tân dùng ứng dụng di động quét mã QR của khách mời.</w:t>
      </w:r>
    </w:p>
    <w:p>
      <w:pPr>
        <w:pStyle w:val="ListParagraph"/>
        <w:numPr>
          <w:ilvl w:val="0"/>
          <w:numId w:val="5"/>
        </w:numPr>
        <w:spacing w:after="80" w:line="280"/>
      </w:pPr>
      <w:r>
        <w:rPr>
          <w:sz w:val="22"/>
          <w:szCs w:val="22"/>
        </w:rPr>
        <w:t xml:space="preserve">Hệ thống xác thực mã QR hợp lệ, hiển thị thông tin khách mời (tên, nhóm, ghi chú đặc biệt) để lễ tân xác nhận.</w:t>
      </w:r>
    </w:p>
    <w:p>
      <w:pPr>
        <w:pStyle w:val="ListParagraph"/>
        <w:numPr>
          <w:ilvl w:val="0"/>
          <w:numId w:val="5"/>
        </w:numPr>
        <w:spacing w:after="80" w:line="280"/>
      </w:pPr>
      <w:r>
        <w:rPr>
          <w:sz w:val="22"/>
          <w:szCs w:val="22"/>
        </w:rPr>
        <w:t xml:space="preserve">Nhân sự lễ tân nhấn "Xác nhận check-in".</w:t>
      </w:r>
    </w:p>
    <w:p>
      <w:pPr>
        <w:pStyle w:val="ListParagraph"/>
        <w:numPr>
          <w:ilvl w:val="0"/>
          <w:numId w:val="5"/>
        </w:numPr>
        <w:spacing w:after="80" w:line="280"/>
      </w:pPr>
      <w:r>
        <w:rPr>
          <w:sz w:val="22"/>
          <w:szCs w:val="22"/>
        </w:rPr>
        <w:t xml:space="preserve">Hệ thống ghi nhận thời gian check-in, chuyển trạng thái khách mời thành "Đã check-in", cập nhật số liệu khách có mặt theo thời gian thực trên Dashboard.</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Mã QR không hợp lệ hoặc đã được sử dụng trước đó</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"Mã đã được sử dụng" kèm thời điểm check-in trước đó, để lễ tân xử lý (tránh gian lận vé mời).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Khách mời không mang theo mã QR</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Nhân sự lễ tân tìm kiếm khách mời theo tên/số điện thoại trong hệ thống và check-in thủ công.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mời chưa từng xác nhận RSVP nhưng vẫn đến tham dự (khách vãng lai được chấp nhận)</w:t>
            </w:r>
          </w:p>
        </w:tc>
        <w:tc>
          <w:tcPr>
            <w:tcW w:type="dxa" w:w="5900"/>
            <w:tcMar>
              <w:top w:type="dxa" w:w="80"/>
              <w:left w:type="dxa" w:w="100"/>
              <w:bottom w:type="dxa" w:w="80"/>
              <w:right w:type="dxa" w:w="100"/>
            </w:tcMar>
          </w:tcPr>
          <w:p>
            <w:pPr>
              <w:jc w:val="left"/>
            </w:pPr>
            <w:r>
              <w:rPr>
                <w:b w:val="false"/>
                <w:bCs w:val="false"/>
                <w:color w:val="000000"/>
                <w:sz w:val="20"/>
                <w:szCs w:val="20"/>
              </w:rPr>
              <w:t xml:space="preserve">Nhân sự lễ tân thêm nhanh khách mời mới ngay tại quầy lễ tân và check-in luôn (tùy chính sách sự kiện).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mã QR gắn với đúng 1 khách mời và chỉ có hiệu lực check-in 1 lần (trừ trường hợp sự kiện nhiều ngày, có thể cấu hình check-in theo từng ngày).</w:t>
      </w:r>
    </w:p>
    <w:p>
      <w:pPr>
        <w:pStyle w:val="ListParagraph"/>
        <w:numPr>
          <w:ilvl w:val="0"/>
          <w:numId w:val="2"/>
        </w:numPr>
        <w:spacing w:after="80" w:line="280"/>
      </w:pPr>
      <w:r>
        <w:rPr>
          <w:sz w:val="22"/>
          <w:szCs w:val="22"/>
        </w:rPr>
        <w:t xml:space="preserve">Chỉ nhân sự được phân ca tại vị trí lễ tân (liên kết Module Nhân sự – FR-03.2) mới có quyền thực hiện check-in.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Mã QR quét được hoặc thông tin tìm kiếm thủ công</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khách mời = Đã check-in, thời gian check-in; số liệu khách có mặt cập nhật real-time</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xác nhận → Đã check-in.</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Ứng dụng quét mã QR (mobile – lễ tân)</w:t>
      </w:r>
    </w:p>
    <w:p>
      <w:pPr>
        <w:pStyle w:val="ListParagraph"/>
        <w:numPr>
          <w:ilvl w:val="0"/>
          <w:numId w:val="2"/>
        </w:numPr>
        <w:spacing w:after="80" w:line="280"/>
      </w:pPr>
      <w:r>
        <w:rPr>
          <w:sz w:val="22"/>
          <w:szCs w:val="22"/>
        </w:rPr>
        <w:t xml:space="preserve">Dashboard số liệu khách có mặt theo thời gian thực</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Thao tác quét và xác thực mã QR phải hoàn tất trong ≤ 2 giây để tránh ùn tắc tại cổng check-in.</w:t>
      </w:r>
    </w:p>
    <w:p>
      <w:r>
        <w:br w:type="page"/>
      </w:r>
    </w:p>
    <w:p>
      <w:pPr>
        <w:pStyle w:val="Heading2"/>
        <w:spacing w:after="120" w:before="260"/>
      </w:pPr>
      <w:r>
        <w:rPr>
          <w:b/>
          <w:bCs/>
          <w:color w:val="2E5FA3"/>
          <w:sz w:val="25"/>
          <w:szCs w:val="25"/>
        </w:rPr>
        <w:t xml:space="preserve">2.4. FR-05.4 – Quản lý thông tin nhà cung cấp/đối tác và trạng thái hợp đồng</w:t>
      </w:r>
    </w:p>
    <w:p>
      <w:pPr>
        <w:pStyle w:val="Heading3"/>
        <w:spacing w:after="100" w:before="200"/>
      </w:pPr>
      <w:r>
        <w:rPr>
          <w:b/>
          <w:bCs/>
          <w:color w:val="C0504D"/>
          <w:sz w:val="23"/>
          <w:szCs w:val="23"/>
        </w:rPr>
        <w:t xml:space="preserve">Mục đích</w:t>
      </w:r>
    </w:p>
    <w:p>
      <w:pPr>
        <w:spacing w:after="160" w:line="300"/>
      </w:pPr>
      <w:r>
        <w:rPr>
          <w:sz w:val="22"/>
          <w:szCs w:val="22"/>
        </w:rPr>
        <w:t xml:space="preserve">Theo dõi thông tin các nhà cung cấp dịch vụ (âm thanh ánh sáng, trang trí, catering...) và đối tác tài trợ, cùng trạng thái hợp đồng/thỏa thuận với từng bên, đảm bảo không bỏ sót cam kết hoặc thời hạn thanh toán.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liên quan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Module 01.</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Người dùng vào tab "Đối tác/Nhà cung cấp", chọn "Thêm đối tác".</w:t>
      </w:r>
    </w:p>
    <w:p>
      <w:pPr>
        <w:pStyle w:val="ListParagraph"/>
        <w:numPr>
          <w:ilvl w:val="0"/>
          <w:numId w:val="6"/>
        </w:numPr>
        <w:spacing w:after="80" w:line="280"/>
      </w:pPr>
      <w:r>
        <w:rPr>
          <w:sz w:val="22"/>
          <w:szCs w:val="22"/>
        </w:rPr>
        <w:t xml:space="preserve">Hệ thống hiển thị form: Tên đơn vị, Loại hình (Nhà cung cấp dịch vụ/Nhà tài trợ), Người liên hệ, Hạng mục phụ trách liên quan, Giá trị hợp đồng, Trạng thái hợp đồng (Đang đàm phán/Đã ký/Đã hoàn tất/Đã hủy).</w:t>
      </w:r>
    </w:p>
    <w:p>
      <w:pPr>
        <w:pStyle w:val="ListParagraph"/>
        <w:numPr>
          <w:ilvl w:val="0"/>
          <w:numId w:val="6"/>
        </w:numPr>
        <w:spacing w:after="80" w:line="280"/>
      </w:pPr>
      <w:r>
        <w:rPr>
          <w:sz w:val="22"/>
          <w:szCs w:val="22"/>
        </w:rPr>
        <w:t xml:space="preserve">Người dùng nhập thông tin, có thể đính kèm file hợp đồng.</w:t>
      </w:r>
    </w:p>
    <w:p>
      <w:pPr>
        <w:pStyle w:val="ListParagraph"/>
        <w:numPr>
          <w:ilvl w:val="0"/>
          <w:numId w:val="6"/>
        </w:numPr>
        <w:spacing w:after="80" w:line="280"/>
      </w:pPr>
      <w:r>
        <w:rPr>
          <w:sz w:val="22"/>
          <w:szCs w:val="22"/>
        </w:rPr>
        <w:t xml:space="preserve">Người dùng lưu; hệ thống tạo bản ghi đối tác gắn với sự kiện.</w:t>
      </w:r>
    </w:p>
    <w:p>
      <w:pPr>
        <w:pStyle w:val="ListParagraph"/>
        <w:numPr>
          <w:ilvl w:val="0"/>
          <w:numId w:val="6"/>
        </w:numPr>
        <w:spacing w:after="80" w:line="280"/>
      </w:pPr>
      <w:r>
        <w:rPr>
          <w:sz w:val="22"/>
          <w:szCs w:val="22"/>
        </w:rPr>
        <w:t xml:space="preserve">Trong quá trình triển khai, người dùng cập nhật trạng thái hợp đồng khi có tiến triển (VD: từ "Đang đàm phán" sang "Đã ký").</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Đối tác/nhà cung cấp đã từng hợp tác ở sự kiện trước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gợi ý chọn từ danh sách đối tác đã có trong tổ chức thay vì nhập lại từ đầu.</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Hợp đồng bị hủy giữa chừng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Người dùng chuyển trạng thái sang "Đã hủy" kèm lý do; hệ thống cảnh báo nếu hạng mục liên quan chưa có phương án thay thế.</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Giá trị hợp đồng (nếu có) được liên kết tham chiếu sang Module Ngân sách để đối chiếu với khoản chi thực tế tương ứng (không tự động đồng bộ 2 chiều ở giai đoạn 1).</w:t>
      </w:r>
    </w:p>
    <w:p>
      <w:pPr>
        <w:pStyle w:val="ListParagraph"/>
        <w:numPr>
          <w:ilvl w:val="0"/>
          <w:numId w:val="2"/>
        </w:numPr>
        <w:spacing w:after="80" w:line="280"/>
      </w:pPr>
      <w:r>
        <w:rPr>
          <w:sz w:val="22"/>
          <w:szCs w:val="22"/>
        </w:rPr>
        <w:t xml:space="preserve">Chỉ Trưởng BTC hoặc Trưởng nhóm phụ trách hạng mục liên quan mới được chỉnh sửa thông tin đối tác/hợp đồng.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đơn vị, loại hình, người liên hệ, hạng mục liên quan, giá trị hợp đồng, trạng thái, file hợp đồng</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đơn vị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Vendor/Partner gắn với Event, trạng thái hợp đồng cập nhật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đàm phán → Đã ký → Đã hoàn tất (hoặc Đã hủy ở bất kỳ bước nào trước Đã hoàn tất).</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"Đối tác/Nhà cung cấp" của sự kiện</w:t>
      </w:r>
    </w:p>
    <w:p>
      <w:pPr>
        <w:pStyle w:val="ListParagraph"/>
        <w:numPr>
          <w:ilvl w:val="0"/>
          <w:numId w:val="2"/>
        </w:numPr>
        <w:spacing w:after="80" w:line="280"/>
      </w:pPr>
      <w:r>
        <w:rPr>
          <w:sz w:val="22"/>
          <w:szCs w:val="22"/>
        </w:rPr>
        <w:t xml:space="preserve">Form "Thêm đối tác"</w:t>
      </w:r>
    </w:p>
    <w:p>
      <w:pPr>
        <w:pStyle w:val="ListParagraph"/>
        <w:numPr>
          <w:ilvl w:val="0"/>
          <w:numId w:val="2"/>
        </w:numPr>
        <w:spacing w:after="80" w:line="280"/>
      </w:pPr>
      <w:r>
        <w:rPr>
          <w:sz w:val="22"/>
          <w:szCs w:val="22"/>
        </w:rPr>
        <w:t xml:space="preserve">Chi tiết đối tác (kèm file hợp đồng đính kèm)</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FR-05.1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5.5 – Module Khách mời &amp; Đối tác</w:t>
            </w:r>
          </w:p>
        </w:tc>
        <w:tc>
          <w:tcPr>
            <w:tcW w:type="dxa" w:w="3200"/>
            <w:tcMar>
              <w:top w:type="dxa" w:w="80"/>
              <w:left w:type="dxa" w:w="100"/>
              <w:bottom w:type="dxa" w:w="80"/>
              <w:right w:type="dxa" w:w="100"/>
            </w:tcMar>
          </w:tcPr>
          <w:p>
            <w:pPr>
              <w:jc w:val="left"/>
            </w:pPr>
            <w:r>
              <w:rPr>
                <w:b w:val="false"/>
                <w:bCs w:val="false"/>
                <w:color w:val="000000"/>
                <w:sz w:val="20"/>
                <w:szCs w:val="20"/>
              </w:rPr>
              <w:t xml:space="preserve">TC-GST-001 → TC-GST-007</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FR-05.2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5.5 – Module Khách mời &amp; Đối tác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TC-GST-008 → TC-GST-015</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FR-05.3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5.5 – Module Khách mời &amp; Đối tác</w:t>
            </w:r>
          </w:p>
        </w:tc>
        <w:tc>
          <w:tcPr>
            <w:tcW w:type="dxa" w:w="3200"/>
            <w:tcMar>
              <w:top w:type="dxa" w:w="80"/>
              <w:left w:type="dxa" w:w="100"/>
              <w:bottom w:type="dxa" w:w="80"/>
              <w:right w:type="dxa" w:w="100"/>
            </w:tcMar>
          </w:tcPr>
          <w:p>
            <w:pPr>
              <w:jc w:val="left"/>
            </w:pPr>
            <w:r>
              <w:rPr>
                <w:b w:val="false"/>
                <w:bCs w:val="false"/>
                <w:color w:val="000000"/>
                <w:sz w:val="20"/>
                <w:szCs w:val="20"/>
              </w:rPr>
              <w:t xml:space="preserve">TC-GST-016 → TC-GST-021</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FR-05.4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5.5 – Module Khách mời &amp; Đối tác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TC-GST-022 → TC-GST-026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05: Quản lý Khách mời &amp; Đối tác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2026-08-15T09:41:02.302Z</dcterms:created>
  <dcterms:modified xsi:type="dcterms:W3CDTF">2026-08-15T09:41:02.315Z</dcterms:modified>
</cp:coreProperties>
</file>

<file path=docProps/custom.xml><?xml version="1.0" encoding="utf-8"?>
<Properties xmlns="http://schemas.openxmlformats.org/officeDocument/2006/custom-properties" xmlns:vt="http://schemas.openxmlformats.org/officeDocument/2006/docPropsVTypes"/>
</file>