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jc w:val="center"/>
      </w:pPr>
      <w:r>
        <w:rPr>
          <w:b/>
          <w:bCs/>
          <w:color w:val="1F3864"/>
          <w:sz w:val="40"/>
          <w:szCs w:val="40"/>
        </w:rPr>
        <w:t xml:space="preserve">MÔ TẢ NGHIỆP VỤ CHI TIẾT</w:t>
      </w:r>
    </w:p>
    <w:p>
      <w:pPr>
        <w:spacing w:after="100" w:before="200"/>
        <w:jc w:val="center"/>
      </w:pPr>
      <w:r>
        <w:rPr>
          <w:b/>
          <w:bCs/>
          <w:color w:val="2E5FA3"/>
          <w:sz w:val="30"/>
          <w:szCs w:val="30"/>
        </w:rPr>
        <w:t xml:space="preserve">Module 11: BÁO GIÁ &amp; ĐĂNG KÝ DOANH NGHIỆP (B2B)</w:t>
      </w:r>
    </w:p>
    <w:p>
      <w:pPr>
        <w:spacing w:before="100"/>
        <w:jc w:val="center"/>
      </w:pPr>
      <w:r>
        <w:rPr>
          <w:i/>
          <w:iCs/>
          <w:color w:val="595959"/>
          <w:sz w:val="22"/>
          <w:szCs w:val="22"/>
        </w:rPr>
        <w:t xml:space="preserve">(Tương ứng FR-11 trong Tài liệu Phân tích Nghiệp vụ – Module mở rộng)</w:t>
      </w:r>
    </w:p>
    <w:p>
      <w:pPr>
        <w:spacing w:before="600"/>
        <w:jc w:val="center"/>
      </w:pPr>
      <w:r>
        <w:rPr>
          <w:i/>
          <w:iCs/>
          <w:color w:val="595959"/>
          <w:sz w:val="24"/>
          <w:szCs w:val="24"/>
        </w:rPr>
        <w:t xml:space="preserve">Business Process Description (BPD)</w:t>
      </w:r>
    </w:p>
    <w:p>
      <w:pPr>
        <w:spacing w:before="700"/>
        <w:jc w:val="center"/>
      </w:pPr>
      <w:r>
        <w:rPr>
          <w:sz w:val="22"/>
          <w:szCs w:val="22"/>
        </w:rPr>
        <w:t xml:space="preserve">Phiên bản: 1.0</w:t>
      </w:r>
    </w:p>
    <w:p>
      <w:pPr>
        <w:spacing w:before="100"/>
        <w:jc w:val="center"/>
      </w:pPr>
      <w:r>
        <w:rPr>
          <w:sz w:val="22"/>
          <w:szCs w:val="22"/>
        </w:rPr>
        <w:t xml:space="preserve">Ngày phát hành: 15/08/2026</w:t>
      </w:r>
    </w:p>
    <w:p>
      <w:pPr>
        <w:spacing w:before="100"/>
        <w:jc w:val="center"/>
      </w:pPr>
      <w:r>
        <w:rPr>
          <w:sz w:val="22"/>
          <w:szCs w:val="22"/>
        </w:rPr>
        <w:t xml:space="preserve">Người soạn thảo: Bộ phận Phân tích Nghiệp vụ (BA Team)</w:t>
      </w:r>
    </w:p>
    <w:p>
      <w:r>
        <w:br w:type="page"/>
      </w:r>
    </w:p>
    <w:p>
      <w:pPr>
        <w:pStyle w:val="Heading1"/>
        <w:spacing w:after="160" w:before="360"/>
      </w:pPr>
      <w:r>
        <w:rPr>
          <w:b/>
          <w:bCs/>
          <w:color w:val="1F3864"/>
          <w:sz w:val="30"/>
          <w:szCs w:val="30"/>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b/>
          <w:bCs/>
          <w:color w:val="1F3864"/>
          <w:sz w:val="30"/>
          <w:szCs w:val="30"/>
        </w:rPr>
        <w:t xml:space="preserve">1. Tổng quan Module</w:t>
      </w:r>
    </w:p>
    <w:p>
      <w:pPr>
        <w:spacing w:after="160" w:line="300"/>
      </w:pPr>
      <w:r>
        <w:rPr>
          <w:sz w:val="22"/>
          <w:szCs w:val="22"/>
        </w:rPr>
        <w:t xml:space="preserve">Module Báo giá &amp; Đăng ký Doanh nghiệp (B2B) là phân hệ mở rộng, phục vụ nhóm khách hàng tổ chức/doanh nghiệp có nhu cầu hợp tác với sự kiện ở quy mô lớn hơn khách lẻ — ví dụ: mua vé số lượng lớn cho nhân viên, đặt gian hàng triển lãm, tài trợ (sponsorship), hoặc đặt combo dịch vụ riêng. Module cho phép doanh nghiệp đăng ký thông tin và nhu cầu ngay trên trang công khai, BTC tiếp nhận, soạn báo giá chi tiết, theo dõi tiến trình đàm phán theo dạng pipeline, và cuối cùng chuyển đổi thành đơn hàng/hợp đồng chính thức.</w:t>
      </w:r>
    </w:p>
    <w:p>
      <w:pPr>
        <w:spacing w:after="160" w:line="300"/>
      </w:pPr>
      <w:r>
        <w:rPr>
          <w:sz w:val="22"/>
          <w:szCs w:val="22"/>
        </w:rPr>
        <w:t xml:space="preserve">Lưu ý phạm vi: Module này liên kết với Module 05 (Vendor/Đối tác — khi báo giá thành công có thể tạo thành 1 vendor/đối tác tài trợ), Module 04 (Ngân sách — giá trị hợp đồng B2B được ghi nhận như nguồn thu, đối chiếu ngân sách sự kiện), và Module 10 (Bán vé &amp; Vật phẩm — trường hợp doanh nghiệp mua vé số lượng lớn có thể xuất đơn hàng vé qua cơ chế đã có ở Module 10).</w:t>
      </w:r>
    </w:p>
    <w:p>
      <w:pPr>
        <w:pStyle w:val="Heading2"/>
        <w:spacing w:after="120" w:before="260"/>
      </w:pPr>
      <w:r>
        <w:rPr>
          <w:b/>
          <w:bCs/>
          <w:color w:val="2E5FA3"/>
          <w:sz w:val="25"/>
          <w:szCs w:val="25"/>
        </w:rPr>
        <w:t xml:space="preserve">1.1. Danh sách chức năng con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5900"/>
        <w:gridCol w:w="1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Mã</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Tên chức năng</w:t>
            </w:r>
          </w:p>
        </w:tc>
        <w:tc>
          <w:tcPr>
            <w:tcW w:type="dxa" w:w="1700"/>
            <w:shd w:fill="1F3864" w:val="clear"/>
            <w:tcMar>
              <w:top w:type="dxa" w:w="80"/>
              <w:left w:type="dxa" w:w="100"/>
              <w:bottom w:type="dxa" w:w="80"/>
              <w:right w:type="dxa" w:w="100"/>
            </w:tcMar>
          </w:tcPr>
          <w:p>
            <w:pPr>
              <w:jc w:val="left"/>
            </w:pPr>
            <w:r>
              <w:rPr>
                <w:b/>
                <w:bCs/>
                <w:color w:val="FFFFFF"/>
                <w:sz w:val="20"/>
                <w:szCs w:val="20"/>
              </w:rPr>
              <w:t xml:space="preserve">Độ ưu tiên</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FR-11.1</w:t>
            </w:r>
          </w:p>
        </w:tc>
        <w:tc>
          <w:tcPr>
            <w:tcW w:type="dxa" w:w="5900"/>
            <w:tcMar>
              <w:top w:type="dxa" w:w="80"/>
              <w:left w:type="dxa" w:w="100"/>
              <w:bottom w:type="dxa" w:w="80"/>
              <w:right w:type="dxa" w:w="100"/>
            </w:tcMar>
          </w:tcPr>
          <w:p>
            <w:pPr>
              <w:jc w:val="left"/>
            </w:pPr>
            <w:r>
              <w:rPr>
                <w:b w:val="false"/>
                <w:bCs w:val="false"/>
                <w:color w:val="000000"/>
                <w:sz w:val="20"/>
                <w:szCs w:val="20"/>
              </w:rPr>
              <w:t xml:space="preserve">Đăng ký thông tin doanh nghiệp (trang công khai)</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FR-11.2</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Tiếp nhận &amp; xử lý yêu cầu báo giá (RFQ)</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FR-11.3</w:t>
            </w:r>
          </w:p>
        </w:tc>
        <w:tc>
          <w:tcPr>
            <w:tcW w:type="dxa" w:w="5900"/>
            <w:tcMar>
              <w:top w:type="dxa" w:w="80"/>
              <w:left w:type="dxa" w:w="100"/>
              <w:bottom w:type="dxa" w:w="80"/>
              <w:right w:type="dxa" w:w="100"/>
            </w:tcMar>
          </w:tcPr>
          <w:p>
            <w:pPr>
              <w:jc w:val="left"/>
            </w:pPr>
            <w:r>
              <w:rPr>
                <w:b w:val="false"/>
                <w:bCs w:val="false"/>
                <w:color w:val="000000"/>
                <w:sz w:val="20"/>
                <w:szCs w:val="20"/>
              </w:rPr>
              <w:t xml:space="preserve">Soạn &amp; gửi báo giá chi tiết</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FR-11.4</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Phê duyệt báo giá nội bộ theo ngưỡng chiết khấu</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FR-11.5</w:t>
            </w:r>
          </w:p>
        </w:tc>
        <w:tc>
          <w:tcPr>
            <w:tcW w:type="dxa" w:w="5900"/>
            <w:tcMar>
              <w:top w:type="dxa" w:w="80"/>
              <w:left w:type="dxa" w:w="100"/>
              <w:bottom w:type="dxa" w:w="80"/>
              <w:right w:type="dxa" w:w="100"/>
            </w:tcMar>
          </w:tcPr>
          <w:p>
            <w:pPr>
              <w:jc w:val="left"/>
            </w:pPr>
            <w:r>
              <w:rPr>
                <w:b w:val="false"/>
                <w:bCs w:val="false"/>
                <w:color w:val="000000"/>
                <w:sz w:val="20"/>
                <w:szCs w:val="20"/>
              </w:rPr>
              <w:t xml:space="preserve">Theo dõi pipeline đăng ký &amp; đàm phán doanh nghiệp</w:t>
            </w:r>
          </w:p>
        </w:tc>
        <w:tc>
          <w:tcPr>
            <w:tcW w:type="dxa" w:w="1700"/>
            <w:tcMar>
              <w:top w:type="dxa" w:w="80"/>
              <w:left w:type="dxa" w:w="100"/>
              <w:bottom w:type="dxa" w:w="80"/>
              <w:right w:type="dxa" w:w="100"/>
            </w:tcMar>
          </w:tcPr>
          <w:p>
            <w:pPr>
              <w:jc w:val="left"/>
            </w:pPr>
            <w:r>
              <w:rPr>
                <w:b w:val="false"/>
                <w:bCs w:val="false"/>
                <w:color w:val="000000"/>
                <w:sz w:val="20"/>
                <w:szCs w:val="20"/>
              </w:rPr>
              <w:t xml:space="preserve">Cao</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FR-11.6</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Chuyển đổi báo giá thành hợp đồng &amp; báo cáo hiệu quả B2B</w:t>
            </w:r>
          </w:p>
        </w:tc>
        <w:tc>
          <w:tcPr>
            <w:tcW w:type="dxa" w:w="1700"/>
            <w:shd w:fill="F2F2F2" w:val="clear"/>
            <w:tcMar>
              <w:top w:type="dxa" w:w="80"/>
              <w:left w:type="dxa" w:w="100"/>
              <w:bottom w:type="dxa" w:w="80"/>
              <w:right w:type="dxa" w:w="100"/>
            </w:tcMar>
          </w:tcPr>
          <w:p>
            <w:pPr>
              <w:jc w:val="left"/>
            </w:pPr>
            <w:r>
              <w:rPr>
                <w:b w:val="false"/>
                <w:bCs w:val="false"/>
                <w:color w:val="000000"/>
                <w:sz w:val="20"/>
                <w:szCs w:val="20"/>
              </w:rPr>
              <w:t xml:space="preserve">Trung bình</w:t>
            </w:r>
          </w:p>
        </w:tc>
      </w:tr>
    </w:tbl>
    <w:p>
      <w:pPr>
        <w:pStyle w:val="Heading2"/>
        <w:spacing w:after="120" w:before="260"/>
      </w:pPr>
      <w:r>
        <w:rPr>
          <w:b/>
          <w:bCs/>
          <w:color w:val="2E5FA3"/>
          <w:sz w:val="25"/>
          <w:szCs w:val="25"/>
        </w:rPr>
        <w:t xml:space="preserve">1.2. Sơ đồ trạng thái pipeline doanh nghiệp (State Diagram tổng quát)</w:t>
      </w:r>
    </w:p>
    <w:p>
      <w:pPr>
        <w:spacing w:after="160" w:line="300"/>
      </w:pPr>
      <w:r>
        <w:rPr>
          <w:sz w:val="22"/>
          <w:szCs w:val="22"/>
        </w:rPr>
        <w:t xml:space="preserve">Lead mới (New) → Đang tư vấn (Contacted) → Đã gửi báo giá (Quoted) → Đang đàm phán (Negotiating) → Thắng/Đã ký (Won) hoặc Mất (Lost). Trạng thái Mất có thể xảy ra ở bất kỳ bước nào sau khi Lead được tạo, kèm lý do để phục vụ phân tích tỷ lệ chuyển đổi.</w:t>
      </w:r>
    </w:p>
    <w:p>
      <w:r>
        <w:br w:type="page"/>
      </w:r>
    </w:p>
    <w:p>
      <w:pPr>
        <w:pStyle w:val="Heading1"/>
        <w:spacing w:after="160" w:before="360"/>
      </w:pPr>
      <w:r>
        <w:rPr>
          <w:b/>
          <w:bCs/>
          <w:color w:val="1F3864"/>
          <w:sz w:val="30"/>
          <w:szCs w:val="30"/>
        </w:rPr>
        <w:t xml:space="preserve">2. Mô tả nghiệp vụ chi tiết từng chức năng</w:t>
      </w:r>
    </w:p>
    <w:p>
      <w:pPr>
        <w:pStyle w:val="Heading2"/>
        <w:spacing w:after="120" w:before="260"/>
      </w:pPr>
      <w:r>
        <w:rPr>
          <w:b/>
          <w:bCs/>
          <w:color w:val="2E5FA3"/>
          <w:sz w:val="25"/>
          <w:szCs w:val="25"/>
        </w:rPr>
        <w:t xml:space="preserve">2.1. FR-11.1 – Đăng ký thông tin doanh nghiệp (trang công khai)</w:t>
      </w:r>
    </w:p>
    <w:p>
      <w:pPr>
        <w:pStyle w:val="Heading3"/>
        <w:spacing w:after="100" w:before="200"/>
      </w:pPr>
      <w:r>
        <w:rPr>
          <w:b/>
          <w:bCs/>
          <w:color w:val="C0504D"/>
          <w:sz w:val="23"/>
          <w:szCs w:val="23"/>
        </w:rPr>
        <w:t xml:space="preserve">Mục đích</w:t>
      </w:r>
    </w:p>
    <w:p>
      <w:pPr>
        <w:spacing w:after="160" w:line="300"/>
      </w:pPr>
      <w:r>
        <w:rPr>
          <w:sz w:val="22"/>
          <w:szCs w:val="22"/>
        </w:rPr>
        <w:t xml:space="preserve">Cung cấp trang đăng ký công khai để đại diện doanh nghiệp chủ động để lại thông tin và nhu cầu hợp tác với sự kiện, làm đầu vào (lead) cho đội kinh doanh/BTC tiếp cận.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Đại diện doanh nghiệp (Corporate Contact) – không cần tài khoản hệ thống</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Sự kiện đã bật chức năng nhận đăng ký doanh nghiệp (cấu hình ở Module 01).</w:t>
      </w:r>
    </w:p>
    <w:p>
      <w:pPr>
        <w:pStyle w:val="Heading3"/>
        <w:spacing w:after="100" w:before="200"/>
      </w:pPr>
      <w:r>
        <w:rPr>
          <w:b/>
          <w:bCs/>
          <w:color w:val="C0504D"/>
          <w:sz w:val="23"/>
          <w:szCs w:val="23"/>
        </w:rPr>
        <w:t xml:space="preserve">Luồng xử lý chính (Main Flow)</w:t>
      </w:r>
    </w:p>
    <w:p>
      <w:pPr>
        <w:pStyle w:val="ListParagraph"/>
        <w:numPr>
          <w:ilvl w:val="0"/>
          <w:numId w:val="3"/>
        </w:numPr>
        <w:spacing w:after="80" w:line="280"/>
      </w:pPr>
      <w:r>
        <w:rPr>
          <w:sz w:val="22"/>
          <w:szCs w:val="22"/>
        </w:rPr>
        <w:t xml:space="preserve">Đại diện doanh nghiệp truy cập trang "Đăng ký hợp tác doanh nghiệp" của sự kiện qua đường link được chia sẻ.</w:t>
      </w:r>
    </w:p>
    <w:p>
      <w:pPr>
        <w:pStyle w:val="ListParagraph"/>
        <w:numPr>
          <w:ilvl w:val="0"/>
          <w:numId w:val="3"/>
        </w:numPr>
        <w:spacing w:after="80" w:line="280"/>
      </w:pPr>
      <w:r>
        <w:rPr>
          <w:sz w:val="22"/>
          <w:szCs w:val="22"/>
        </w:rPr>
        <w:t xml:space="preserve">Trang hiển thị các hình thức hợp tác khả dụng (Mua vé số lượng lớn, Đặt gian hàng, Tài trợ, Khác) để doanh nghiệp chọn.</w:t>
      </w:r>
    </w:p>
    <w:p>
      <w:pPr>
        <w:pStyle w:val="ListParagraph"/>
        <w:numPr>
          <w:ilvl w:val="0"/>
          <w:numId w:val="3"/>
        </w:numPr>
        <w:spacing w:after="80" w:line="280"/>
      </w:pPr>
      <w:r>
        <w:rPr>
          <w:sz w:val="22"/>
          <w:szCs w:val="22"/>
        </w:rPr>
        <w:t xml:space="preserve">Đại diện doanh nghiệp nhập thông tin: Tên doanh nghiệp, Mã số thuế (tùy chọn), Người liên hệ, Email, SĐT, Hình thức hợp tác quan tâm, Mô tả nhu cầu/ngân sách dự kiến.</w:t>
      </w:r>
    </w:p>
    <w:p>
      <w:pPr>
        <w:pStyle w:val="ListParagraph"/>
        <w:numPr>
          <w:ilvl w:val="0"/>
          <w:numId w:val="3"/>
        </w:numPr>
        <w:spacing w:after="80" w:line="280"/>
      </w:pPr>
      <w:r>
        <w:rPr>
          <w:sz w:val="22"/>
          <w:szCs w:val="22"/>
        </w:rPr>
        <w:t xml:space="preserve">Đại diện doanh nghiệp gửi đăng ký; hệ thống tạo bản ghi Lead doanh nghiệp mới ở trạng thái "Lead mới".</w:t>
      </w:r>
    </w:p>
    <w:p>
      <w:pPr>
        <w:pStyle w:val="ListParagraph"/>
        <w:numPr>
          <w:ilvl w:val="0"/>
          <w:numId w:val="3"/>
        </w:numPr>
        <w:spacing w:after="80" w:line="280"/>
      </w:pPr>
      <w:r>
        <w:rPr>
          <w:sz w:val="22"/>
          <w:szCs w:val="22"/>
        </w:rPr>
        <w:t xml:space="preserve">Hệ thống gửi email xác nhận đã nhận được đăng ký cho doanh nghiệp và thông báo cho đội phụ trách B2B của BTC.</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Doanh nghiệp đăng ký trùng (cùng email/mã số thuế) cho cùng 1 sự kiện</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vẫn tạo bản ghi mới nhưng cảnh báo BTC về khả năng trùng lặp để gộp xử lý thủ công, tránh 2 đội liên hệ chồng chéo cùng 1 doanh nghiệp.</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Doanh nghiệp để trống phần mô tả nhu cầu</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vẫn cho phép gửi đăng ký (không bắt buộc), BTC sẽ chủ động liên hệ làm rõ nhu cầu ở bước tiếp theo.</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Tên doanh nghiệp, người liên hệ, và email hoặc SĐT là bắt buộc.</w:t>
      </w:r>
    </w:p>
    <w:p>
      <w:pPr>
        <w:pStyle w:val="ListParagraph"/>
        <w:numPr>
          <w:ilvl w:val="0"/>
          <w:numId w:val="2"/>
        </w:numPr>
        <w:spacing w:after="80" w:line="280"/>
      </w:pPr>
      <w:r>
        <w:rPr>
          <w:sz w:val="22"/>
          <w:szCs w:val="22"/>
        </w:rPr>
        <w:t xml:space="preserve">Trang đăng ký không yêu cầu tài khoản, tương tự nguyên tắc trang bán vé công khai ở Module 10.</w:t>
      </w:r>
    </w:p>
    <w:p>
      <w:pPr>
        <w:pStyle w:val="ListParagraph"/>
        <w:numPr>
          <w:ilvl w:val="0"/>
          <w:numId w:val="2"/>
        </w:numPr>
        <w:spacing w:after="80" w:line="280"/>
      </w:pPr>
      <w:r>
        <w:rPr>
          <w:sz w:val="22"/>
          <w:szCs w:val="22"/>
        </w:rPr>
        <w:t xml:space="preserve">Lead mới luôn được gán mặc định cho đội/người phụ trách B2B theo cấu hình phân công của sự kiện (round-robin hoặc thủ công).</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Tên doanh nghiệp, mã số thuế, người liên hệ, email/SĐT, hình thức hợp tác, mô tả nhu cầu</w:t>
            </w:r>
          </w:p>
        </w:tc>
        <w:tc>
          <w:tcPr>
            <w:tcW w:type="dxa" w:w="4700"/>
            <w:tcMar>
              <w:top w:type="dxa" w:w="80"/>
              <w:left w:type="dxa" w:w="100"/>
              <w:bottom w:type="dxa" w:w="80"/>
              <w:right w:type="dxa" w:w="100"/>
            </w:tcMar>
          </w:tcPr>
          <w:p>
            <w:pPr>
              <w:jc w:val="left"/>
            </w:pPr>
            <w:r>
              <w:rPr>
                <w:b w:val="false"/>
                <w:bCs w:val="false"/>
                <w:color w:val="000000"/>
                <w:sz w:val="20"/>
                <w:szCs w:val="20"/>
              </w:rPr>
              <w:t xml:space="preserve">Tên DN, người liên hệ, email/SĐT bắt buộc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Lead Doanh nghiệp (Corporate Lead) mới, trạng thái = Lead mới</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Lead mới → Đang tư vấn (khi BTC bắt đầu liên hệ, xem FR-11.2).</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Trang "Đăng ký hợp tác doanh nghiệp" (Public)</w:t>
      </w:r>
    </w:p>
    <w:p>
      <w:pPr>
        <w:pStyle w:val="ListParagraph"/>
        <w:numPr>
          <w:ilvl w:val="0"/>
          <w:numId w:val="2"/>
        </w:numPr>
        <w:spacing w:after="80" w:line="280"/>
      </w:pPr>
      <w:r>
        <w:rPr>
          <w:sz w:val="22"/>
          <w:szCs w:val="22"/>
        </w:rPr>
        <w:t xml:space="preserve">Email xác nhận đăng ký</w:t>
      </w:r>
    </w:p>
    <w:p>
      <w:r>
        <w:br w:type="page"/>
      </w:r>
    </w:p>
    <w:p>
      <w:pPr>
        <w:pStyle w:val="Heading2"/>
        <w:spacing w:after="120" w:before="260"/>
      </w:pPr>
      <w:r>
        <w:rPr>
          <w:b/>
          <w:bCs/>
          <w:color w:val="2E5FA3"/>
          <w:sz w:val="25"/>
          <w:szCs w:val="25"/>
        </w:rPr>
        <w:t xml:space="preserve">2.2. FR-11.2 – Tiếp nhận &amp; xử lý yêu cầu báo giá (RFQ)</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BTC tiếp nhận Lead doanh nghiệp, trao đổi làm rõ nhu cầu cụ thể, và ghi nhận yêu cầu báo giá chính thức (Request for Quotation) làm cơ sở soạn báo giá.</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Nhân sự phụ trách B2B (Sales/Team Lead)</w:t>
      </w:r>
    </w:p>
    <w:p>
      <w:pPr>
        <w:pStyle w:val="ListParagraph"/>
        <w:numPr>
          <w:ilvl w:val="0"/>
          <w:numId w:val="2"/>
        </w:numPr>
        <w:spacing w:after="80" w:line="280"/>
      </w:pPr>
      <w:r>
        <w:rPr>
          <w:sz w:val="22"/>
          <w:szCs w:val="22"/>
        </w:rPr>
        <w:t xml:space="preserve">Trưởng BTC (Event Director)</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Đã có Lead doanh nghiệp ở trạng thái "Lead mới" (FR-11.1) hoặc được tạo thủ công bởi BTC (VD: từ mối quan hệ có sẵn, không qua trang công khai).</w:t>
      </w:r>
    </w:p>
    <w:p>
      <w:pPr>
        <w:pStyle w:val="Heading3"/>
        <w:spacing w:after="100" w:before="200"/>
      </w:pPr>
      <w:r>
        <w:rPr>
          <w:b/>
          <w:bCs/>
          <w:color w:val="C0504D"/>
          <w:sz w:val="23"/>
          <w:szCs w:val="23"/>
        </w:rPr>
        <w:t xml:space="preserve">Luồng xử lý chính (Main Flow)</w:t>
      </w:r>
    </w:p>
    <w:p>
      <w:pPr>
        <w:pStyle w:val="ListParagraph"/>
        <w:numPr>
          <w:ilvl w:val="0"/>
          <w:numId w:val="4"/>
        </w:numPr>
        <w:spacing w:after="80" w:line="280"/>
      </w:pPr>
      <w:r>
        <w:rPr>
          <w:sz w:val="22"/>
          <w:szCs w:val="22"/>
        </w:rPr>
        <w:t xml:space="preserve">Nhân sự phụ trách B2B mở Lead, chọn "Bắt đầu tư vấn"; trạng thái chuyển "Đang tư vấn".</w:t>
      </w:r>
    </w:p>
    <w:p>
      <w:pPr>
        <w:pStyle w:val="ListParagraph"/>
        <w:numPr>
          <w:ilvl w:val="0"/>
          <w:numId w:val="4"/>
        </w:numPr>
        <w:spacing w:after="80" w:line="280"/>
      </w:pPr>
      <w:r>
        <w:rPr>
          <w:sz w:val="22"/>
          <w:szCs w:val="22"/>
        </w:rPr>
        <w:t xml:space="preserve">Nhân sự ghi nhận các lần trao đổi (ghi chú, cuộc gọi, email) trực tiếp trên Lead để lưu lịch sử chăm sóc.</w:t>
      </w:r>
    </w:p>
    <w:p>
      <w:pPr>
        <w:pStyle w:val="ListParagraph"/>
        <w:numPr>
          <w:ilvl w:val="0"/>
          <w:numId w:val="4"/>
        </w:numPr>
        <w:spacing w:after="80" w:line="280"/>
      </w:pPr>
      <w:r>
        <w:rPr>
          <w:sz w:val="22"/>
          <w:szCs w:val="22"/>
        </w:rPr>
        <w:t xml:space="preserve">Khi doanh nghiệp xác nhận nhu cầu cụ thể, nhân sự tạo "Yêu cầu báo giá" gắn với Lead, liệt kê chi tiết hạng mục doanh nghiệp cần (VD: 200 vé loại Standard, 1 gian hàng 3x3m, 50 áo đồng phục).</w:t>
      </w:r>
    </w:p>
    <w:p>
      <w:pPr>
        <w:pStyle w:val="ListParagraph"/>
        <w:numPr>
          <w:ilvl w:val="0"/>
          <w:numId w:val="4"/>
        </w:numPr>
        <w:spacing w:after="80" w:line="280"/>
      </w:pPr>
      <w:r>
        <w:rPr>
          <w:sz w:val="22"/>
          <w:szCs w:val="22"/>
        </w:rPr>
        <w:t xml:space="preserve">Yêu cầu báo giá được chuyển sang bước soạn báo giá chính thức (FR-11.3).</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Doanh nghiệp không phản hồi sau nhiều lần liên hệ</w:t>
            </w:r>
          </w:p>
        </w:tc>
        <w:tc>
          <w:tcPr>
            <w:tcW w:type="dxa" w:w="5900"/>
            <w:tcMar>
              <w:top w:type="dxa" w:w="80"/>
              <w:left w:type="dxa" w:w="100"/>
              <w:bottom w:type="dxa" w:w="80"/>
              <w:right w:type="dxa" w:w="100"/>
            </w:tcMar>
          </w:tcPr>
          <w:p>
            <w:pPr>
              <w:jc w:val="left"/>
            </w:pPr>
            <w:r>
              <w:rPr>
                <w:b w:val="false"/>
                <w:bCs w:val="false"/>
                <w:color w:val="000000"/>
                <w:sz w:val="20"/>
                <w:szCs w:val="20"/>
              </w:rPr>
              <w:t xml:space="preserve">Nhân sự có thể chuyển Lead sang trạng thái "Mất" kèm lý do "Không phản hồi", vẫn lưu lại lịch sử để tái tiếp cận sau này nếu cần.</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Yêu cầu vượt quá khả năng đáp ứng của sự kiện (VD: hết gian hàng)</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Nhân sự ghi chú rõ hạng mục không đáp ứng được, trao đổi phương án thay thế với doanh nghiệp trước khi soạn báo giá.</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Mỗi Lead có thể có nhiều lần trao đổi (activity log) nhưng chỉ có 1 Yêu cầu báo giá đang hoạt động tại một thời điểm.</w:t>
      </w:r>
    </w:p>
    <w:p>
      <w:pPr>
        <w:pStyle w:val="ListParagraph"/>
        <w:numPr>
          <w:ilvl w:val="0"/>
          <w:numId w:val="2"/>
        </w:numPr>
        <w:spacing w:after="80" w:line="280"/>
      </w:pPr>
      <w:r>
        <w:rPr>
          <w:sz w:val="22"/>
          <w:szCs w:val="22"/>
        </w:rPr>
        <w:t xml:space="preserve">Toàn bộ lịch sử trao đổi được lưu lại phục vụ bàn giao giữa các nhân sự phụ trách nếu cần đổi người theo dõi.</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Ghi chú trao đổi; danh sách hạng mục yêu cầu báo giá (loại, số lượng)</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Yêu cầu báo giá (Quotation Request) gắn với Lead; lịch sử trao đổi (Activity Log)</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Đang tư vấn → (chuyển tiếp sang Đã gửi báo giá tại FR-11.3) hoặc Mất.</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Chi tiết Lead doanh nghiệp – khu vực "Lịch sử trao đổi"</w:t>
      </w:r>
    </w:p>
    <w:p>
      <w:pPr>
        <w:pStyle w:val="ListParagraph"/>
        <w:numPr>
          <w:ilvl w:val="0"/>
          <w:numId w:val="2"/>
        </w:numPr>
        <w:spacing w:after="80" w:line="280"/>
      </w:pPr>
      <w:r>
        <w:rPr>
          <w:sz w:val="22"/>
          <w:szCs w:val="22"/>
        </w:rPr>
        <w:t xml:space="preserve">Form "Tạo yêu cầu báo giá"</w:t>
      </w:r>
    </w:p>
    <w:p>
      <w:r>
        <w:br w:type="page"/>
      </w:r>
    </w:p>
    <w:p>
      <w:pPr>
        <w:pStyle w:val="Heading2"/>
        <w:spacing w:after="120" w:before="260"/>
      </w:pPr>
      <w:r>
        <w:rPr>
          <w:b/>
          <w:bCs/>
          <w:color w:val="2E5FA3"/>
          <w:sz w:val="25"/>
          <w:szCs w:val="25"/>
        </w:rPr>
        <w:t xml:space="preserve">2.3. FR-11.3 – Soạn &amp; gửi báo giá chi tiết</w:t>
      </w:r>
    </w:p>
    <w:p>
      <w:pPr>
        <w:pStyle w:val="Heading3"/>
        <w:spacing w:after="100" w:before="200"/>
      </w:pPr>
      <w:r>
        <w:rPr>
          <w:b/>
          <w:bCs/>
          <w:color w:val="C0504D"/>
          <w:sz w:val="23"/>
          <w:szCs w:val="23"/>
        </w:rPr>
        <w:t xml:space="preserve">Mục đích</w:t>
      </w:r>
    </w:p>
    <w:p>
      <w:pPr>
        <w:spacing w:after="160" w:line="300"/>
      </w:pPr>
      <w:r>
        <w:rPr>
          <w:sz w:val="22"/>
          <w:szCs w:val="22"/>
        </w:rPr>
        <w:t xml:space="preserve">Cho phép BTC soạn báo giá chính thức dựa trên yêu cầu của doanh nghiệp, với đầy đủ hạng mục, đơn giá, chiết khấu, và gửi đến doanh nghiệp dưới dạng tài liệu chuyên nghiệp.</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Nhân sự phụ trách B2B (Sales/Team Lead)</w:t>
      </w:r>
    </w:p>
    <w:p>
      <w:pPr>
        <w:pStyle w:val="ListParagraph"/>
        <w:numPr>
          <w:ilvl w:val="0"/>
          <w:numId w:val="2"/>
        </w:numPr>
        <w:spacing w:after="80" w:line="280"/>
      </w:pPr>
      <w:r>
        <w:rPr>
          <w:sz w:val="22"/>
          <w:szCs w:val="22"/>
        </w:rPr>
        <w:t xml:space="preserve">Đại diện doanh nghiệp (Corporate Contact) – nhận và phản hồi báo giá</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Đã có Yêu cầu báo giá được ghi nhận (FR-11.2).</w:t>
      </w:r>
    </w:p>
    <w:p>
      <w:pPr>
        <w:pStyle w:val="Heading3"/>
        <w:spacing w:after="100" w:before="200"/>
      </w:pPr>
      <w:r>
        <w:rPr>
          <w:b/>
          <w:bCs/>
          <w:color w:val="C0504D"/>
          <w:sz w:val="23"/>
          <w:szCs w:val="23"/>
        </w:rPr>
        <w:t xml:space="preserve">Luồng xử lý chính (Main Flow)</w:t>
      </w:r>
    </w:p>
    <w:p>
      <w:pPr>
        <w:pStyle w:val="ListParagraph"/>
        <w:numPr>
          <w:ilvl w:val="0"/>
          <w:numId w:val="5"/>
        </w:numPr>
        <w:spacing w:after="80" w:line="280"/>
      </w:pPr>
      <w:r>
        <w:rPr>
          <w:sz w:val="22"/>
          <w:szCs w:val="22"/>
        </w:rPr>
        <w:t xml:space="preserve">Nhân sự phụ trách B2B mở Yêu cầu báo giá, chọn "Soạn báo giá".</w:t>
      </w:r>
    </w:p>
    <w:p>
      <w:pPr>
        <w:pStyle w:val="ListParagraph"/>
        <w:numPr>
          <w:ilvl w:val="0"/>
          <w:numId w:val="5"/>
        </w:numPr>
        <w:spacing w:after="80" w:line="280"/>
      </w:pPr>
      <w:r>
        <w:rPr>
          <w:sz w:val="22"/>
          <w:szCs w:val="22"/>
        </w:rPr>
        <w:t xml:space="preserve">Hệ thống hiển thị form thêm từng dòng hạng mục: Tên hạng mục (vé/gian hàng/tài trợ/vật phẩm/khác), Số lượng, Đơn giá, % Chiết khấu, Thành tiền (tự tính).</w:t>
      </w:r>
    </w:p>
    <w:p>
      <w:pPr>
        <w:pStyle w:val="ListParagraph"/>
        <w:numPr>
          <w:ilvl w:val="0"/>
          <w:numId w:val="5"/>
        </w:numPr>
        <w:spacing w:after="80" w:line="280"/>
      </w:pPr>
      <w:r>
        <w:rPr>
          <w:sz w:val="22"/>
          <w:szCs w:val="22"/>
        </w:rPr>
        <w:t xml:space="preserve">Hệ thống tự động tính tổng giá trị báo giá (trước và sau chiết khấu) và điều kiện thanh toán (VD: đặt cọc 30%, thanh toán còn lại trước sự kiện 7 ngày).</w:t>
      </w:r>
    </w:p>
    <w:p>
      <w:pPr>
        <w:pStyle w:val="ListParagraph"/>
        <w:numPr>
          <w:ilvl w:val="0"/>
          <w:numId w:val="5"/>
        </w:numPr>
        <w:spacing w:after="80" w:line="280"/>
      </w:pPr>
      <w:r>
        <w:rPr>
          <w:sz w:val="22"/>
          <w:szCs w:val="22"/>
        </w:rPr>
        <w:t xml:space="preserve">Nhân sự xem trước báo giá dạng tài liệu (PDF) và gửi cho doanh nghiệp qua email trực tiếp từ hệ thống.</w:t>
      </w:r>
    </w:p>
    <w:p>
      <w:pPr>
        <w:pStyle w:val="ListParagraph"/>
        <w:numPr>
          <w:ilvl w:val="0"/>
          <w:numId w:val="5"/>
        </w:numPr>
        <w:spacing w:after="80" w:line="280"/>
      </w:pPr>
      <w:r>
        <w:rPr>
          <w:sz w:val="22"/>
          <w:szCs w:val="22"/>
        </w:rPr>
        <w:t xml:space="preserve">Trạng thái Lead chuyển "Đã gửi báo giá"; doanh nghiệp phản hồi qua email hoặc liên hệ trực tiếp, nhân sự cập nhật kết quả trao đổi tiếp theo (đồng ý/yêu cầu điều chỉnh) chuyển Lead sang "Đang đàm phán" nếu cần thương lượng thêm.</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Báo giá cần điều chỉnh nhiều lần theo yêu cầu doanh nghiệp</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lưu lại từng phiên bản báo giá (versioning), không ghi đè bản cũ, phục vụ đối chiếu lịch sử thương lượng.</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Chiết khấu đề xuất vượt ngưỡng cho phép</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Hệ thống chặn gửi báo giá và yêu cầu quy trình phê duyệt nội bộ trước (liên kết FR-11.4).</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Mỗi lần gửi báo giá tạo thành 1 phiên bản (version) mới, không cho chỉnh sửa trực tiếp báo giá đã gửi.</w:t>
      </w:r>
    </w:p>
    <w:p>
      <w:pPr>
        <w:pStyle w:val="ListParagraph"/>
        <w:numPr>
          <w:ilvl w:val="0"/>
          <w:numId w:val="2"/>
        </w:numPr>
        <w:spacing w:after="80" w:line="280"/>
      </w:pPr>
      <w:r>
        <w:rPr>
          <w:sz w:val="22"/>
          <w:szCs w:val="22"/>
        </w:rPr>
        <w:t xml:space="preserve">Báo giá phải có ngày hết hạn hiệu lực (validity date) để tạo áp lực quyết định hợp lý cho doanh nghiệp.</w:t>
      </w:r>
    </w:p>
    <w:p>
      <w:pPr>
        <w:pStyle w:val="ListParagraph"/>
        <w:numPr>
          <w:ilvl w:val="0"/>
          <w:numId w:val="2"/>
        </w:numPr>
        <w:spacing w:after="80" w:line="280"/>
      </w:pPr>
      <w:r>
        <w:rPr>
          <w:sz w:val="22"/>
          <w:szCs w:val="22"/>
        </w:rPr>
        <w:t xml:space="preserve">Tổng giá trị và điều kiện thanh toán được tính tự động, không cho nhập tay để tránh sai lệch.</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Danh sách hạng mục (tên, số lượng, đơn giá, chiết khấu), ngày hết hạn báo giá, điều kiện thanh toán</w:t>
            </w:r>
          </w:p>
        </w:tc>
        <w:tc>
          <w:tcPr>
            <w:tcW w:type="dxa" w:w="4700"/>
            <w:tcMar>
              <w:top w:type="dxa" w:w="80"/>
              <w:left w:type="dxa" w:w="100"/>
              <w:bottom w:type="dxa" w:w="80"/>
              <w:right w:type="dxa" w:w="100"/>
            </w:tcMar>
          </w:tcPr>
          <w:p>
            <w:pPr>
              <w:jc w:val="left"/>
            </w:pPr>
            <w:r>
              <w:rPr>
                <w:b w:val="false"/>
                <w:bCs w:val="false"/>
                <w:color w:val="000000"/>
                <w:sz w:val="20"/>
                <w:szCs w:val="20"/>
              </w:rPr>
              <w:t xml:space="preserve">Tối thiểu 1 hạng mục</w:t>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Bản ghi Báo giá (Quotation) kèm các dòng chi tiết (Quotation Line Item); file PDF báo giá; email gửi doanh nghiệp</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Đang tư vấn → Đã gửi báo giá → Đang đàm phán (nếu có điều chỉnh thêm).</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Form "Soạn báo giá"</w:t>
      </w:r>
    </w:p>
    <w:p>
      <w:pPr>
        <w:pStyle w:val="ListParagraph"/>
        <w:numPr>
          <w:ilvl w:val="0"/>
          <w:numId w:val="2"/>
        </w:numPr>
        <w:spacing w:after="80" w:line="280"/>
      </w:pPr>
      <w:r>
        <w:rPr>
          <w:sz w:val="22"/>
          <w:szCs w:val="22"/>
        </w:rPr>
        <w:t xml:space="preserve">Bản xem trước báo giá (PDF)</w:t>
      </w:r>
    </w:p>
    <w:p>
      <w:pPr>
        <w:pStyle w:val="ListParagraph"/>
        <w:numPr>
          <w:ilvl w:val="0"/>
          <w:numId w:val="2"/>
        </w:numPr>
        <w:spacing w:after="80" w:line="280"/>
      </w:pPr>
      <w:r>
        <w:rPr>
          <w:sz w:val="22"/>
          <w:szCs w:val="22"/>
        </w:rPr>
        <w:t xml:space="preserve">Lịch sử các phiên bản báo giá</w:t>
      </w:r>
    </w:p>
    <w:p>
      <w:r>
        <w:br w:type="page"/>
      </w:r>
    </w:p>
    <w:p>
      <w:pPr>
        <w:pStyle w:val="Heading2"/>
        <w:spacing w:after="120" w:before="260"/>
      </w:pPr>
      <w:r>
        <w:rPr>
          <w:b/>
          <w:bCs/>
          <w:color w:val="2E5FA3"/>
          <w:sz w:val="25"/>
          <w:szCs w:val="25"/>
        </w:rPr>
        <w:t xml:space="preserve">2.4. FR-11.4 – Phê duyệt báo giá nội bộ theo ngưỡng chiết khấu</w:t>
      </w:r>
    </w:p>
    <w:p>
      <w:pPr>
        <w:pStyle w:val="Heading3"/>
        <w:spacing w:after="100" w:before="200"/>
      </w:pPr>
      <w:r>
        <w:rPr>
          <w:b/>
          <w:bCs/>
          <w:color w:val="C0504D"/>
          <w:sz w:val="23"/>
          <w:szCs w:val="23"/>
        </w:rPr>
        <w:t xml:space="preserve">Mục đích</w:t>
      </w:r>
    </w:p>
    <w:p>
      <w:pPr>
        <w:spacing w:after="160" w:line="300"/>
      </w:pPr>
      <w:r>
        <w:rPr>
          <w:sz w:val="22"/>
          <w:szCs w:val="22"/>
        </w:rPr>
        <w:t xml:space="preserve">Đảm bảo các báo giá có mức chiết khấu lớn hoặc giá trị hợp đồng cao được cấp có thẩm quyền phê duyệt trước khi gửi chính thức cho doanh nghiệp, tránh thất thoát doanh thu do chiết khấu tùy tiện.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Nhân sự phụ trách B2B (Sales/Team Lead)</w:t>
      </w:r>
    </w:p>
    <w:p>
      <w:pPr>
        <w:pStyle w:val="ListParagraph"/>
        <w:numPr>
          <w:ilvl w:val="0"/>
          <w:numId w:val="2"/>
        </w:numPr>
        <w:spacing w:after="80" w:line="280"/>
      </w:pPr>
      <w:r>
        <w:rPr>
          <w:sz w:val="22"/>
          <w:szCs w:val="22"/>
        </w:rPr>
        <w:t xml:space="preserve">Trưởng BTC (Event Director) – người phê duyệt</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Báo giá đang soạn (FR-11.3) có mức chiết khấu hoặc giá trị vượt ngưỡng cấu hình cần phê duyệt.</w:t>
      </w:r>
    </w:p>
    <w:p>
      <w:pPr>
        <w:pStyle w:val="Heading3"/>
        <w:spacing w:after="100" w:before="200"/>
      </w:pPr>
      <w:r>
        <w:rPr>
          <w:b/>
          <w:bCs/>
          <w:color w:val="C0504D"/>
          <w:sz w:val="23"/>
          <w:szCs w:val="23"/>
        </w:rPr>
        <w:t xml:space="preserve">Luồng xử lý chính (Main Flow)</w:t>
      </w:r>
    </w:p>
    <w:p>
      <w:pPr>
        <w:pStyle w:val="ListParagraph"/>
        <w:numPr>
          <w:ilvl w:val="0"/>
          <w:numId w:val="6"/>
        </w:numPr>
        <w:spacing w:after="80" w:line="280"/>
      </w:pPr>
      <w:r>
        <w:rPr>
          <w:sz w:val="22"/>
          <w:szCs w:val="22"/>
        </w:rPr>
        <w:t xml:space="preserve">Khi nhân sự soạn báo giá vượt ngưỡng chiết khấu/giá trị đã cấu hình, hệ thống tự động chuyển báo giá sang trạng thái "Chờ phê duyệt" thay vì cho gửi trực tiếp.</w:t>
      </w:r>
    </w:p>
    <w:p>
      <w:pPr>
        <w:pStyle w:val="ListParagraph"/>
        <w:numPr>
          <w:ilvl w:val="0"/>
          <w:numId w:val="6"/>
        </w:numPr>
        <w:spacing w:after="80" w:line="280"/>
      </w:pPr>
      <w:r>
        <w:rPr>
          <w:sz w:val="22"/>
          <w:szCs w:val="22"/>
        </w:rPr>
        <w:t xml:space="preserve">Hệ thống thông báo cho Trưởng BTC (hoặc vai trò được ủy quyền phê duyệt) xem xét.</w:t>
      </w:r>
    </w:p>
    <w:p>
      <w:pPr>
        <w:pStyle w:val="ListParagraph"/>
        <w:numPr>
          <w:ilvl w:val="0"/>
          <w:numId w:val="6"/>
        </w:numPr>
        <w:spacing w:after="80" w:line="280"/>
      </w:pPr>
      <w:r>
        <w:rPr>
          <w:sz w:val="22"/>
          <w:szCs w:val="22"/>
        </w:rPr>
        <w:t xml:space="preserve">Trưởng BTC xem chi tiết báo giá, chọn "Duyệt" hoặc "Từ chối kèm lý do/đề xuất điều chỉnh".</w:t>
      </w:r>
    </w:p>
    <w:p>
      <w:pPr>
        <w:pStyle w:val="ListParagraph"/>
        <w:numPr>
          <w:ilvl w:val="0"/>
          <w:numId w:val="6"/>
        </w:numPr>
        <w:spacing w:after="80" w:line="280"/>
      </w:pPr>
      <w:r>
        <w:rPr>
          <w:sz w:val="22"/>
          <w:szCs w:val="22"/>
        </w:rPr>
        <w:t xml:space="preserve">Nếu được duyệt, báo giá chuyển về cho nhân sự B2B để gửi chính thức (tiếp tục luồng FR-11.3).</w:t>
      </w:r>
    </w:p>
    <w:p>
      <w:pPr>
        <w:pStyle w:val="ListParagraph"/>
        <w:numPr>
          <w:ilvl w:val="0"/>
          <w:numId w:val="6"/>
        </w:numPr>
        <w:spacing w:after="80" w:line="280"/>
      </w:pPr>
      <w:r>
        <w:rPr>
          <w:sz w:val="22"/>
          <w:szCs w:val="22"/>
        </w:rPr>
        <w:t xml:space="preserve">Nếu bị từ chối, nhân sự điều chỉnh lại mức chiết khấu/giá trị và gửi phê duyệt lại nếu cần.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Trưởng BTC không phản hồi trong thời gian quy định (VD: 24 giờ)</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gửi nhắc nhở tự động; nếu cấu hình cho phép, có thể ủy quyền phê duyệt tạm thời cho vai trò khác khi Trưởng BTC vắng mặt.</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Ngưỡng chiết khấu/giá trị cần phê duyệt được cấu hình theo từng sự kiện hoặc theo tổ chức (VD: chiết khấu &gt; 15% hoặc giá trị hợp đồng &gt; 100 triệu đồng).</w:t>
      </w:r>
    </w:p>
    <w:p>
      <w:pPr>
        <w:pStyle w:val="ListParagraph"/>
        <w:numPr>
          <w:ilvl w:val="0"/>
          <w:numId w:val="2"/>
        </w:numPr>
        <w:spacing w:after="80" w:line="280"/>
      </w:pPr>
      <w:r>
        <w:rPr>
          <w:sz w:val="22"/>
          <w:szCs w:val="22"/>
        </w:rPr>
        <w:t xml:space="preserve">Báo giá không thể gửi cho doanh nghiệp khi đang ở trạng thái "Chờ phê duyệt" hoặc "Bị từ chối".</w:t>
      </w:r>
    </w:p>
    <w:p>
      <w:pPr>
        <w:pStyle w:val="ListParagraph"/>
        <w:numPr>
          <w:ilvl w:val="0"/>
          <w:numId w:val="2"/>
        </w:numPr>
        <w:spacing w:after="80" w:line="280"/>
      </w:pPr>
      <w:r>
        <w:rPr>
          <w:sz w:val="22"/>
          <w:szCs w:val="22"/>
        </w:rPr>
        <w:t xml:space="preserve">Lịch sử phê duyệt (người duyệt, thời điểm, quyết định) được lưu lại đầy đủ.</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Quyết định duyệt/từ chối, ghi chú của người duyệt</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Trạng thái Báo giá cập nhật; lịch sử phê duyệt (Approval Log)</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Đang soạn → Chờ phê duyệt → Đã duyệt (tiếp tục gửi) hoặc Bị từ chối (quay lại chỉnh sửa).</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Dashboard "Báo giá chờ phê duyệt"</w:t>
      </w:r>
    </w:p>
    <w:p>
      <w:pPr>
        <w:pStyle w:val="ListParagraph"/>
        <w:numPr>
          <w:ilvl w:val="0"/>
          <w:numId w:val="2"/>
        </w:numPr>
        <w:spacing w:after="80" w:line="280"/>
      </w:pPr>
      <w:r>
        <w:rPr>
          <w:sz w:val="22"/>
          <w:szCs w:val="22"/>
        </w:rPr>
        <w:t xml:space="preserve">Chi tiết báo giá – khu vực phê duyệt</w:t>
      </w:r>
    </w:p>
    <w:p>
      <w:r>
        <w:br w:type="page"/>
      </w:r>
    </w:p>
    <w:p>
      <w:pPr>
        <w:pStyle w:val="Heading2"/>
        <w:spacing w:after="120" w:before="260"/>
      </w:pPr>
      <w:r>
        <w:rPr>
          <w:b/>
          <w:bCs/>
          <w:color w:val="2E5FA3"/>
          <w:sz w:val="25"/>
          <w:szCs w:val="25"/>
        </w:rPr>
        <w:t xml:space="preserve">2.5. FR-11.5 – Theo dõi pipeline đăng ký &amp; đàm phán doanh nghiệp</w:t>
      </w:r>
    </w:p>
    <w:p>
      <w:pPr>
        <w:pStyle w:val="Heading3"/>
        <w:spacing w:after="100" w:before="200"/>
      </w:pPr>
      <w:r>
        <w:rPr>
          <w:b/>
          <w:bCs/>
          <w:color w:val="C0504D"/>
          <w:sz w:val="23"/>
          <w:szCs w:val="23"/>
        </w:rPr>
        <w:t xml:space="preserve">Mục đích</w:t>
      </w:r>
    </w:p>
    <w:p>
      <w:pPr>
        <w:spacing w:after="160" w:line="300"/>
      </w:pPr>
      <w:r>
        <w:rPr>
          <w:sz w:val="22"/>
          <w:szCs w:val="22"/>
        </w:rPr>
        <w:t xml:space="preserve">Cung cấp góc nhìn tổng quan dạng pipeline (kiểu Kanban bán hàng) để BTC theo dõi toàn bộ Lead doanh nghiệp đang ở giai đoạn nào, ưu tiên chăm sóc các cơ hội có giá trị cao hoặc sắp hết hạn báo giá.</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Trưởng BTC (Event Director)</w:t>
      </w:r>
    </w:p>
    <w:p>
      <w:pPr>
        <w:pStyle w:val="ListParagraph"/>
        <w:numPr>
          <w:ilvl w:val="0"/>
          <w:numId w:val="2"/>
        </w:numPr>
        <w:spacing w:after="80" w:line="280"/>
      </w:pPr>
      <w:r>
        <w:rPr>
          <w:sz w:val="22"/>
          <w:szCs w:val="22"/>
        </w:rPr>
        <w:t xml:space="preserve">Nhân sự phụ trách B2B (Sales/Team Lead)</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Có ít nhất 1 Lead doanh nghiệp trong hệ thống.</w:t>
      </w:r>
    </w:p>
    <w:p>
      <w:pPr>
        <w:pStyle w:val="Heading3"/>
        <w:spacing w:after="100" w:before="200"/>
      </w:pPr>
      <w:r>
        <w:rPr>
          <w:b/>
          <w:bCs/>
          <w:color w:val="C0504D"/>
          <w:sz w:val="23"/>
          <w:szCs w:val="23"/>
        </w:rPr>
        <w:t xml:space="preserve">Luồng xử lý chính (Main Flow)</w:t>
      </w:r>
    </w:p>
    <w:p>
      <w:pPr>
        <w:pStyle w:val="ListParagraph"/>
        <w:numPr>
          <w:ilvl w:val="0"/>
          <w:numId w:val="7"/>
        </w:numPr>
        <w:spacing w:after="80" w:line="280"/>
      </w:pPr>
      <w:r>
        <w:rPr>
          <w:sz w:val="22"/>
          <w:szCs w:val="22"/>
        </w:rPr>
        <w:t xml:space="preserve">Người dùng vào tab "Pipeline Doanh nghiệp", hệ thống hiển thị các cột theo trạng thái: Lead mới, Đang tư vấn, Đã gửi báo giá, Đang đàm phán, Thắng, Mất.</w:t>
      </w:r>
    </w:p>
    <w:p>
      <w:pPr>
        <w:pStyle w:val="ListParagraph"/>
        <w:numPr>
          <w:ilvl w:val="0"/>
          <w:numId w:val="7"/>
        </w:numPr>
        <w:spacing w:after="80" w:line="280"/>
      </w:pPr>
      <w:r>
        <w:rPr>
          <w:sz w:val="22"/>
          <w:szCs w:val="22"/>
        </w:rPr>
        <w:t xml:space="preserve">Mỗi Lead hiển thị dạng thẻ (card) kèm tên doanh nghiệp, giá trị báo giá gần nhất (nếu có), người phụ trách, ngày cập nhật gần nhất.</w:t>
      </w:r>
    </w:p>
    <w:p>
      <w:pPr>
        <w:pStyle w:val="ListParagraph"/>
        <w:numPr>
          <w:ilvl w:val="0"/>
          <w:numId w:val="7"/>
        </w:numPr>
        <w:spacing w:after="80" w:line="280"/>
      </w:pPr>
      <w:r>
        <w:rPr>
          <w:sz w:val="22"/>
          <w:szCs w:val="22"/>
        </w:rPr>
        <w:t xml:space="preserve">Người dùng có thể kéo-thả thẻ giữa các cột để cập nhật trạng thái (trong phạm vi luồng hợp lệ) hoặc lọc theo người phụ trách, hình thức hợp tác, khoảng giá trị.</w:t>
      </w:r>
    </w:p>
    <w:p>
      <w:pPr>
        <w:pStyle w:val="ListParagraph"/>
        <w:numPr>
          <w:ilvl w:val="0"/>
          <w:numId w:val="7"/>
        </w:numPr>
        <w:spacing w:after="80" w:line="280"/>
      </w:pPr>
      <w:r>
        <w:rPr>
          <w:sz w:val="22"/>
          <w:szCs w:val="22"/>
        </w:rPr>
        <w:t xml:space="preserve">Hệ thống cảnh báo nổi bật các Lead có báo giá sắp hết hạn hiệu lực chưa được doanh nghiệp phản hồi.</w:t>
      </w:r>
    </w:p>
    <w:p>
      <w:pPr>
        <w:pStyle w:val="ListParagraph"/>
        <w:numPr>
          <w:ilvl w:val="0"/>
          <w:numId w:val="7"/>
        </w:numPr>
        <w:spacing w:after="80" w:line="280"/>
      </w:pPr>
      <w:r>
        <w:rPr>
          <w:sz w:val="22"/>
          <w:szCs w:val="22"/>
        </w:rPr>
        <w:t xml:space="preserve">Trưởng BTC xem tổng giá trị pipeline theo từng giai đoạn để ước lượng doanh thu B2B tiềm năng của sự kiện.</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Kéo-thả Lead sang trạng thái không hợp lệ (VD: từ "Lead mới" thẳng sang "Thắng")</w:t>
            </w:r>
          </w:p>
        </w:tc>
        <w:tc>
          <w:tcPr>
            <w:tcW w:type="dxa" w:w="5900"/>
            <w:tcMar>
              <w:top w:type="dxa" w:w="80"/>
              <w:left w:type="dxa" w:w="100"/>
              <w:bottom w:type="dxa" w:w="80"/>
              <w:right w:type="dxa" w:w="100"/>
            </w:tcMar>
          </w:tcPr>
          <w:p>
            <w:pPr>
              <w:jc w:val="left"/>
            </w:pPr>
            <w:r>
              <w:rPr>
                <w:b w:val="false"/>
                <w:bCs w:val="false"/>
                <w:color w:val="000000"/>
                <w:sz w:val="20"/>
                <w:szCs w:val="20"/>
              </w:rPr>
              <w:t xml:space="preserve">Hệ thống chặn thao tác và yêu cầu cập nhật tuần tự qua các bước trung gian, trừ khi người dùng chọn rõ ràng "Cập nhật thủ công" kèm lý do.</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Giá trị pipeline theo từng giai đoạn được tính tự động dựa trên giá trị báo giá gần nhất của từng Lead, không yêu cầu nhập tay.</w:t>
      </w:r>
    </w:p>
    <w:p>
      <w:pPr>
        <w:pStyle w:val="ListParagraph"/>
        <w:numPr>
          <w:ilvl w:val="0"/>
          <w:numId w:val="2"/>
        </w:numPr>
        <w:spacing w:after="80" w:line="280"/>
      </w:pPr>
      <w:r>
        <w:rPr>
          <w:sz w:val="22"/>
          <w:szCs w:val="22"/>
        </w:rPr>
        <w:t xml:space="preserve">Lead ở trạng thái "Mất" vẫn được lưu trữ đầy đủ lịch sử, không xóa, phục vụ phân tích tỷ lệ chuyển đổi (FR-11.6).</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Bộ lọc (người phụ trách, hình thức hợp tác, khoảng giá trị); thao tác kéo-thả trạng thái</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Giao diện Kanban pipeline; tổng giá trị theo từng giai đoạn</w:t>
            </w:r>
          </w:p>
        </w:tc>
      </w:tr>
    </w:tbl>
    <w:p>
      <w:pPr>
        <w:spacing w:after="160"/>
      </w:pP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Tab "Pipeline Doanh nghiệp" (Kanban)</w:t>
      </w:r>
    </w:p>
    <w:p>
      <w:r>
        <w:br w:type="page"/>
      </w:r>
    </w:p>
    <w:p>
      <w:pPr>
        <w:pStyle w:val="Heading2"/>
        <w:spacing w:after="120" w:before="260"/>
      </w:pPr>
      <w:r>
        <w:rPr>
          <w:b/>
          <w:bCs/>
          <w:color w:val="2E5FA3"/>
          <w:sz w:val="25"/>
          <w:szCs w:val="25"/>
        </w:rPr>
        <w:t xml:space="preserve">2.6. FR-11.6 – Chuyển đổi báo giá thành hợp đồng &amp; báo cáo hiệu quả B2B</w:t>
      </w:r>
    </w:p>
    <w:p>
      <w:pPr>
        <w:pStyle w:val="Heading3"/>
        <w:spacing w:after="100" w:before="200"/>
      </w:pPr>
      <w:r>
        <w:rPr>
          <w:b/>
          <w:bCs/>
          <w:color w:val="C0504D"/>
          <w:sz w:val="23"/>
          <w:szCs w:val="23"/>
        </w:rPr>
        <w:t xml:space="preserve">Mục đích</w:t>
      </w:r>
    </w:p>
    <w:p>
      <w:pPr>
        <w:spacing w:after="160" w:line="300"/>
      </w:pPr>
      <w:r>
        <w:rPr>
          <w:sz w:val="22"/>
          <w:szCs w:val="22"/>
        </w:rPr>
        <w:t xml:space="preserve">Chính thức hóa báo giá đã được doanh nghiệp đồng ý thành hợp đồng/đơn hàng trong hệ thống, đồng thời cung cấp báo cáo tổng hợp hiệu quả hoạt động B2B của sự kiện.</w:t>
      </w:r>
    </w:p>
    <w:p>
      <w:pPr>
        <w:pStyle w:val="Heading3"/>
        <w:spacing w:after="100" w:before="200"/>
      </w:pPr>
      <w:r>
        <w:rPr>
          <w:b/>
          <w:bCs/>
          <w:color w:val="C0504D"/>
          <w:sz w:val="23"/>
          <w:szCs w:val="23"/>
        </w:rPr>
        <w:t xml:space="preserve">Actor liên quan</w:t>
      </w:r>
    </w:p>
    <w:p>
      <w:pPr>
        <w:pStyle w:val="ListParagraph"/>
        <w:numPr>
          <w:ilvl w:val="0"/>
          <w:numId w:val="2"/>
        </w:numPr>
        <w:spacing w:after="80" w:line="280"/>
      </w:pPr>
      <w:r>
        <w:rPr>
          <w:sz w:val="22"/>
          <w:szCs w:val="22"/>
        </w:rPr>
        <w:t xml:space="preserve">Nhân sự phụ trách B2B (Sales/Team Lead)</w:t>
      </w:r>
    </w:p>
    <w:p>
      <w:pPr>
        <w:pStyle w:val="ListParagraph"/>
        <w:numPr>
          <w:ilvl w:val="0"/>
          <w:numId w:val="2"/>
        </w:numPr>
        <w:spacing w:after="80" w:line="280"/>
      </w:pPr>
      <w:r>
        <w:rPr>
          <w:sz w:val="22"/>
          <w:szCs w:val="22"/>
        </w:rPr>
        <w:t xml:space="preserve">Trưởng BTC (Event Director)</w:t>
      </w:r>
    </w:p>
    <w:p>
      <w:pPr>
        <w:pStyle w:val="Heading3"/>
        <w:spacing w:after="100" w:before="200"/>
      </w:pPr>
      <w:r>
        <w:rPr>
          <w:b/>
          <w:bCs/>
          <w:color w:val="C0504D"/>
          <w:sz w:val="23"/>
          <w:szCs w:val="23"/>
        </w:rPr>
        <w:t xml:space="preserve">Điều kiện tiên quyết (Pre-condition)</w:t>
      </w:r>
    </w:p>
    <w:p>
      <w:pPr>
        <w:pStyle w:val="ListParagraph"/>
        <w:numPr>
          <w:ilvl w:val="0"/>
          <w:numId w:val="2"/>
        </w:numPr>
        <w:spacing w:after="80" w:line="280"/>
      </w:pPr>
      <w:r>
        <w:rPr>
          <w:sz w:val="22"/>
          <w:szCs w:val="22"/>
        </w:rPr>
        <w:t xml:space="preserve">Báo giá đã được doanh nghiệp đồng ý (Lead ở trạng thái "Đang đàm phán" tiến tới thống nhất).</w:t>
      </w:r>
    </w:p>
    <w:p>
      <w:pPr>
        <w:pStyle w:val="Heading3"/>
        <w:spacing w:after="100" w:before="200"/>
      </w:pPr>
      <w:r>
        <w:rPr>
          <w:b/>
          <w:bCs/>
          <w:color w:val="C0504D"/>
          <w:sz w:val="23"/>
          <w:szCs w:val="23"/>
        </w:rPr>
        <w:t xml:space="preserve">Luồng xử lý chính (Main Flow)</w:t>
      </w:r>
    </w:p>
    <w:p>
      <w:pPr>
        <w:pStyle w:val="ListParagraph"/>
        <w:numPr>
          <w:ilvl w:val="0"/>
          <w:numId w:val="8"/>
        </w:numPr>
        <w:spacing w:after="80" w:line="280"/>
      </w:pPr>
      <w:r>
        <w:rPr>
          <w:sz w:val="22"/>
          <w:szCs w:val="22"/>
        </w:rPr>
        <w:t xml:space="preserve">Nhân sự phụ trách B2B chọn "Xác nhận Thắng (Won)" cho Lead, đính kèm hợp đồng đã ký (nếu có) hoặc email xác nhận từ doanh nghiệp.</w:t>
      </w:r>
    </w:p>
    <w:p>
      <w:pPr>
        <w:pStyle w:val="ListParagraph"/>
        <w:numPr>
          <w:ilvl w:val="0"/>
          <w:numId w:val="8"/>
        </w:numPr>
        <w:spacing w:after="80" w:line="280"/>
      </w:pPr>
      <w:r>
        <w:rPr>
          <w:sz w:val="22"/>
          <w:szCs w:val="22"/>
        </w:rPr>
        <w:t xml:space="preserve">Hệ thống chuyển trạng thái Lead sang "Thắng" và tạo liên kết tương ứng: nếu hạng mục là tài trợ/dịch vụ, hệ thống tạo bản ghi Đối tác (Vendor) ở Module 05; nếu hạng mục có vé số lượng lớn, hệ thống hỗ trợ tạo đơn hàng vé tương ứng qua Module 10.</w:t>
      </w:r>
    </w:p>
    <w:p>
      <w:pPr>
        <w:pStyle w:val="ListParagraph"/>
        <w:numPr>
          <w:ilvl w:val="0"/>
          <w:numId w:val="8"/>
        </w:numPr>
        <w:spacing w:after="80" w:line="280"/>
      </w:pPr>
      <w:r>
        <w:rPr>
          <w:sz w:val="22"/>
          <w:szCs w:val="22"/>
        </w:rPr>
        <w:t xml:space="preserve">Giá trị hợp đồng được ghi nhận như một khoản mục doanh thu, có thể đối chiếu với Module 04 (Ngân sách) ở phần nguồn thu (tùy chọn theo cấu hình tổ chức).</w:t>
      </w:r>
    </w:p>
    <w:p>
      <w:pPr>
        <w:pStyle w:val="ListParagraph"/>
        <w:numPr>
          <w:ilvl w:val="0"/>
          <w:numId w:val="8"/>
        </w:numPr>
        <w:spacing w:after="80" w:line="280"/>
      </w:pPr>
      <w:r>
        <w:rPr>
          <w:sz w:val="22"/>
          <w:szCs w:val="22"/>
        </w:rPr>
        <w:t xml:space="preserve">Trưởng BTC vào tab "Báo cáo B2B" để xem: tổng số Lead theo từng nguồn, tỷ lệ chuyển đổi (Lead → Thắng), tổng giá trị hợp đồng đã ký, thời gian trung bình từ Lead mới đến Thắng.</w:t>
      </w:r>
    </w:p>
    <w:p>
      <w:pPr>
        <w:pStyle w:val="ListParagraph"/>
        <w:numPr>
          <w:ilvl w:val="0"/>
          <w:numId w:val="8"/>
        </w:numPr>
        <w:spacing w:after="80" w:line="280"/>
      </w:pPr>
      <w:r>
        <w:rPr>
          <w:sz w:val="22"/>
          <w:szCs w:val="22"/>
        </w:rPr>
        <w:t xml:space="preserve">Trưởng BTC xuất báo cáo B2B ra Excel/PDF (dùng chung cơ chế xuất báo cáo ở Module 08).</w:t>
      </w:r>
    </w:p>
    <w:p>
      <w:pPr>
        <w:pStyle w:val="Heading3"/>
        <w:spacing w:after="100" w:before="200"/>
      </w:pPr>
      <w:r>
        <w:rPr>
          <w:b/>
          <w:bCs/>
          <w:color w:val="C0504D"/>
          <w:sz w:val="23"/>
          <w:szCs w:val="23"/>
        </w:rPr>
        <w:t xml:space="preserve">Luồng ngoại lệ / thay thế (Exception &amp; Alternate Flow)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500"/>
        <w:gridCol w:w="5900"/>
      </w:tblGrid>
      <w:tr>
        <w:trPr>
          <w:tblHeader/>
        </w:trPr>
        <w:tc>
          <w:tcPr>
            <w:tcW w:type="dxa" w:w="3500"/>
            <w:shd w:fill="1F3864" w:val="clear"/>
            <w:tcMar>
              <w:top w:type="dxa" w:w="80"/>
              <w:left w:type="dxa" w:w="100"/>
              <w:bottom w:type="dxa" w:w="80"/>
              <w:right w:type="dxa" w:w="100"/>
            </w:tcMar>
          </w:tcPr>
          <w:p>
            <w:pPr>
              <w:jc w:val="left"/>
            </w:pPr>
            <w:r>
              <w:rPr>
                <w:b/>
                <w:bCs/>
                <w:color w:val="FFFFFF"/>
                <w:sz w:val="20"/>
                <w:szCs w:val="20"/>
              </w:rPr>
              <w:t xml:space="preserve">Tình huống</w:t>
            </w:r>
          </w:p>
        </w:tc>
        <w:tc>
          <w:tcPr>
            <w:tcW w:type="dxa" w:w="5900"/>
            <w:shd w:fill="1F3864" w:val="clear"/>
            <w:tcMar>
              <w:top w:type="dxa" w:w="80"/>
              <w:left w:type="dxa" w:w="100"/>
              <w:bottom w:type="dxa" w:w="80"/>
              <w:right w:type="dxa" w:w="100"/>
            </w:tcMar>
          </w:tcPr>
          <w:p>
            <w:pPr>
              <w:jc w:val="left"/>
            </w:pPr>
            <w:r>
              <w:rPr>
                <w:b/>
                <w:bCs/>
                <w:color w:val="FFFFFF"/>
                <w:sz w:val="20"/>
                <w:szCs w:val="20"/>
              </w:rPr>
              <w:t xml:space="preserve">Xử lý của hệ thống</w:t>
            </w:r>
          </w:p>
        </w:tc>
      </w:tr>
      <w:tr>
        <w:tc>
          <w:tcPr>
            <w:tcW w:type="dxa" w:w="3500"/>
            <w:tcMar>
              <w:top w:type="dxa" w:w="80"/>
              <w:left w:type="dxa" w:w="100"/>
              <w:bottom w:type="dxa" w:w="80"/>
              <w:right w:type="dxa" w:w="100"/>
            </w:tcMar>
          </w:tcPr>
          <w:p>
            <w:pPr>
              <w:jc w:val="left"/>
            </w:pPr>
            <w:r>
              <w:rPr>
                <w:b w:val="false"/>
                <w:bCs w:val="false"/>
                <w:color w:val="000000"/>
                <w:sz w:val="20"/>
                <w:szCs w:val="20"/>
              </w:rPr>
              <w:t xml:space="preserve">Lead chuyển "Mất" sau một thời gian đàm phán</w:t>
            </w:r>
          </w:p>
        </w:tc>
        <w:tc>
          <w:tcPr>
            <w:tcW w:type="dxa" w:w="5900"/>
            <w:tcMar>
              <w:top w:type="dxa" w:w="80"/>
              <w:left w:type="dxa" w:w="100"/>
              <w:bottom w:type="dxa" w:w="80"/>
              <w:right w:type="dxa" w:w="100"/>
            </w:tcMar>
          </w:tcPr>
          <w:p>
            <w:pPr>
              <w:jc w:val="left"/>
            </w:pPr>
            <w:r>
              <w:rPr>
                <w:b w:val="false"/>
                <w:bCs w:val="false"/>
                <w:color w:val="000000"/>
                <w:sz w:val="20"/>
                <w:szCs w:val="20"/>
              </w:rPr>
              <w:t xml:space="preserve">Nhân sự ghi nhận lý do mất (giá, đối thủ, thay đổi ngân sách doanh nghiệp...) để phục vụ phân tích cải thiện tỷ lệ chuyển đổi cho sự kiện sau.</w:t>
            </w:r>
          </w:p>
        </w:tc>
      </w:tr>
      <w:tr>
        <w:tc>
          <w:tcPr>
            <w:tcW w:type="dxa" w:w="3500"/>
            <w:shd w:fill="F2F2F2" w:val="clear"/>
            <w:tcMar>
              <w:top w:type="dxa" w:w="80"/>
              <w:left w:type="dxa" w:w="100"/>
              <w:bottom w:type="dxa" w:w="80"/>
              <w:right w:type="dxa" w:w="100"/>
            </w:tcMar>
          </w:tcPr>
          <w:p>
            <w:pPr>
              <w:jc w:val="left"/>
            </w:pPr>
            <w:r>
              <w:rPr>
                <w:b w:val="false"/>
                <w:bCs w:val="false"/>
                <w:color w:val="000000"/>
                <w:sz w:val="20"/>
                <w:szCs w:val="20"/>
              </w:rPr>
              <w:t xml:space="preserve">Doanh nghiệp yêu cầu điều chỉnh hợp đồng sau khi đã "Thắng"</w:t>
            </w:r>
          </w:p>
        </w:tc>
        <w:tc>
          <w:tcPr>
            <w:tcW w:type="dxa" w:w="5900"/>
            <w:shd w:fill="F2F2F2" w:val="clear"/>
            <w:tcMar>
              <w:top w:type="dxa" w:w="80"/>
              <w:left w:type="dxa" w:w="100"/>
              <w:bottom w:type="dxa" w:w="80"/>
              <w:right w:type="dxa" w:w="100"/>
            </w:tcMar>
          </w:tcPr>
          <w:p>
            <w:pPr>
              <w:jc w:val="left"/>
            </w:pPr>
            <w:r>
              <w:rPr>
                <w:b w:val="false"/>
                <w:bCs w:val="false"/>
                <w:color w:val="000000"/>
                <w:sz w:val="20"/>
                <w:szCs w:val="20"/>
              </w:rPr>
              <w:t xml:space="preserve">BTC xử lý như một Yêu cầu báo giá bổ sung mới, không chỉnh sửa ngược lại bản ghi Thắng ban đầu, đảm bảo tính toàn vẹn lịch sử.</w:t>
            </w:r>
          </w:p>
        </w:tc>
      </w:tr>
    </w:tbl>
    <w:p>
      <w:pPr>
        <w:spacing w:after="160"/>
      </w:pPr>
    </w:p>
    <w:p>
      <w:pPr>
        <w:pStyle w:val="Heading3"/>
        <w:spacing w:after="100" w:before="200"/>
      </w:pPr>
      <w:r>
        <w:rPr>
          <w:b/>
          <w:bCs/>
          <w:color w:val="C0504D"/>
          <w:sz w:val="23"/>
          <w:szCs w:val="23"/>
        </w:rPr>
        <w:t xml:space="preserve">Quy tắc nghiệp vụ (Business Rules)</w:t>
      </w:r>
    </w:p>
    <w:p>
      <w:pPr>
        <w:pStyle w:val="ListParagraph"/>
        <w:numPr>
          <w:ilvl w:val="0"/>
          <w:numId w:val="2"/>
        </w:numPr>
        <w:spacing w:after="80" w:line="280"/>
      </w:pPr>
      <w:r>
        <w:rPr>
          <w:sz w:val="22"/>
          <w:szCs w:val="22"/>
        </w:rPr>
        <w:t xml:space="preserve">Chỉ Lead ở trạng thái "Thắng" mới được phép tạo liên kết Vendor/Đơn hàng vé tương ứng.</w:t>
      </w:r>
    </w:p>
    <w:p>
      <w:pPr>
        <w:pStyle w:val="ListParagraph"/>
        <w:numPr>
          <w:ilvl w:val="0"/>
          <w:numId w:val="2"/>
        </w:numPr>
        <w:spacing w:after="80" w:line="280"/>
      </w:pPr>
      <w:r>
        <w:rPr>
          <w:sz w:val="22"/>
          <w:szCs w:val="22"/>
        </w:rPr>
        <w:t xml:space="preserve">Tỷ lệ chuyển đổi (conversion rate) = Số Lead Thắng / Tổng số Lead đã đóng (Thắng + Mất), không tính Lead đang mở.</w:t>
      </w:r>
    </w:p>
    <w:p>
      <w:pPr>
        <w:pStyle w:val="ListParagraph"/>
        <w:numPr>
          <w:ilvl w:val="0"/>
          <w:numId w:val="2"/>
        </w:numPr>
        <w:spacing w:after="80" w:line="280"/>
      </w:pPr>
      <w:r>
        <w:rPr>
          <w:sz w:val="22"/>
          <w:szCs w:val="22"/>
        </w:rPr>
        <w:t xml:space="preserve">Báo cáo B2B chỉ hiển thị cho Trưởng BTC và nhân sự được cấp quyền theo dõi hoạt động B2B.</w:t>
      </w:r>
    </w:p>
    <w:p>
      <w:pPr>
        <w:pStyle w:val="Heading3"/>
        <w:spacing w:after="100" w:before="200"/>
      </w:pPr>
      <w:r>
        <w:rPr>
          <w:b/>
          <w:bCs/>
          <w:color w:val="C0504D"/>
          <w:sz w:val="23"/>
          <w:szCs w:val="23"/>
        </w:rPr>
        <w:t xml:space="preserve">Dữ liệu Input / Output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700"/>
      </w:tblGrid>
      <w:tr>
        <w:trPr>
          <w:tblHeader/>
        </w:trPr>
        <w:tc>
          <w:tcPr>
            <w:tcW w:type="dxa" w:w="1500"/>
            <w:shd w:fill="1F3864" w:val="clear"/>
            <w:tcMar>
              <w:top w:type="dxa" w:w="80"/>
              <w:left w:type="dxa" w:w="100"/>
              <w:bottom w:type="dxa" w:w="80"/>
              <w:right w:type="dxa" w:w="100"/>
            </w:tcMar>
          </w:tcPr>
          <w:p>
            <w:pPr>
              <w:jc w:val="left"/>
            </w:pPr>
            <w:r>
              <w:rPr>
                <w:b/>
                <w:bCs/>
                <w:color w:val="FFFFFF"/>
                <w:sz w:val="20"/>
                <w:szCs w:val="20"/>
              </w:rPr>
              <w:t xml:space="preserve">Loại</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Trường dữ liệu</w:t>
            </w:r>
          </w:p>
        </w:tc>
        <w:tc>
          <w:tcPr>
            <w:tcW w:type="dxa" w:w="4700"/>
            <w:shd w:fill="1F3864" w:val="clear"/>
            <w:tcMar>
              <w:top w:type="dxa" w:w="80"/>
              <w:left w:type="dxa" w:w="100"/>
              <w:bottom w:type="dxa" w:w="80"/>
              <w:right w:type="dxa" w:w="100"/>
            </w:tcMar>
          </w:tcPr>
          <w:p>
            <w:pPr>
              <w:jc w:val="left"/>
            </w:pPr>
            <w:r>
              <w:rPr>
                <w:b/>
                <w:bCs/>
                <w:color w:val="FFFFFF"/>
                <w:sz w:val="20"/>
                <w:szCs w:val="20"/>
              </w:rPr>
              <w:t xml:space="preserve">Ghi chú / Ràng buộc</w:t>
            </w:r>
          </w:p>
        </w:tc>
      </w:tr>
      <w:tr>
        <w:tc>
          <w:tcPr>
            <w:tcW w:type="dxa" w:w="1500"/>
            <w:tcMar>
              <w:top w:type="dxa" w:w="80"/>
              <w:left w:type="dxa" w:w="100"/>
              <w:bottom w:type="dxa" w:w="80"/>
              <w:right w:type="dxa" w:w="100"/>
            </w:tcMar>
          </w:tcPr>
          <w:p>
            <w:pPr>
              <w:jc w:val="left"/>
            </w:pPr>
            <w:r>
              <w:rPr>
                <w:b w:val="false"/>
                <w:bCs w:val="false"/>
                <w:color w:val="000000"/>
                <w:sz w:val="20"/>
                <w:szCs w:val="20"/>
              </w:rPr>
              <w:t xml:space="preserve">Input</w:t>
            </w:r>
          </w:p>
        </w:tc>
        <w:tc>
          <w:tcPr>
            <w:tcW w:type="dxa" w:w="3200"/>
            <w:tcMar>
              <w:top w:type="dxa" w:w="80"/>
              <w:left w:type="dxa" w:w="100"/>
              <w:bottom w:type="dxa" w:w="80"/>
              <w:right w:type="dxa" w:w="100"/>
            </w:tcMar>
          </w:tcPr>
          <w:p>
            <w:pPr>
              <w:jc w:val="left"/>
            </w:pPr>
            <w:r>
              <w:rPr>
                <w:b w:val="false"/>
                <w:bCs w:val="false"/>
                <w:color w:val="000000"/>
                <w:sz w:val="20"/>
                <w:szCs w:val="20"/>
              </w:rPr>
              <w:t xml:space="preserve">Xác nhận Thắng/Mất kèm lý do; file hợp đồng đính kèm (nếu có)</w:t>
            </w:r>
          </w:p>
        </w:tc>
        <w:tc>
          <w:tcPr>
            <w:tcW w:type="dxa" w:w="4700"/>
            <w:tcMar>
              <w:top w:type="dxa" w:w="80"/>
              <w:left w:type="dxa" w:w="100"/>
              <w:bottom w:type="dxa" w:w="80"/>
              <w:right w:type="dxa" w:w="100"/>
            </w:tcMar>
          </w:tcPr>
          <w:p>
            <w:pPr>
              <w:jc w:val="left"/>
            </w:pPr>
            <w:r>
              <w:rPr>
                <w:b w:val="false"/>
                <w:bCs w:val="false"/>
                <w:color w:val="000000"/>
                <w:sz w:val="20"/>
                <w:szCs w:val="20"/>
              </w:rPr>
              <w:t xml:space="preserve"/>
            </w:r>
          </w:p>
        </w:tc>
      </w:tr>
      <w:tr>
        <w:tc>
          <w:tcPr>
            <w:tcW w:type="dxa" w:w="1500"/>
            <w:shd w:fill="F2F2F2" w:val="clear"/>
            <w:tcMar>
              <w:top w:type="dxa" w:w="80"/>
              <w:left w:type="dxa" w:w="100"/>
              <w:bottom w:type="dxa" w:w="80"/>
              <w:right w:type="dxa" w:w="100"/>
            </w:tcMar>
          </w:tcPr>
          <w:p>
            <w:pPr>
              <w:jc w:val="left"/>
            </w:pPr>
            <w:r>
              <w:rPr>
                <w:b w:val="false"/>
                <w:bCs w:val="false"/>
                <w:color w:val="000000"/>
                <w:sz w:val="20"/>
                <w:szCs w:val="20"/>
              </w:rPr>
              <w:t xml:space="preserve">Output</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Trạng thái Lead cập nhật; liên kết Vendor/Đơn hàng vé (nếu áp dụng); báo cáo tổng hợp B2B</w:t>
            </w:r>
          </w:p>
        </w:tc>
      </w:tr>
    </w:tbl>
    <w:p>
      <w:pPr>
        <w:spacing w:after="160"/>
      </w:pPr>
    </w:p>
    <w:p>
      <w:pPr>
        <w:pStyle w:val="Heading3"/>
        <w:spacing w:after="100" w:before="200"/>
      </w:pPr>
      <w:r>
        <w:rPr>
          <w:b/>
          <w:bCs/>
          <w:color w:val="C0504D"/>
          <w:sz w:val="23"/>
          <w:szCs w:val="23"/>
        </w:rPr>
        <w:t xml:space="preserve">Trạng thái dữ liệu (State Transition)</w:t>
      </w:r>
    </w:p>
    <w:p>
      <w:pPr>
        <w:spacing w:after="160" w:line="300"/>
      </w:pPr>
      <w:r>
        <w:rPr>
          <w:sz w:val="22"/>
          <w:szCs w:val="22"/>
        </w:rPr>
        <w:t xml:space="preserve">Đang đàm phán → Thắng (hoặc Mất kèm lý do).</w:t>
      </w:r>
    </w:p>
    <w:p>
      <w:pPr>
        <w:pStyle w:val="Heading3"/>
        <w:spacing w:after="100" w:before="200"/>
      </w:pPr>
      <w:r>
        <w:rPr>
          <w:b/>
          <w:bCs/>
          <w:color w:val="C0504D"/>
          <w:sz w:val="23"/>
          <w:szCs w:val="23"/>
        </w:rPr>
        <w:t xml:space="preserve">Màn hình liên quan</w:t>
      </w:r>
    </w:p>
    <w:p>
      <w:pPr>
        <w:pStyle w:val="ListParagraph"/>
        <w:numPr>
          <w:ilvl w:val="0"/>
          <w:numId w:val="2"/>
        </w:numPr>
        <w:spacing w:after="80" w:line="280"/>
      </w:pPr>
      <w:r>
        <w:rPr>
          <w:sz w:val="22"/>
          <w:szCs w:val="22"/>
        </w:rPr>
        <w:t xml:space="preserve">Chi tiết Lead – nút "Xác nhận Thắng/Mất"</w:t>
      </w:r>
    </w:p>
    <w:p>
      <w:pPr>
        <w:pStyle w:val="ListParagraph"/>
        <w:numPr>
          <w:ilvl w:val="0"/>
          <w:numId w:val="2"/>
        </w:numPr>
        <w:spacing w:after="80" w:line="280"/>
      </w:pPr>
      <w:r>
        <w:rPr>
          <w:sz w:val="22"/>
          <w:szCs w:val="22"/>
        </w:rPr>
        <w:t xml:space="preserve">Tab "Báo cáo B2B"</w:t>
      </w:r>
    </w:p>
    <w:p>
      <w:r>
        <w:br w:type="page"/>
      </w:r>
    </w:p>
    <w:p>
      <w:pPr>
        <w:pStyle w:val="Heading1"/>
        <w:spacing w:after="160" w:before="360"/>
      </w:pPr>
      <w:r>
        <w:rPr>
          <w:b/>
          <w:bCs/>
          <w:color w:val="1F3864"/>
          <w:sz w:val="30"/>
          <w:szCs w:val="30"/>
        </w:rPr>
        <w:t xml:space="preserve">3. Ma trận truy vết yêu cầu (Traceability)</w:t>
      </w:r>
    </w:p>
    <w:p>
      <w:pPr>
        <w:spacing w:after="160" w:line="300"/>
      </w:pPr>
      <w:r>
        <w:rPr>
          <w:sz w:val="22"/>
          <w:szCs w:val="22"/>
        </w:rPr>
        <w:t xml:space="preserve">Bảng dưới đây liên kết từng chức năng chi tiết với các module liên quan trong bộ tài liệu hiện có, phục vụ thiết kế và kiểm thử tích hợp.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200"/>
      </w:tblGrid>
      <w:tr>
        <w:trPr>
          <w:tblHeader/>
        </w:trPr>
        <w:tc>
          <w:tcPr>
            <w:tcW w:type="dxa" w:w="1800"/>
            <w:shd w:fill="1F3864" w:val="clear"/>
            <w:tcMar>
              <w:top w:type="dxa" w:w="80"/>
              <w:left w:type="dxa" w:w="100"/>
              <w:bottom w:type="dxa" w:w="80"/>
              <w:right w:type="dxa" w:w="100"/>
            </w:tcMar>
          </w:tcPr>
          <w:p>
            <w:pPr>
              <w:jc w:val="left"/>
            </w:pPr>
            <w:r>
              <w:rPr>
                <w:b/>
                <w:bCs/>
                <w:color w:val="FFFFFF"/>
                <w:sz w:val="20"/>
                <w:szCs w:val="20"/>
              </w:rPr>
              <w:t xml:space="preserve">Mã chức năng</w:t>
            </w:r>
          </w:p>
        </w:tc>
        <w:tc>
          <w:tcPr>
            <w:tcW w:type="dxa" w:w="4400"/>
            <w:shd w:fill="1F3864" w:val="clear"/>
            <w:tcMar>
              <w:top w:type="dxa" w:w="80"/>
              <w:left w:type="dxa" w:w="100"/>
              <w:bottom w:type="dxa" w:w="80"/>
              <w:right w:type="dxa" w:w="100"/>
            </w:tcMar>
          </w:tcPr>
          <w:p>
            <w:pPr>
              <w:jc w:val="left"/>
            </w:pPr>
            <w:r>
              <w:rPr>
                <w:b/>
                <w:bCs/>
                <w:color w:val="FFFFFF"/>
                <w:sz w:val="20"/>
                <w:szCs w:val="20"/>
              </w:rPr>
              <w:t xml:space="preserve">Liên kết module khác</w:t>
            </w:r>
          </w:p>
        </w:tc>
        <w:tc>
          <w:tcPr>
            <w:tcW w:type="dxa" w:w="3200"/>
            <w:shd w:fill="1F3864" w:val="clear"/>
            <w:tcMar>
              <w:top w:type="dxa" w:w="80"/>
              <w:left w:type="dxa" w:w="100"/>
              <w:bottom w:type="dxa" w:w="80"/>
              <w:right w:type="dxa" w:w="100"/>
            </w:tcMar>
          </w:tcPr>
          <w:p>
            <w:pPr>
              <w:jc w:val="left"/>
            </w:pPr>
            <w:r>
              <w:rPr>
                <w:b/>
                <w:bCs/>
                <w:color w:val="FFFFFF"/>
                <w:sz w:val="20"/>
                <w:szCs w:val="20"/>
              </w:rPr>
              <w:t xml:space="preserve">Test case liên quan (dự kiến)</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FR-11.1</w:t>
            </w:r>
          </w:p>
        </w:tc>
        <w:tc>
          <w:tcPr>
            <w:tcW w:type="dxa" w:w="4400"/>
            <w:tcMar>
              <w:top w:type="dxa" w:w="80"/>
              <w:left w:type="dxa" w:w="100"/>
              <w:bottom w:type="dxa" w:w="80"/>
              <w:right w:type="dxa" w:w="100"/>
            </w:tcMar>
          </w:tcPr>
          <w:p>
            <w:pPr>
              <w:jc w:val="left"/>
            </w:pPr>
            <w:r>
              <w:rPr>
                <w:b w:val="false"/>
                <w:bCs w:val="false"/>
                <w:color w:val="000000"/>
                <w:sz w:val="20"/>
                <w:szCs w:val="20"/>
              </w:rPr>
              <w:t xml:space="preserve">Trang public độc lập, không phụ thuộc đăng nhập</w:t>
            </w:r>
          </w:p>
        </w:tc>
        <w:tc>
          <w:tcPr>
            <w:tcW w:type="dxa" w:w="3200"/>
            <w:tcMar>
              <w:top w:type="dxa" w:w="80"/>
              <w:left w:type="dxa" w:w="100"/>
              <w:bottom w:type="dxa" w:w="80"/>
              <w:right w:type="dxa" w:w="100"/>
            </w:tcMar>
          </w:tcPr>
          <w:p>
            <w:pPr>
              <w:jc w:val="left"/>
            </w:pPr>
            <w:r>
              <w:rPr>
                <w:b w:val="false"/>
                <w:bCs w:val="false"/>
                <w:color w:val="000000"/>
                <w:sz w:val="20"/>
                <w:szCs w:val="20"/>
              </w:rPr>
              <w:t xml:space="preserve">TC-B2B-001 → TC-B2B-005</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FR-11.2</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Không phụ thuộc module khác</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TC-B2B-006 → TC-B2B-010</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FR-11.3</w:t>
            </w:r>
          </w:p>
        </w:tc>
        <w:tc>
          <w:tcPr>
            <w:tcW w:type="dxa" w:w="4400"/>
            <w:tcMar>
              <w:top w:type="dxa" w:w="80"/>
              <w:left w:type="dxa" w:w="100"/>
              <w:bottom w:type="dxa" w:w="80"/>
              <w:right w:type="dxa" w:w="100"/>
            </w:tcMar>
          </w:tcPr>
          <w:p>
            <w:pPr>
              <w:jc w:val="left"/>
            </w:pPr>
            <w:r>
              <w:rPr>
                <w:b w:val="false"/>
                <w:bCs w:val="false"/>
                <w:color w:val="000000"/>
                <w:sz w:val="20"/>
                <w:szCs w:val="20"/>
              </w:rPr>
              <w:t xml:space="preserve">Module 04 (Ngân sách – tham chiếu giá trị hợp đồng)</w:t>
            </w:r>
          </w:p>
        </w:tc>
        <w:tc>
          <w:tcPr>
            <w:tcW w:type="dxa" w:w="3200"/>
            <w:tcMar>
              <w:top w:type="dxa" w:w="80"/>
              <w:left w:type="dxa" w:w="100"/>
              <w:bottom w:type="dxa" w:w="80"/>
              <w:right w:type="dxa" w:w="100"/>
            </w:tcMar>
          </w:tcPr>
          <w:p>
            <w:pPr>
              <w:jc w:val="left"/>
            </w:pPr>
            <w:r>
              <w:rPr>
                <w:b w:val="false"/>
                <w:bCs w:val="false"/>
                <w:color w:val="000000"/>
                <w:sz w:val="20"/>
                <w:szCs w:val="20"/>
              </w:rPr>
              <w:t xml:space="preserve">TC-B2B-011 → TC-B2B-017</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FR-11.4</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Không phụ thuộc module khác</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TC-B2B-018 → TC-B2B-022</w:t>
            </w:r>
          </w:p>
        </w:tc>
      </w:tr>
      <w:tr>
        <w:tc>
          <w:tcPr>
            <w:tcW w:type="dxa" w:w="1800"/>
            <w:tcMar>
              <w:top w:type="dxa" w:w="80"/>
              <w:left w:type="dxa" w:w="100"/>
              <w:bottom w:type="dxa" w:w="80"/>
              <w:right w:type="dxa" w:w="100"/>
            </w:tcMar>
          </w:tcPr>
          <w:p>
            <w:pPr>
              <w:jc w:val="left"/>
            </w:pPr>
            <w:r>
              <w:rPr>
                <w:b w:val="false"/>
                <w:bCs w:val="false"/>
                <w:color w:val="000000"/>
                <w:sz w:val="20"/>
                <w:szCs w:val="20"/>
              </w:rPr>
              <w:t xml:space="preserve">FR-11.5</w:t>
            </w:r>
          </w:p>
        </w:tc>
        <w:tc>
          <w:tcPr>
            <w:tcW w:type="dxa" w:w="4400"/>
            <w:tcMar>
              <w:top w:type="dxa" w:w="80"/>
              <w:left w:type="dxa" w:w="100"/>
              <w:bottom w:type="dxa" w:w="80"/>
              <w:right w:type="dxa" w:w="100"/>
            </w:tcMar>
          </w:tcPr>
          <w:p>
            <w:pPr>
              <w:jc w:val="left"/>
            </w:pPr>
            <w:r>
              <w:rPr>
                <w:b w:val="false"/>
                <w:bCs w:val="false"/>
                <w:color w:val="000000"/>
                <w:sz w:val="20"/>
                <w:szCs w:val="20"/>
              </w:rPr>
              <w:t xml:space="preserve">Không phụ thuộc module khác</w:t>
            </w:r>
          </w:p>
        </w:tc>
        <w:tc>
          <w:tcPr>
            <w:tcW w:type="dxa" w:w="3200"/>
            <w:tcMar>
              <w:top w:type="dxa" w:w="80"/>
              <w:left w:type="dxa" w:w="100"/>
              <w:bottom w:type="dxa" w:w="80"/>
              <w:right w:type="dxa" w:w="100"/>
            </w:tcMar>
          </w:tcPr>
          <w:p>
            <w:pPr>
              <w:jc w:val="left"/>
            </w:pPr>
            <w:r>
              <w:rPr>
                <w:b w:val="false"/>
                <w:bCs w:val="false"/>
                <w:color w:val="000000"/>
                <w:sz w:val="20"/>
                <w:szCs w:val="20"/>
              </w:rPr>
              <w:t xml:space="preserve">TC-B2B-023 → TC-B2B-026</w:t>
            </w:r>
          </w:p>
        </w:tc>
      </w:tr>
      <w:tr>
        <w:tc>
          <w:tcPr>
            <w:tcW w:type="dxa" w:w="1800"/>
            <w:shd w:fill="F2F2F2" w:val="clear"/>
            <w:tcMar>
              <w:top w:type="dxa" w:w="80"/>
              <w:left w:type="dxa" w:w="100"/>
              <w:bottom w:type="dxa" w:w="80"/>
              <w:right w:type="dxa" w:w="100"/>
            </w:tcMar>
          </w:tcPr>
          <w:p>
            <w:pPr>
              <w:jc w:val="left"/>
            </w:pPr>
            <w:r>
              <w:rPr>
                <w:b w:val="false"/>
                <w:bCs w:val="false"/>
                <w:color w:val="000000"/>
                <w:sz w:val="20"/>
                <w:szCs w:val="20"/>
              </w:rPr>
              <w:t xml:space="preserve">FR-11.6</w:t>
            </w:r>
          </w:p>
        </w:tc>
        <w:tc>
          <w:tcPr>
            <w:tcW w:type="dxa" w:w="4400"/>
            <w:shd w:fill="F2F2F2" w:val="clear"/>
            <w:tcMar>
              <w:top w:type="dxa" w:w="80"/>
              <w:left w:type="dxa" w:w="100"/>
              <w:bottom w:type="dxa" w:w="80"/>
              <w:right w:type="dxa" w:w="100"/>
            </w:tcMar>
          </w:tcPr>
          <w:p>
            <w:pPr>
              <w:jc w:val="left"/>
            </w:pPr>
            <w:r>
              <w:rPr>
                <w:b w:val="false"/>
                <w:bCs w:val="false"/>
                <w:color w:val="000000"/>
                <w:sz w:val="20"/>
                <w:szCs w:val="20"/>
              </w:rPr>
              <w:t xml:space="preserve">Module 05 (Vendor), Module 10 (Đơn hàng vé), Module 08 (Báo cáo)</w:t>
            </w:r>
          </w:p>
        </w:tc>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TC-B2B-027 → TC-B2B-033</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Trang </w:t>
    </w:r>
    <w:r>
      <w:rPr>
        <w:color w:val="595959"/>
        <w:sz w:val="18"/>
        <w:szCs w:val="18"/>
      </w:rPr>
      <w:fldChar w:fldCharType="begin"/>
      <w:instrText xml:space="preserve">PAGE</w:instrText>
      <w:fldChar w:fldCharType="separate"/>
      <w:fldChar w:fldCharType="end"/>
    </w:r>
    <w:r>
      <w:rPr>
        <w:color w:val="595959"/>
        <w:sz w:val="18"/>
        <w:szCs w:val="18"/>
      </w:rPr>
      <w:t xml:space="preserve"> /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4"/>
      </w:pBdr>
      <w:jc w:val="right"/>
    </w:pPr>
    <w:r>
      <w:rPr>
        <w:i/>
        <w:iCs/>
        <w:color w:val="595959"/>
        <w:sz w:val="16"/>
        <w:szCs w:val="16"/>
      </w:rPr>
      <w:t xml:space="preserve">BPD – Module 11: Báo giá &amp; Đăng ký Doanh nghiệp | Ứng dụng Quản lý Tổ chức Sự kiện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2026-08-16T10:33:37.159Z</dcterms:created>
  <dcterms:modified xsi:type="dcterms:W3CDTF">2026-08-16T10:33:37.175Z</dcterms:modified>
</cp:coreProperties>
</file>

<file path=docProps/custom.xml><?xml version="1.0" encoding="utf-8"?>
<Properties xmlns="http://schemas.openxmlformats.org/officeDocument/2006/custom-properties" xmlns:vt="http://schemas.openxmlformats.org/officeDocument/2006/docPropsVTypes"/>
</file>