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07ED" w:rsidRPr="00DE07ED" w:rsidRDefault="00DE07ED" w:rsidP="00DE07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07ED">
        <w:rPr>
          <w:rFonts w:ascii="Times New Roman" w:eastAsia="Times New Roman" w:hAnsi="Times New Roman" w:cs="Times New Roman"/>
          <w:b/>
          <w:bCs/>
          <w:kern w:val="36"/>
          <w:sz w:val="48"/>
          <w:szCs w:val="48"/>
        </w:rPr>
        <w:t>BÀI 4: CHỌN CÁCH DỰ BÁO PHẠM VI CHO SPRINT 6</w:t>
      </w:r>
    </w:p>
    <w:p w:rsidR="00DE07ED" w:rsidRPr="00200AF8" w:rsidRDefault="00DE07ED" w:rsidP="00DE07ED">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200AF8">
        <w:rPr>
          <w:rFonts w:ascii="Times New Roman" w:eastAsia="Times New Roman" w:hAnsi="Times New Roman" w:cs="Times New Roman"/>
          <w:b/>
          <w:bCs/>
          <w:color w:val="FF0000"/>
          <w:sz w:val="36"/>
          <w:szCs w:val="36"/>
        </w:rPr>
        <w:t>Phần 1 – Đề xuất hai cách dự báo</w:t>
      </w:r>
    </w:p>
    <w:p w:rsidR="00DE07ED" w:rsidRPr="00DE07ED" w:rsidRDefault="00DE07ED" w:rsidP="00DE07ED">
      <w:p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Cách 1: Dự báo dựa trên Velocity của các Sprint trước</w:t>
      </w:r>
    </w:p>
    <w:p w:rsidR="00DE07ED" w:rsidRPr="00DE07ED" w:rsidRDefault="00DE07ED" w:rsidP="00DE07ED">
      <w:p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Velocity 5 Sprint gần nhất là 18, 20, 19, 15, 13 SP.</w:t>
      </w:r>
    </w:p>
    <w:p w:rsidR="00DE07ED" w:rsidRPr="00DE07ED" w:rsidRDefault="00DE07ED" w:rsidP="00DE07ED">
      <w:p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Average Velocity = (18 + 20 + 19 + 15 + 13) / 5 = 17 SP.</w:t>
      </w:r>
    </w:p>
    <w:p w:rsidR="00DE07ED" w:rsidRPr="00DE07ED" w:rsidRDefault="00DE07ED" w:rsidP="00DE07ED">
      <w:p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Velocity Range của đội là từ 13 đến 20 SP. Tuy nhiên, Sprint 5 chỉ hoàn thành 13 SP, Capacity Sprint 6 giảm từ 212 giờ xuống 186 giờ và có nhân sự mới cần thời gian làm quen. Vì vậy, tôi đề xuất dự báo ban đầu là 13 SP.</w:t>
      </w:r>
    </w:p>
    <w:p w:rsidR="00DE07ED" w:rsidRPr="00DE07ED" w:rsidRDefault="00DE07ED" w:rsidP="00DE07ED">
      <w:p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Danh sách PBI:</w:t>
      </w:r>
    </w:p>
    <w:p w:rsidR="00DE07ED" w:rsidRPr="00DE07ED" w:rsidRDefault="00DE07ED" w:rsidP="00DE07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PBI 1: Hẹn giờ đặt xe trước – 5 SP.</w:t>
      </w:r>
    </w:p>
    <w:p w:rsidR="00DE07ED" w:rsidRPr="00DE07ED" w:rsidRDefault="00DE07ED" w:rsidP="00DE07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PBI 3: Gửi SMS khi tài xế sắp đến – 3 SP.</w:t>
      </w:r>
    </w:p>
    <w:p w:rsidR="00DE07ED" w:rsidRPr="00DE07ED" w:rsidRDefault="00DE07ED" w:rsidP="00DE07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PBI 4: Chat với tài xế – 5 SP.</w:t>
      </w:r>
    </w:p>
    <w:p w:rsidR="00DE07ED" w:rsidRPr="00DE07ED" w:rsidRDefault="00DE07ED" w:rsidP="00DE07ED">
      <w:p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Tổng: 13 SP.</w:t>
      </w:r>
    </w:p>
    <w:p w:rsidR="00DE07ED" w:rsidRPr="00DE07ED" w:rsidRDefault="00DE07ED" w:rsidP="00DE07ED">
      <w:p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Cách 2: Dự báo bằng cách điều chỉnh Average Velocity theo Capacity</w:t>
      </w:r>
    </w:p>
    <w:p w:rsidR="00DE07ED" w:rsidRPr="00DE07ED" w:rsidRDefault="00DE07ED" w:rsidP="00DE07ED">
      <w:p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Capacity Sprint 6 giảm 26 giờ so với Sprint 5, tương đương khoảng 12,3%.</w:t>
      </w:r>
    </w:p>
    <w:p w:rsidR="00DE07ED" w:rsidRPr="00DE07ED" w:rsidRDefault="00DE07ED" w:rsidP="00DE07ED">
      <w:p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Mức dự báo tham khảo:</w:t>
      </w:r>
    </w:p>
    <w:p w:rsidR="00DE07ED" w:rsidRPr="00DE07ED" w:rsidRDefault="00DE07ED" w:rsidP="00DE07ED">
      <w:p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17 × (186 / 212) ≈ 14,9 SP, làm tròn khoảng 15 SP.</w:t>
      </w:r>
    </w:p>
    <w:p w:rsidR="00DE07ED" w:rsidRPr="00DE07ED" w:rsidRDefault="00DE07ED" w:rsidP="00DE07ED">
      <w:p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Danh sách PBI dự kiến:</w:t>
      </w:r>
    </w:p>
    <w:p w:rsidR="00DE07ED" w:rsidRPr="00DE07ED" w:rsidRDefault="00DE07ED" w:rsidP="00DE07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PBI 1: Hẹn giờ đặt xe trước – 5 SP.</w:t>
      </w:r>
    </w:p>
    <w:p w:rsidR="00DE07ED" w:rsidRPr="00DE07ED" w:rsidRDefault="00DE07ED" w:rsidP="00DE07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PBI 3: Gửi SMS khi tài xế sắp đến – 3 SP.</w:t>
      </w:r>
    </w:p>
    <w:p w:rsidR="00DE07ED" w:rsidRPr="00DE07ED" w:rsidRDefault="00DE07ED" w:rsidP="00DE07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PBI 4: Chat với tài xế – 5 SP.</w:t>
      </w:r>
    </w:p>
    <w:p w:rsidR="00DE07ED" w:rsidRPr="00DE07ED" w:rsidRDefault="00DE07ED" w:rsidP="00DE07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PBI 5: Giao diện chủ đề Tết – 2 SP.</w:t>
      </w:r>
    </w:p>
    <w:p w:rsidR="00DE07ED" w:rsidRPr="00DE07ED" w:rsidRDefault="00DE07ED" w:rsidP="00DE07ED">
      <w:p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Tổng: 15 SP.</w:t>
      </w:r>
    </w:p>
    <w:p w:rsidR="00DE07ED" w:rsidRPr="00DE07ED" w:rsidRDefault="00DE07ED" w:rsidP="00DE07ED">
      <w:p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Cách này có xét đến Capacity mới, nhưng phép tính chỉ mang tính tham khảo vì Velocity không nhất thiết giảm theo đúng tỷ lệ Capacity. PBI giao diện Tết cũng chưa phù hợp trực tiếp với mục tiêu giúp khách chủ động khi chờ tài xế.</w:t>
      </w:r>
    </w:p>
    <w:p w:rsidR="00DE07ED" w:rsidRPr="00200AF8" w:rsidRDefault="00DE07ED" w:rsidP="00DE07ED">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200AF8">
        <w:rPr>
          <w:rFonts w:ascii="Times New Roman" w:eastAsia="Times New Roman" w:hAnsi="Times New Roman" w:cs="Times New Roman"/>
          <w:b/>
          <w:bCs/>
          <w:color w:val="FF0000"/>
          <w:sz w:val="36"/>
          <w:szCs w:val="36"/>
        </w:rPr>
        <w:lastRenderedPageBreak/>
        <w:t>Phần 2 – So sánh hai cách dự báo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3091"/>
        <w:gridCol w:w="4415"/>
      </w:tblGrid>
      <w:tr w:rsidR="00DE07ED" w:rsidRPr="00DE07ED" w:rsidTr="00DE07ED">
        <w:trPr>
          <w:tblCellSpacing w:w="15" w:type="dxa"/>
        </w:trPr>
        <w:tc>
          <w:tcPr>
            <w:tcW w:w="0" w:type="auto"/>
            <w:vAlign w:val="center"/>
            <w:hideMark/>
          </w:tcPr>
          <w:p w:rsidR="00DE07ED" w:rsidRPr="00DE07ED" w:rsidRDefault="00DE07ED" w:rsidP="00DE07ED">
            <w:pPr>
              <w:spacing w:before="100" w:beforeAutospacing="1" w:after="100" w:afterAutospacing="1" w:line="240" w:lineRule="auto"/>
              <w:jc w:val="center"/>
              <w:rPr>
                <w:rFonts w:ascii="Times New Roman" w:eastAsia="Times New Roman" w:hAnsi="Times New Roman" w:cs="Times New Roman"/>
                <w:b/>
                <w:bCs/>
                <w:sz w:val="24"/>
                <w:szCs w:val="24"/>
              </w:rPr>
            </w:pPr>
            <w:r w:rsidRPr="00DE07ED">
              <w:rPr>
                <w:rFonts w:ascii="Times New Roman" w:eastAsia="Times New Roman" w:hAnsi="Times New Roman" w:cs="Times New Roman"/>
                <w:b/>
                <w:bCs/>
                <w:sz w:val="24"/>
                <w:szCs w:val="24"/>
              </w:rPr>
              <w:t>Tiêu chí</w:t>
            </w:r>
          </w:p>
        </w:tc>
        <w:tc>
          <w:tcPr>
            <w:tcW w:w="0" w:type="auto"/>
            <w:vAlign w:val="center"/>
            <w:hideMark/>
          </w:tcPr>
          <w:p w:rsidR="00DE07ED" w:rsidRPr="00DE07ED" w:rsidRDefault="00DE07ED" w:rsidP="00DE07ED">
            <w:pPr>
              <w:spacing w:before="100" w:beforeAutospacing="1" w:after="100" w:afterAutospacing="1" w:line="240" w:lineRule="auto"/>
              <w:jc w:val="center"/>
              <w:rPr>
                <w:rFonts w:ascii="Times New Roman" w:eastAsia="Times New Roman" w:hAnsi="Times New Roman" w:cs="Times New Roman"/>
                <w:b/>
                <w:bCs/>
                <w:sz w:val="24"/>
                <w:szCs w:val="24"/>
              </w:rPr>
            </w:pPr>
            <w:r w:rsidRPr="00DE07ED">
              <w:rPr>
                <w:rFonts w:ascii="Times New Roman" w:eastAsia="Times New Roman" w:hAnsi="Times New Roman" w:cs="Times New Roman"/>
                <w:b/>
                <w:bCs/>
                <w:sz w:val="24"/>
                <w:szCs w:val="24"/>
              </w:rPr>
              <w:t>Cách 1: Dựa vào Velocity Range</w:t>
            </w:r>
          </w:p>
        </w:tc>
        <w:tc>
          <w:tcPr>
            <w:tcW w:w="0" w:type="auto"/>
            <w:vAlign w:val="center"/>
            <w:hideMark/>
          </w:tcPr>
          <w:p w:rsidR="00DE07ED" w:rsidRPr="00DE07ED" w:rsidRDefault="00DE07ED" w:rsidP="00DE07ED">
            <w:pPr>
              <w:spacing w:before="100" w:beforeAutospacing="1" w:after="100" w:afterAutospacing="1" w:line="240" w:lineRule="auto"/>
              <w:jc w:val="center"/>
              <w:rPr>
                <w:rFonts w:ascii="Times New Roman" w:eastAsia="Times New Roman" w:hAnsi="Times New Roman" w:cs="Times New Roman"/>
                <w:b/>
                <w:bCs/>
                <w:sz w:val="24"/>
                <w:szCs w:val="24"/>
              </w:rPr>
            </w:pPr>
            <w:r w:rsidRPr="00DE07ED">
              <w:rPr>
                <w:rFonts w:ascii="Times New Roman" w:eastAsia="Times New Roman" w:hAnsi="Times New Roman" w:cs="Times New Roman"/>
                <w:b/>
                <w:bCs/>
                <w:sz w:val="24"/>
                <w:szCs w:val="24"/>
              </w:rPr>
              <w:t>Cách 2: Điều chỉnh theo Capacity</w:t>
            </w:r>
          </w:p>
        </w:tc>
      </w:tr>
      <w:tr w:rsidR="00DE07ED" w:rsidRPr="00DE07ED" w:rsidTr="00DE07ED">
        <w:trPr>
          <w:tblCellSpacing w:w="15" w:type="dxa"/>
        </w:trPr>
        <w:tc>
          <w:tcPr>
            <w:tcW w:w="0" w:type="auto"/>
            <w:vAlign w:val="center"/>
            <w:hideMark/>
          </w:tcPr>
          <w:p w:rsidR="00DE07ED" w:rsidRPr="00DE07ED" w:rsidRDefault="00DE07ED" w:rsidP="00DE07ED">
            <w:p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Phản ánh thay đổi Capacity</w:t>
            </w:r>
          </w:p>
        </w:tc>
        <w:tc>
          <w:tcPr>
            <w:tcW w:w="0" w:type="auto"/>
            <w:vAlign w:val="center"/>
            <w:hideMark/>
          </w:tcPr>
          <w:p w:rsidR="00DE07ED" w:rsidRPr="00DE07ED" w:rsidRDefault="00DE07ED" w:rsidP="00DE07ED">
            <w:p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 Xét kết quả gần nhất và hoàn cảnh nhân sự của đội.</w:t>
            </w:r>
          </w:p>
        </w:tc>
        <w:tc>
          <w:tcPr>
            <w:tcW w:w="0" w:type="auto"/>
            <w:vAlign w:val="center"/>
            <w:hideMark/>
          </w:tcPr>
          <w:p w:rsidR="00DE07ED" w:rsidRPr="00DE07ED" w:rsidRDefault="00DE07ED" w:rsidP="00DE07ED">
            <w:p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 Có tính đến tỷ lệ Capacity giảm; (–) phép tính tuyến tính có thể không phản ánh đúng thực tế.</w:t>
            </w:r>
          </w:p>
        </w:tc>
      </w:tr>
      <w:tr w:rsidR="00DE07ED" w:rsidRPr="00DE07ED" w:rsidTr="00DE07ED">
        <w:trPr>
          <w:tblCellSpacing w:w="15" w:type="dxa"/>
        </w:trPr>
        <w:tc>
          <w:tcPr>
            <w:tcW w:w="0" w:type="auto"/>
            <w:vAlign w:val="center"/>
            <w:hideMark/>
          </w:tcPr>
          <w:p w:rsidR="00DE07ED" w:rsidRPr="00DE07ED" w:rsidRDefault="00DE07ED" w:rsidP="00DE07ED">
            <w:p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Bảo vệ Sprint Goal</w:t>
            </w:r>
          </w:p>
        </w:tc>
        <w:tc>
          <w:tcPr>
            <w:tcW w:w="0" w:type="auto"/>
            <w:vAlign w:val="center"/>
            <w:hideMark/>
          </w:tcPr>
          <w:p w:rsidR="00DE07ED" w:rsidRPr="00DE07ED" w:rsidRDefault="00DE07ED" w:rsidP="00DE07ED">
            <w:p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 Chọn 3 PBI cùng phục vụ mục tiêu Sprint.</w:t>
            </w:r>
          </w:p>
        </w:tc>
        <w:tc>
          <w:tcPr>
            <w:tcW w:w="0" w:type="auto"/>
            <w:vAlign w:val="center"/>
            <w:hideMark/>
          </w:tcPr>
          <w:p w:rsidR="00DE07ED" w:rsidRPr="00DE07ED" w:rsidRDefault="00DE07ED" w:rsidP="00DE07ED">
            <w:p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 Phải thêm PBI giao diện Tết để đạt 15 SP, khiến phạm vi kém tập trung hơn.</w:t>
            </w:r>
          </w:p>
        </w:tc>
      </w:tr>
      <w:tr w:rsidR="00DE07ED" w:rsidRPr="00DE07ED" w:rsidTr="00DE07ED">
        <w:trPr>
          <w:tblCellSpacing w:w="15" w:type="dxa"/>
        </w:trPr>
        <w:tc>
          <w:tcPr>
            <w:tcW w:w="0" w:type="auto"/>
            <w:vAlign w:val="center"/>
            <w:hideMark/>
          </w:tcPr>
          <w:p w:rsidR="00DE07ED" w:rsidRPr="00DE07ED" w:rsidRDefault="00DE07ED" w:rsidP="00DE07ED">
            <w:p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Dễ giải thích với Product Owner</w:t>
            </w:r>
          </w:p>
        </w:tc>
        <w:tc>
          <w:tcPr>
            <w:tcW w:w="0" w:type="auto"/>
            <w:vAlign w:val="center"/>
            <w:hideMark/>
          </w:tcPr>
          <w:p w:rsidR="00DE07ED" w:rsidRPr="00DE07ED" w:rsidRDefault="00DE07ED" w:rsidP="00DE07ED">
            <w:p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 Dễ giải thích bằng Velocity gần nhất và độ sẵn sàng của PBI.</w:t>
            </w:r>
          </w:p>
        </w:tc>
        <w:tc>
          <w:tcPr>
            <w:tcW w:w="0" w:type="auto"/>
            <w:vAlign w:val="center"/>
            <w:hideMark/>
          </w:tcPr>
          <w:p w:rsidR="00DE07ED" w:rsidRPr="00DE07ED" w:rsidRDefault="00DE07ED" w:rsidP="00DE07ED">
            <w:p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 Có công thức cụ thể; (–) cần giải thích đây không phải con số chắc chắn.</w:t>
            </w:r>
          </w:p>
        </w:tc>
      </w:tr>
    </w:tbl>
    <w:p w:rsidR="00DE07ED" w:rsidRPr="00200AF8" w:rsidRDefault="00DE07ED" w:rsidP="00DE07ED">
      <w:pPr>
        <w:spacing w:before="100" w:beforeAutospacing="1" w:after="100" w:afterAutospacing="1" w:line="240" w:lineRule="auto"/>
        <w:outlineLvl w:val="1"/>
        <w:rPr>
          <w:rFonts w:ascii="Times New Roman" w:eastAsia="Times New Roman" w:hAnsi="Times New Roman" w:cs="Times New Roman"/>
          <w:b/>
          <w:bCs/>
          <w:color w:val="FF0000"/>
          <w:sz w:val="36"/>
          <w:szCs w:val="36"/>
        </w:rPr>
      </w:pPr>
      <w:bookmarkStart w:id="0" w:name="_GoBack"/>
      <w:r w:rsidRPr="00200AF8">
        <w:rPr>
          <w:rFonts w:ascii="Times New Roman" w:eastAsia="Times New Roman" w:hAnsi="Times New Roman" w:cs="Times New Roman"/>
          <w:b/>
          <w:bCs/>
          <w:color w:val="FF0000"/>
          <w:sz w:val="36"/>
          <w:szCs w:val="36"/>
        </w:rPr>
        <w:t>Phần 3 – Lựa chọn phương án</w:t>
      </w:r>
    </w:p>
    <w:bookmarkEnd w:id="0"/>
    <w:p w:rsidR="00DE07ED" w:rsidRPr="00DE07ED" w:rsidRDefault="00DE07ED" w:rsidP="00DE07ED">
      <w:p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Tôi chọn Cách 1, dự báo ban đầu 13 SP.</w:t>
      </w:r>
    </w:p>
    <w:p w:rsidR="00DE07ED" w:rsidRPr="00DE07ED" w:rsidRDefault="00DE07ED" w:rsidP="00DE07ED">
      <w:p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Sprint Goal đề xuất: Giúp khách chủ động hơn khi chờ tài xế bằng cách đặt xe trước, nhận thông báo khi tài xế sắp đến và liên lạc được với tài xế.</w:t>
      </w:r>
    </w:p>
    <w:p w:rsidR="00DE07ED" w:rsidRPr="00DE07ED" w:rsidRDefault="00DE07ED" w:rsidP="00DE07ED">
      <w:p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Danh sách PBI mang vào Sprint Planning:</w:t>
      </w:r>
    </w:p>
    <w:p w:rsidR="00DE07ED" w:rsidRPr="00DE07ED" w:rsidRDefault="00DE07ED" w:rsidP="00DE07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Hẹn giờ đặt xe trước – 5 SP.</w:t>
      </w:r>
    </w:p>
    <w:p w:rsidR="00DE07ED" w:rsidRPr="00DE07ED" w:rsidRDefault="00DE07ED" w:rsidP="00DE07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Gửi SMS khi tài xế sắp đến – 3 SP.</w:t>
      </w:r>
    </w:p>
    <w:p w:rsidR="00DE07ED" w:rsidRPr="00DE07ED" w:rsidRDefault="00DE07ED" w:rsidP="00DE07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Chat với tài xế – 5 SP.</w:t>
      </w:r>
    </w:p>
    <w:p w:rsidR="00DE07ED" w:rsidRPr="00DE07ED" w:rsidRDefault="00DE07ED" w:rsidP="00DE07ED">
      <w:p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Tổng phạm vi dự kiến là 13 SP.</w:t>
      </w:r>
    </w:p>
    <w:p w:rsidR="00DE07ED" w:rsidRPr="00DE07ED" w:rsidRDefault="00DE07ED" w:rsidP="00DE07ED">
      <w:pPr>
        <w:spacing w:before="100" w:beforeAutospacing="1" w:after="100" w:afterAutospacing="1" w:line="240" w:lineRule="auto"/>
        <w:rPr>
          <w:rFonts w:ascii="Times New Roman" w:eastAsia="Times New Roman" w:hAnsi="Times New Roman" w:cs="Times New Roman"/>
          <w:sz w:val="24"/>
          <w:szCs w:val="24"/>
        </w:rPr>
      </w:pPr>
      <w:r w:rsidRPr="00DE07ED">
        <w:rPr>
          <w:rFonts w:ascii="Times New Roman" w:eastAsia="Times New Roman" w:hAnsi="Times New Roman" w:cs="Times New Roman"/>
          <w:sz w:val="24"/>
          <w:szCs w:val="24"/>
        </w:rPr>
        <w:t>PBI “Theo dõi vị trí tài xế trên bản đồ” có 13 SP nhưng chưa có Acceptance Criteria cho trường hợp mất tín hiệu GPS nên cần làm rõ trước khi đưa vào Sprint. PBI “Giao diện chủ đề Tết” chưa được chọn vì không trực tiếp phục vụ Sprint Goal hiện tại.</w:t>
      </w:r>
    </w:p>
    <w:p w:rsidR="00F339AD" w:rsidRDefault="00200AF8"/>
    <w:sectPr w:rsidR="00F33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5D5FCE"/>
    <w:multiLevelType w:val="multilevel"/>
    <w:tmpl w:val="4DE4B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A71BA8"/>
    <w:multiLevelType w:val="multilevel"/>
    <w:tmpl w:val="48D2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9340BC"/>
    <w:multiLevelType w:val="multilevel"/>
    <w:tmpl w:val="5214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7ED"/>
    <w:rsid w:val="00200AF8"/>
    <w:rsid w:val="00D42248"/>
    <w:rsid w:val="00DE07ED"/>
    <w:rsid w:val="00ED04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DE7A51-8A0C-4E35-8776-9759F3B45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E07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E07E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7E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E07E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E07E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5651716">
      <w:bodyDiv w:val="1"/>
      <w:marLeft w:val="0"/>
      <w:marRight w:val="0"/>
      <w:marTop w:val="0"/>
      <w:marBottom w:val="0"/>
      <w:divBdr>
        <w:top w:val="none" w:sz="0" w:space="0" w:color="auto"/>
        <w:left w:val="none" w:sz="0" w:space="0" w:color="auto"/>
        <w:bottom w:val="none" w:sz="0" w:space="0" w:color="auto"/>
        <w:right w:val="none" w:sz="0" w:space="0" w:color="auto"/>
      </w:divBdr>
      <w:divsChild>
        <w:div w:id="400445095">
          <w:marLeft w:val="0"/>
          <w:marRight w:val="0"/>
          <w:marTop w:val="0"/>
          <w:marBottom w:val="0"/>
          <w:divBdr>
            <w:top w:val="none" w:sz="0" w:space="0" w:color="auto"/>
            <w:left w:val="none" w:sz="0" w:space="0" w:color="auto"/>
            <w:bottom w:val="none" w:sz="0" w:space="0" w:color="auto"/>
            <w:right w:val="none" w:sz="0" w:space="0" w:color="auto"/>
          </w:divBdr>
          <w:divsChild>
            <w:div w:id="148254043">
              <w:marLeft w:val="0"/>
              <w:marRight w:val="0"/>
              <w:marTop w:val="0"/>
              <w:marBottom w:val="0"/>
              <w:divBdr>
                <w:top w:val="none" w:sz="0" w:space="0" w:color="auto"/>
                <w:left w:val="none" w:sz="0" w:space="0" w:color="auto"/>
                <w:bottom w:val="none" w:sz="0" w:space="0" w:color="auto"/>
                <w:right w:val="none" w:sz="0" w:space="0" w:color="auto"/>
              </w:divBdr>
            </w:div>
          </w:divsChild>
        </w:div>
        <w:div w:id="1219364823">
          <w:marLeft w:val="0"/>
          <w:marRight w:val="0"/>
          <w:marTop w:val="0"/>
          <w:marBottom w:val="0"/>
          <w:divBdr>
            <w:top w:val="none" w:sz="0" w:space="0" w:color="auto"/>
            <w:left w:val="none" w:sz="0" w:space="0" w:color="auto"/>
            <w:bottom w:val="none" w:sz="0" w:space="0" w:color="auto"/>
            <w:right w:val="none" w:sz="0" w:space="0" w:color="auto"/>
          </w:divBdr>
          <w:divsChild>
            <w:div w:id="180969654">
              <w:marLeft w:val="0"/>
              <w:marRight w:val="0"/>
              <w:marTop w:val="0"/>
              <w:marBottom w:val="0"/>
              <w:divBdr>
                <w:top w:val="none" w:sz="0" w:space="0" w:color="auto"/>
                <w:left w:val="none" w:sz="0" w:space="0" w:color="auto"/>
                <w:bottom w:val="none" w:sz="0" w:space="0" w:color="auto"/>
                <w:right w:val="none" w:sz="0" w:space="0" w:color="auto"/>
              </w:divBdr>
            </w:div>
          </w:divsChild>
        </w:div>
        <w:div w:id="1310089975">
          <w:marLeft w:val="0"/>
          <w:marRight w:val="0"/>
          <w:marTop w:val="0"/>
          <w:marBottom w:val="0"/>
          <w:divBdr>
            <w:top w:val="none" w:sz="0" w:space="0" w:color="auto"/>
            <w:left w:val="none" w:sz="0" w:space="0" w:color="auto"/>
            <w:bottom w:val="none" w:sz="0" w:space="0" w:color="auto"/>
            <w:right w:val="none" w:sz="0" w:space="0" w:color="auto"/>
          </w:divBdr>
          <w:divsChild>
            <w:div w:id="1205295362">
              <w:marLeft w:val="0"/>
              <w:marRight w:val="0"/>
              <w:marTop w:val="0"/>
              <w:marBottom w:val="0"/>
              <w:divBdr>
                <w:top w:val="none" w:sz="0" w:space="0" w:color="auto"/>
                <w:left w:val="none" w:sz="0" w:space="0" w:color="auto"/>
                <w:bottom w:val="none" w:sz="0" w:space="0" w:color="auto"/>
                <w:right w:val="none" w:sz="0" w:space="0" w:color="auto"/>
              </w:divBdr>
            </w:div>
          </w:divsChild>
        </w:div>
        <w:div w:id="1279532391">
          <w:marLeft w:val="0"/>
          <w:marRight w:val="0"/>
          <w:marTop w:val="0"/>
          <w:marBottom w:val="0"/>
          <w:divBdr>
            <w:top w:val="none" w:sz="0" w:space="0" w:color="auto"/>
            <w:left w:val="none" w:sz="0" w:space="0" w:color="auto"/>
            <w:bottom w:val="none" w:sz="0" w:space="0" w:color="auto"/>
            <w:right w:val="none" w:sz="0" w:space="0" w:color="auto"/>
          </w:divBdr>
          <w:divsChild>
            <w:div w:id="805852875">
              <w:marLeft w:val="0"/>
              <w:marRight w:val="0"/>
              <w:marTop w:val="0"/>
              <w:marBottom w:val="0"/>
              <w:divBdr>
                <w:top w:val="none" w:sz="0" w:space="0" w:color="auto"/>
                <w:left w:val="none" w:sz="0" w:space="0" w:color="auto"/>
                <w:bottom w:val="none" w:sz="0" w:space="0" w:color="auto"/>
                <w:right w:val="none" w:sz="0" w:space="0" w:color="auto"/>
              </w:divBdr>
            </w:div>
          </w:divsChild>
        </w:div>
        <w:div w:id="1521895213">
          <w:marLeft w:val="0"/>
          <w:marRight w:val="0"/>
          <w:marTop w:val="0"/>
          <w:marBottom w:val="0"/>
          <w:divBdr>
            <w:top w:val="none" w:sz="0" w:space="0" w:color="auto"/>
            <w:left w:val="none" w:sz="0" w:space="0" w:color="auto"/>
            <w:bottom w:val="none" w:sz="0" w:space="0" w:color="auto"/>
            <w:right w:val="none" w:sz="0" w:space="0" w:color="auto"/>
          </w:divBdr>
          <w:divsChild>
            <w:div w:id="147140587">
              <w:marLeft w:val="0"/>
              <w:marRight w:val="0"/>
              <w:marTop w:val="0"/>
              <w:marBottom w:val="0"/>
              <w:divBdr>
                <w:top w:val="none" w:sz="0" w:space="0" w:color="auto"/>
                <w:left w:val="none" w:sz="0" w:space="0" w:color="auto"/>
                <w:bottom w:val="none" w:sz="0" w:space="0" w:color="auto"/>
                <w:right w:val="none" w:sz="0" w:space="0" w:color="auto"/>
              </w:divBdr>
            </w:div>
          </w:divsChild>
        </w:div>
        <w:div w:id="651718017">
          <w:marLeft w:val="0"/>
          <w:marRight w:val="0"/>
          <w:marTop w:val="0"/>
          <w:marBottom w:val="0"/>
          <w:divBdr>
            <w:top w:val="none" w:sz="0" w:space="0" w:color="auto"/>
            <w:left w:val="none" w:sz="0" w:space="0" w:color="auto"/>
            <w:bottom w:val="none" w:sz="0" w:space="0" w:color="auto"/>
            <w:right w:val="none" w:sz="0" w:space="0" w:color="auto"/>
          </w:divBdr>
          <w:divsChild>
            <w:div w:id="660277473">
              <w:marLeft w:val="0"/>
              <w:marRight w:val="0"/>
              <w:marTop w:val="0"/>
              <w:marBottom w:val="0"/>
              <w:divBdr>
                <w:top w:val="none" w:sz="0" w:space="0" w:color="auto"/>
                <w:left w:val="none" w:sz="0" w:space="0" w:color="auto"/>
                <w:bottom w:val="none" w:sz="0" w:space="0" w:color="auto"/>
                <w:right w:val="none" w:sz="0" w:space="0" w:color="auto"/>
              </w:divBdr>
            </w:div>
          </w:divsChild>
        </w:div>
        <w:div w:id="1212886972">
          <w:marLeft w:val="0"/>
          <w:marRight w:val="0"/>
          <w:marTop w:val="0"/>
          <w:marBottom w:val="0"/>
          <w:divBdr>
            <w:top w:val="none" w:sz="0" w:space="0" w:color="auto"/>
            <w:left w:val="none" w:sz="0" w:space="0" w:color="auto"/>
            <w:bottom w:val="none" w:sz="0" w:space="0" w:color="auto"/>
            <w:right w:val="none" w:sz="0" w:space="0" w:color="auto"/>
          </w:divBdr>
          <w:divsChild>
            <w:div w:id="446200372">
              <w:marLeft w:val="0"/>
              <w:marRight w:val="0"/>
              <w:marTop w:val="0"/>
              <w:marBottom w:val="0"/>
              <w:divBdr>
                <w:top w:val="none" w:sz="0" w:space="0" w:color="auto"/>
                <w:left w:val="none" w:sz="0" w:space="0" w:color="auto"/>
                <w:bottom w:val="none" w:sz="0" w:space="0" w:color="auto"/>
                <w:right w:val="none" w:sz="0" w:space="0" w:color="auto"/>
              </w:divBdr>
            </w:div>
          </w:divsChild>
        </w:div>
        <w:div w:id="241763763">
          <w:marLeft w:val="0"/>
          <w:marRight w:val="0"/>
          <w:marTop w:val="0"/>
          <w:marBottom w:val="0"/>
          <w:divBdr>
            <w:top w:val="none" w:sz="0" w:space="0" w:color="auto"/>
            <w:left w:val="none" w:sz="0" w:space="0" w:color="auto"/>
            <w:bottom w:val="none" w:sz="0" w:space="0" w:color="auto"/>
            <w:right w:val="none" w:sz="0" w:space="0" w:color="auto"/>
          </w:divBdr>
        </w:div>
        <w:div w:id="850996389">
          <w:marLeft w:val="0"/>
          <w:marRight w:val="0"/>
          <w:marTop w:val="0"/>
          <w:marBottom w:val="0"/>
          <w:divBdr>
            <w:top w:val="none" w:sz="0" w:space="0" w:color="auto"/>
            <w:left w:val="none" w:sz="0" w:space="0" w:color="auto"/>
            <w:bottom w:val="none" w:sz="0" w:space="0" w:color="auto"/>
            <w:right w:val="none" w:sz="0" w:space="0" w:color="auto"/>
          </w:divBdr>
          <w:divsChild>
            <w:div w:id="1280331512">
              <w:marLeft w:val="0"/>
              <w:marRight w:val="0"/>
              <w:marTop w:val="0"/>
              <w:marBottom w:val="0"/>
              <w:divBdr>
                <w:top w:val="none" w:sz="0" w:space="0" w:color="auto"/>
                <w:left w:val="none" w:sz="0" w:space="0" w:color="auto"/>
                <w:bottom w:val="none" w:sz="0" w:space="0" w:color="auto"/>
                <w:right w:val="none" w:sz="0" w:space="0" w:color="auto"/>
              </w:divBdr>
            </w:div>
          </w:divsChild>
        </w:div>
        <w:div w:id="522019354">
          <w:marLeft w:val="0"/>
          <w:marRight w:val="0"/>
          <w:marTop w:val="0"/>
          <w:marBottom w:val="0"/>
          <w:divBdr>
            <w:top w:val="none" w:sz="0" w:space="0" w:color="auto"/>
            <w:left w:val="none" w:sz="0" w:space="0" w:color="auto"/>
            <w:bottom w:val="none" w:sz="0" w:space="0" w:color="auto"/>
            <w:right w:val="none" w:sz="0" w:space="0" w:color="auto"/>
          </w:divBdr>
          <w:divsChild>
            <w:div w:id="984357817">
              <w:marLeft w:val="0"/>
              <w:marRight w:val="0"/>
              <w:marTop w:val="0"/>
              <w:marBottom w:val="0"/>
              <w:divBdr>
                <w:top w:val="none" w:sz="0" w:space="0" w:color="auto"/>
                <w:left w:val="none" w:sz="0" w:space="0" w:color="auto"/>
                <w:bottom w:val="none" w:sz="0" w:space="0" w:color="auto"/>
                <w:right w:val="none" w:sz="0" w:space="0" w:color="auto"/>
              </w:divBdr>
            </w:div>
          </w:divsChild>
        </w:div>
        <w:div w:id="1463767583">
          <w:marLeft w:val="0"/>
          <w:marRight w:val="0"/>
          <w:marTop w:val="0"/>
          <w:marBottom w:val="0"/>
          <w:divBdr>
            <w:top w:val="none" w:sz="0" w:space="0" w:color="auto"/>
            <w:left w:val="none" w:sz="0" w:space="0" w:color="auto"/>
            <w:bottom w:val="none" w:sz="0" w:space="0" w:color="auto"/>
            <w:right w:val="none" w:sz="0" w:space="0" w:color="auto"/>
          </w:divBdr>
          <w:divsChild>
            <w:div w:id="72517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365</Words>
  <Characters>2086</Characters>
  <Application>Microsoft Office Word</Application>
  <DocSecurity>0</DocSecurity>
  <Lines>17</Lines>
  <Paragraphs>4</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BÀI 4: CHỌN CÁCH DỰ BÁO PHẠM VI CHO SPRINT 6</vt:lpstr>
      <vt:lpstr>    Phần 1 – Đề xuất hai cách dự báo</vt:lpstr>
      <vt:lpstr>    Phần 2 – So sánh hai cách dự báo</vt:lpstr>
      <vt:lpstr>    Phần 3 – Lựa chọn phương án</vt:lpstr>
    </vt:vector>
  </TitlesOfParts>
  <Company>Microsoft</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2026-10-16T19:39:00Z</dcterms:created>
  <dcterms:modified xsi:type="dcterms:W3CDTF">2026-10-16T19:50:00Z</dcterms:modified>
</cp:coreProperties>
</file>