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Xem thông báo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Xem danh sách thông báo cá nhân/hệ thống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tra cứu và theo dõi thông tin liên quan đến danh sách thông báo cá nhân/hệ thống.</w:t>
      </w:r>
    </w:p>
    <w:p>
      <w:r>
        <w:rPr>
          <w:b/>
        </w:rPr>
        <w:t xml:space="preserve">Tiền điều kiện: </w:t>
      </w:r>
      <w:r>
        <w:t>Thành viên (User)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truy cập vào trang/chức năng 'Xem danh sách thông báo cá nhân/hệ thống'.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p>
      <w:pPr>
        <w:pStyle w:val="Heading1"/>
      </w:pPr>
      <w:r>
        <w:t>2. Use Case: Đánh dấu đã đọc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thực hiện chức năng Đánh dấu đã đọc.</w:t>
      </w:r>
    </w:p>
    <w:p>
      <w:r>
        <w:rPr>
          <w:b/>
        </w:rPr>
        <w:t xml:space="preserve">Tiền điều kiện: </w:t>
      </w:r>
      <w:r>
        <w:t>Thành viên (User)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Đánh dấu đã đọc.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chức năng 'Đánh dấu đã đọc'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Thành viên (User)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