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Gói VIP &amp; Giao dịch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Thêm/Sửa gói VIP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tạo mới dữ liệu (/Sửa gói VIP) vào hệ thống.</w:t>
      </w:r>
    </w:p>
    <w:p>
      <w:r>
        <w:rPr>
          <w:b/>
        </w:rPr>
        <w:t xml:space="preserve">Tiền điều kiện: </w:t>
      </w:r>
      <w:r>
        <w:t>Quản trị viên (Admin) đã đăng nhập và có quyền truy cập chức năng này.</w:t>
      </w:r>
    </w:p>
    <w:p>
      <w:r>
        <w:rPr>
          <w:b/>
        </w:rPr>
        <w:t xml:space="preserve">Hậu điều kiện: </w:t>
      </w:r>
      <w:r>
        <w:t>Dữ liệu mới được lưu thành công vào cơ sở dữ liệu.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chọn chức năng 'Thêm/Sửa gói VIP'.</w:t>
      </w:r>
    </w:p>
    <w:p>
      <w:pPr>
        <w:pStyle w:val="ListNumber"/>
      </w:pPr>
      <w:r>
        <w:t>2. Hệ thống hiển thị biểu mẫu (form) nhập liệu.</w:t>
      </w:r>
    </w:p>
    <w:p>
      <w:pPr>
        <w:pStyle w:val="ListNumber"/>
      </w:pPr>
      <w:r>
        <w:t>3. Quản trị viên (Admin) điền đầy đủ các thông tin yêu cầu và nhấn nút Lưu/Xác nhận.</w:t>
      </w:r>
    </w:p>
    <w:p>
      <w:pPr>
        <w:pStyle w:val="ListNumber"/>
      </w:pPr>
      <w:r>
        <w:t>4. Hệ thống kiểm tra tính hợp lệ của dữ liệu (validation).</w:t>
      </w:r>
    </w:p>
    <w:p>
      <w:pPr>
        <w:pStyle w:val="ListNumber"/>
      </w:pPr>
      <w:r>
        <w:t>5. Hệ thống lưu dữ liệu vào cơ sở dữ liệu.</w:t>
      </w:r>
    </w:p>
    <w:p>
      <w:pPr>
        <w:pStyle w:val="ListNumber"/>
      </w:pPr>
      <w:r>
        <w:t>6. Hệ thống hiển thị thông báo thành công và làm mới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Dữ liệu không hợp lệ: Hệ thống bôi đỏ các trường sai, hiển thị thông báo và yêu cầu nhập lại.</w:t>
      </w:r>
    </w:p>
    <w:p>
      <w:r>
        <w:br/>
      </w:r>
    </w:p>
    <w:p>
      <w:pPr>
        <w:pStyle w:val="Heading1"/>
      </w:pPr>
      <w:r>
        <w:t>2. Use Case: Xem danh sách giao dịch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danh sách giao dịch.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danh sách giao dịch'.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p>
      <w:pPr>
        <w:pStyle w:val="Heading1"/>
      </w:pPr>
      <w:r>
        <w:t>3. Use Case: Xem thống kê doanh thu</w:t>
      </w:r>
    </w:p>
    <w:p>
      <w:r>
        <w:rPr>
          <w:b/>
        </w:rPr>
        <w:t xml:space="preserve">Tác nhân (Actor): </w:t>
      </w:r>
      <w:r>
        <w:t>Quản trị viên (Admin)</w:t>
      </w:r>
    </w:p>
    <w:p>
      <w:r>
        <w:rPr>
          <w:b/>
        </w:rPr>
        <w:t xml:space="preserve">Mục đích: </w:t>
      </w:r>
      <w:r>
        <w:t>Cho phép Quản trị viên (Admin) tra cứu và theo dõi thông tin liên quan đến thống kê doanh thu.</w:t>
      </w:r>
    </w:p>
    <w:p>
      <w:r>
        <w:rPr>
          <w:b/>
        </w:rPr>
        <w:t xml:space="preserve">Tiền điều kiện: </w:t>
      </w:r>
      <w:r>
        <w:t>Quản trị viên (Admin)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Quản trị viên (Admin) truy cập vào trang/chức năng 'Xem thống kê doanh thu'.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