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1100"/>
        <w:jc w:val="center"/>
      </w:pPr>
      <w:r>
        <w:rPr>
          <w:color w:val="000000"/>
        </w:rPr>
        <w:t>ĐẠI HỌC QUỐC GIA TP HỒ CHÍ MINH</w:t>
        <w:br/>
        <w:t>TRƯỜNG ĐẠI HỌC CÔNG NGHỆ THÔNG TIN</w:t>
      </w:r>
    </w:p>
    <w:p>
      <w:pPr>
        <w:spacing w:after="200"/>
        <w:jc w:val="center"/>
      </w:pPr>
      <w:r>
        <w:rPr>
          <w:color w:val="000000"/>
        </w:rPr>
        <w:t>BÁO CÁO ĐỒ ÁN MÔN HỌC</w:t>
      </w:r>
    </w:p>
    <w:p>
      <w:pPr>
        <w:spacing w:after="600"/>
        <w:jc w:val="center"/>
      </w:pPr>
      <w:r>
        <w:rPr>
          <w:color w:val="000000"/>
        </w:rPr>
        <w:t>CS221.F31.LT.TTNT</w:t>
        <w:br/>
        <w:t>Xử lý ngôn ngữ tự nhiên</w:t>
      </w:r>
    </w:p>
    <w:p>
      <w:pPr>
        <w:pStyle w:val="Title"/>
        <w:spacing w:after="480"/>
        <w:jc w:val="center"/>
      </w:pPr>
      <w:r>
        <w:rPr>
          <w:color w:val="000000"/>
        </w:rPr>
        <w:t>So sánh tóm tắt rút trích và tóm lược</w:t>
        <w:br/>
        <w:t>trên tin tức tiếng Việt</w:t>
      </w:r>
    </w:p>
    <w:p>
      <w:pPr>
        <w:spacing w:after="560"/>
        <w:jc w:val="center"/>
      </w:pPr>
      <w:r>
        <w:rPr>
          <w:color w:val="000000"/>
        </w:rPr>
        <w:t>Phương pháp rút trích và mô hình ViT5</w:t>
        <w:br/>
        <w:t>Đánh giá ROUGE và phân tích lỗi trên Vietnews</w:t>
      </w:r>
    </w:p>
    <w:p>
      <w:pPr>
        <w:spacing w:after="440"/>
        <w:jc w:val="center"/>
      </w:pPr>
      <w:r>
        <w:rPr>
          <w:color w:val="000000"/>
        </w:rPr>
        <w:t>Nhóm 14</w:t>
        <w:br/>
        <w:t>Nguyễn Trí Toàn    26410135</w:t>
        <w:br/>
        <w:t>Nguyễn Văn Thái    26410108</w:t>
        <w:br/>
        <w:t>Đỗ Quốc Hoàng    26410043</w:t>
      </w:r>
    </w:p>
    <w:p>
      <w:pPr>
        <w:spacing w:after="560"/>
        <w:jc w:val="center"/>
      </w:pPr>
      <w:r>
        <w:rPr>
          <w:color w:val="000000"/>
        </w:rPr>
        <w:t>Giảng viên hướng dẫn</w:t>
        <w:br/>
        <w:t>TS. Đặng Văn Thìn</w:t>
      </w:r>
    </w:p>
    <w:p>
      <w:pPr>
        <w:spacing w:after="200"/>
        <w:jc w:val="center"/>
      </w:pPr>
      <w:r>
        <w:rPr>
          <w:color w:val="000000"/>
          <w:sz w:val="18"/>
        </w:rPr>
        <w:t>github.com/hoangdq08/uit-vietnews-summarization</w:t>
      </w:r>
    </w:p>
    <w:p>
      <w:r>
        <w:rPr>
          <w:color w:val="000000"/>
        </w:rPr>
      </w:r>
    </w:p>
    <w:p>
      <w:pPr>
        <w:pStyle w:val="Heading1"/>
        <w:pageBreakBefore/>
      </w:pPr>
      <w:r>
        <w:rPr>
          <w:color w:val="000000"/>
        </w:rPr>
        <w:t>1 Tóm tắt</w:t>
      </w:r>
    </w:p>
    <w:p>
      <w:pPr>
        <w:keepLines/>
        <w:widowControl/>
        <w:jc w:val="left"/>
      </w:pPr>
      <w:r>
        <w:rPr>
          <w:color w:val="000000"/>
        </w:rPr>
        <w:t>Báo cáo so sánh phương pháp rút trích Lead-n, TextRank và mô hình tóm lược ViT5 trên 500 bài đầu của tập kiểm thử Vietnews. Nhóm sử dụng checkpoint có sẵn, không huấn luyện thêm. Sau khi chuẩn hóa dấu gạch dưới, ViT5 đạt ROUGE-1 F1 trung bình 0,2784, so với 0,2719 của Lead-1, 0,2569 của Lead-3 và 0,2499 của TextRank. Phân tích định tính trên 100 bài đầu ghi nhận ít nhất 25 bài có lỗi nội dung hoặc biến dạng thực thể. Thí nghiệm thay dấu gạch dưới bằng khoảng trắng ở đầu vào tăng ROUGE-1 lên 0,3124, nhưng chưa chứng minh độ chính xác về sự kiện tốt hơn. Kết quả cho thấy cần kết hợp điểm ROUGE với đối chiếu bản tóm tắt và thân bài.</w:t>
      </w:r>
    </w:p>
    <w:p>
      <w:pPr>
        <w:pStyle w:val="Heading1"/>
      </w:pPr>
      <w:r>
        <w:rPr>
          <w:color w:val="000000"/>
        </w:rPr>
        <w:t>2 Đặt vấn đề</w:t>
      </w:r>
    </w:p>
    <w:p>
      <w:pPr>
        <w:keepLines/>
        <w:widowControl/>
        <w:jc w:val="left"/>
      </w:pPr>
      <w:r>
        <w:rPr>
          <w:color w:val="000000"/>
        </w:rPr>
        <w:t>Tóm tắt tin tức giúp người đọc nắm nội dung chính của bài báo. Hai hướng phổ biến là rút trích, chọn câu có sẵn trong văn bản, và tóm lược, sinh văn bản mới. Đồ án đặt ra hai câu hỏi: các phương pháp đạt mức trùng khớp với tóm tắt tham chiếu như thế nào, và những lỗi nội dung nào còn xuất hiện khi đối chiếu với thân bài?</w:t>
      </w:r>
    </w:p>
    <w:p>
      <w:pPr>
        <w:keepLines/>
        <w:widowControl/>
        <w:jc w:val="left"/>
      </w:pPr>
      <w:r>
        <w:rPr>
          <w:color w:val="000000"/>
        </w:rPr>
        <w:t>Phạm vi của đồ án là tóm tắt đơn văn bản trên dữ liệu công bố. Nhóm triển khai các phương pháp rút trích, chạy suy luận bằng checkpoint ViT5 và xây dựng demo so sánh. Đồ án không xây dựng mô hình mới hoặc thu thập thêm bài báo.</w:t>
      </w:r>
    </w:p>
    <w:p>
      <w:pPr>
        <w:pStyle w:val="Heading1"/>
      </w:pPr>
      <w:r>
        <w:rPr>
          <w:color w:val="000000"/>
        </w:rPr>
        <w:t>3 Bài toán</w:t>
      </w:r>
    </w:p>
    <w:p>
      <w:pPr>
        <w:keepLines/>
        <w:widowControl/>
        <w:jc w:val="left"/>
      </w:pPr>
      <w:r>
        <w:rPr>
          <w:color w:val="000000"/>
        </w:rPr>
        <w:t>Đầu vào là thân bài tiếng Việt đã tách từ, trong đó dấu gạch dưới nối các âm tiết của một từ. Tiêu đề phục vụ nhận diện bài, không đưa vào mô hình.</w:t>
      </w:r>
    </w:p>
    <w:p>
      <w:pPr>
        <w:keepLines/>
        <w:widowControl/>
        <w:jc w:val="left"/>
      </w:pPr>
      <w:r>
        <w:rPr>
          <w:color w:val="000000"/>
        </w:rPr>
        <w:t>Đầu ra là bản tóm tắt ngắn. Lead-3 và TextRank chọn tối đa ba câu; ViT5 sinh văn bản mới. Trên mẫu 500 bài, nhóm đánh giá thêm Lead-1 và Lead-5.</w:t>
      </w:r>
    </w:p>
    <w:p>
      <w:pPr>
        <w:keepLines/>
        <w:widowControl/>
        <w:jc w:val="left"/>
      </w:pPr>
      <w:r>
        <w:rPr>
          <w:color w:val="000000"/>
        </w:rPr>
        <w:t>Tóm tắt tham chiếu (gold) là trường abstract, tương ứng sapo của bài báo. Các hệ dùng thân bài để tạo tóm tắt; gold chỉ phục vụ chấm điểm, ngoại trừ Oracle được dùng làm mốc tham chiếu sử dụng đáp án.</w:t>
      </w:r>
    </w:p>
    <w:p>
      <w:pPr>
        <w:keepLines/>
        <w:widowControl/>
        <w:jc w:val="left"/>
      </w:pPr>
      <w:r>
        <w:rPr>
          <w:color w:val="000000"/>
        </w:rPr>
        <w:t>Đánh giá sử dụng ROUGE-1, ROUGE-2 và ROUGE-L F1, tính trên cùng danh sách bài trong từng mẫu. Độ chính xác về sự kiện được xem xét riêng bằng đối chiếu nội dung với thân bài.</w:t>
      </w:r>
    </w:p>
    <w:p>
      <w:pPr>
        <w:pStyle w:val="Heading1"/>
      </w:pPr>
      <w:r>
        <w:rPr>
          <w:color w:val="000000"/>
        </w:rPr>
        <w:t>4 Dữ liệu</w:t>
      </w:r>
    </w:p>
    <w:p>
      <w:pPr>
        <w:keepLines/>
        <w:widowControl/>
        <w:jc w:val="left"/>
      </w:pPr>
      <w:r>
        <w:rPr>
          <w:color w:val="000000"/>
        </w:rPr>
        <w:t>Dữ liệu lấy từ kho Vietnews [1], thư mục data/test_tokenized. Mỗi file gồm tiêu đề, abstract và thân bài, phân cách bằng dòng trống. Mẫu chính gồm 500 file theo thứ tự tên từ 000001.txt.seg đến 000500.txt.seg; 100 bài đầu là tập con dùng cho phân tích độ dài và lỗi. Nhóm giữ nguyên split và cách tách từ của corpus. Vì mẫu lấy theo thứ tự tên file, kết quả không đại diện cho một mẫu ngẫu nhiên của toàn bộ Vietnews.</w:t>
      </w:r>
    </w:p>
    <w:p>
      <w:pPr>
        <w:pStyle w:val="Heading1"/>
        <w:pageBreakBefore/>
      </w:pPr>
      <w:r>
        <w:rPr>
          <w:color w:val="000000"/>
        </w:rPr>
        <w:t>5 Phương pháp</w:t>
      </w:r>
    </w:p>
    <w:p>
      <w:pPr>
        <w:keepLines/>
        <w:widowControl/>
        <w:jc w:val="left"/>
      </w:pPr>
      <w:r>
        <w:rPr>
          <w:color w:val="000000"/>
        </w:rPr>
        <w:t>Tiền xử lý đọc các phần của file rồi nối các dòng đến dấu kết thúc câu (. ! ?). Các đoạn này phục vụ Lead-n và TextRank; ViT5 nhận toàn bộ thân bài. Đây là cách tách câu theo quy tắc, có thể coi tên viết tắt là biên câu và giữ cả chú thích ảnh. Ở bài 000051, ba đoạn đầu chỉ giới thiệu gia đình, nên Lead-3 chưa nêu vụ nổ micro.</w:t>
      </w:r>
    </w:p>
    <w:p>
      <w:pPr>
        <w:pStyle w:val="Heading2"/>
      </w:pPr>
      <w:r>
        <w:rPr>
          <w:color w:val="000000"/>
        </w:rPr>
        <w:t>5.1 Phương pháp Lead</w:t>
      </w:r>
    </w:p>
    <w:p>
      <w:pPr>
        <w:keepLines/>
        <w:widowControl/>
        <w:jc w:val="left"/>
      </w:pPr>
      <w:r>
        <w:rPr>
          <w:color w:val="000000"/>
        </w:rPr>
        <w:t>Lead-n lấy tối đa n câu đầu thân bài và giữ thứ tự gốc. Mẫu 100 bài dùng Lead-3; mẫu 500 bài đánh giá n bằng 1, 3 và 5. Phương pháp này không cần huấn luyện và cung cấp baseline để so sánh với các hệ phức tạp hơn.</w:t>
      </w:r>
    </w:p>
    <w:p>
      <w:pPr>
        <w:pStyle w:val="Heading2"/>
      </w:pPr>
      <w:r>
        <w:rPr>
          <w:color w:val="000000"/>
        </w:rPr>
        <w:t>5.2 TextRank</w:t>
      </w:r>
    </w:p>
    <w:p>
      <w:pPr>
        <w:keepLines/>
        <w:widowControl/>
        <w:jc w:val="left"/>
      </w:pPr>
      <w:r>
        <w:rPr>
          <w:color w:val="000000"/>
        </w:rPr>
        <w:t>TextRank [4] xếp hạng câu trên đồ thị. Trong triển khai của đồ án, mỗi câu là một vector TF-IDF được xây dựng trong chính bài đó. Độ tương đồng cosine tạo trọng số cạnh; PageRank chạy 40 vòng với hệ số damping 0,85. Hệ chọn tối đa ba câu có điểm cao nhất, rồi sắp lại theo thứ tự xuất hiện. Điểm được làm tròn 14 chữ số thập phân khi xếp hạng; câu bằng điểm được ưu tiên theo thứ tự xuất hiện. Đây là một cấu hình TextRank dùng TF-IDF, không phải phép tái lập toàn bộ thiết lập của bài báo gốc.</w:t>
      </w:r>
    </w:p>
    <w:p>
      <w:pPr>
        <w:pStyle w:val="Heading2"/>
      </w:pPr>
      <w:r>
        <w:rPr>
          <w:color w:val="000000"/>
        </w:rPr>
        <w:t>5.3 ViT5</w:t>
      </w:r>
    </w:p>
    <w:p>
      <w:pPr>
        <w:keepLines/>
        <w:widowControl/>
        <w:jc w:val="left"/>
      </w:pPr>
      <w:r>
        <w:rPr>
          <w:color w:val="000000"/>
        </w:rPr>
        <w:t>ViT5 là mô hình encoder-decoder theo kiến trúc T5 [2]. Nhóm dùng checkpoint VietAI/vit5-base-vietnews-summarization đã được tác giả fine-tune trên Vietnews [5], giữ nguyên trọng số. Thân bài giữ dấu gạch dưới, thêm &lt;/s&gt; và giới hạn đầu vào 1.024 token. Cấu hình sinh dùng greedy, num_beams=1, do_sample=False và max_length=256. Notebook baseline chạy trên một GPU Tesla T4 tại Kaggle, với transformers 4.44.2 và T5Tokenizer. Giới hạn token bao gồm các token đặc biệt, không tương đương số từ tiếng Việt.</w:t>
      </w:r>
    </w:p>
    <w:p>
      <w:pPr>
        <w:pStyle w:val="Heading2"/>
      </w:pPr>
      <w:r>
        <w:rPr>
          <w:color w:val="000000"/>
        </w:rPr>
        <w:t>5.4 ROUGE</w:t>
      </w:r>
    </w:p>
    <w:p>
      <w:pPr>
        <w:keepLines/>
        <w:widowControl/>
        <w:jc w:val="left"/>
      </w:pPr>
      <w:r>
        <w:t>Độ đo ROUGE được trình bày trong [3]. Đồ án dùng thư viện Python rouge-score, tính F1 cho từng bài rồi lấy trung bình trên mẫu. F1 là trung bình điều hòa của precision và recall. Prediction và gold đều thay dấu gạch dưới bằng khoảng trắng, sau đó tách theo khoảng trắng; không chuyển chữ thường, loại dấu câu hoặc stemming. ROUGE-1 đo trùng token đơn, ROUGE-2 đo trùng cặp token liên tiếp, ROUGE-L dùng dãy con chung dài nhất, không yêu cầu liên tiếp. ROUGE đánh giá mức trùng khớp với gold, không xác minh sự thật. Do chưa xác nhận cùng tokenizer và thiết lập, nhóm không so trực tiếp điểm này với bảng kết quả của bài báo ViT5.</w:t>
      </w:r>
    </w:p>
    <w:p>
      <w:pPr>
        <w:pStyle w:val="Heading2"/>
      </w:pPr>
      <w:r>
        <w:rPr>
          <w:color w:val="000000"/>
        </w:rPr>
        <w:t>5.5 Mốc tham chiếu Oracle</w:t>
      </w:r>
    </w:p>
    <w:p>
      <w:pPr>
        <w:keepLines/>
        <w:widowControl/>
        <w:jc w:val="left"/>
      </w:pPr>
      <w:r>
        <w:rPr>
          <w:color w:val="000000"/>
        </w:rPr>
        <w:t>Oracle-3 sử dụng gold để tìm tổ hợp ba câu có ROUGE-1 F1 cao nhất, rồi giữ thứ tự gốc. Bài có ít hơn ba câu thì lấy toàn bộ câu. Code chuyển sang lựa chọn greedy khi số tổ hợp vượt 30.000. Trong mẫu 500 bài, tối đa 39 câu tạo 9.139 tổ hợp nên chưa cần nhánh greedy. Oracle không phải hệ dùng thực tế hoặc trần cho mọi độ dài tóm tắt.</w:t>
      </w:r>
    </w:p>
    <w:p>
      <w:pPr>
        <w:pStyle w:val="Heading1"/>
        <w:pageBreakBefore/>
      </w:pPr>
      <w:r>
        <w:rPr>
          <w:color w:val="000000"/>
        </w:rPr>
        <w:t>6 Kết quả thực nghiệm</w:t>
      </w:r>
    </w:p>
    <w:p>
      <w:pPr>
        <w:pStyle w:val="Caption"/>
        <w:keepNext/>
        <w:keepLines/>
      </w:pPr>
      <w:r>
        <w:rPr>
          <w:color w:val="000000"/>
        </w:rPr>
        <w:t>Bảng 1  ROUGE F1 trung bình trên 100 bài đầu</w:t>
      </w:r>
    </w:p>
    <w:tbl>
      <w:tblPr>
        <w:tblW w:type="auto" w:w="0"/>
        <w:tblLayout w:type="fixed"/>
        <w:tblLook w:firstColumn="1" w:firstRow="1" w:lastColumn="0" w:lastRow="0" w:noHBand="0" w:noVBand="1" w:val="04A0"/>
      </w:tblPr>
      <w:tblGrid>
        <w:gridCol w:w="2754"/>
        <w:gridCol w:w="2295"/>
        <w:gridCol w:w="2295"/>
        <w:gridCol w:w="2295"/>
      </w:tblGrid>
      <w:tr>
        <w:trPr>
          <w:cantSplit/>
          <w:tblHeader/>
        </w:trPr>
        <w:tc>
          <w:tcPr>
            <w:tcW w:type="dxa" w:w="275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color w:val="000000"/>
                <w:sz w:val="20"/>
              </w:rPr>
              <w:t>Hệ</w:t>
            </w:r>
          </w:p>
        </w:tc>
        <w:tc>
          <w:tcPr>
            <w:tcW w:type="dxa" w:w="2295"/>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ROUGE-1</w:t>
            </w:r>
          </w:p>
        </w:tc>
        <w:tc>
          <w:tcPr>
            <w:tcW w:type="dxa" w:w="2295"/>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ROUGE-2</w:t>
            </w:r>
          </w:p>
        </w:tc>
        <w:tc>
          <w:tcPr>
            <w:tcW w:type="dxa" w:w="2295"/>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ROUGE-L</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val="0"/>
                <w:color w:val="000000"/>
                <w:sz w:val="20"/>
              </w:rPr>
              <w:t>Lead-3</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0,2507</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0,1296</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0,1841</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TextRank-3</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0,2428</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0,1100</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0,1730</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left"/>
            </w:pPr>
            <w:r>
              <w:rPr>
                <w:rFonts w:ascii="Arial" w:hAnsi="Arial"/>
                <w:b w:val="0"/>
                <w:color w:val="000000"/>
                <w:sz w:val="20"/>
              </w:rPr>
              <w:t>ViT5</w:t>
            </w:r>
          </w:p>
        </w:tc>
        <w:tc>
          <w:tcPr>
            <w:tcW w:type="dxa" w:w="2295"/>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0,2664</w:t>
            </w:r>
          </w:p>
        </w:tc>
        <w:tc>
          <w:tcPr>
            <w:tcW w:type="dxa" w:w="2295"/>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0,1341</w:t>
            </w:r>
          </w:p>
        </w:tc>
        <w:tc>
          <w:tcPr>
            <w:tcW w:type="dxa" w:w="2295"/>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0,2084</w:t>
            </w:r>
          </w:p>
        </w:tc>
      </w:tr>
    </w:tbl>
    <w:p>
      <w:pPr>
        <w:keepLines/>
        <w:widowControl/>
        <w:spacing w:after="40"/>
        <w:jc w:val="left"/>
      </w:pPr>
    </w:p>
    <w:p>
      <w:pPr>
        <w:keepLines/>
        <w:widowControl/>
        <w:jc w:val="left"/>
      </w:pPr>
      <w:r>
        <w:rPr>
          <w:color w:val="000000"/>
        </w:rPr>
        <w:t>Trên mẫu 100 bài, ViT5 cao hơn Lead-3 và TextRank ở cả ba độ đo. Lead-3 cao hơn TextRank. Vị trí ý chính ở đầu tin là một giả thuyết giải thích, chưa được kiểm chứng bằng thí nghiệm riêng. Các chênh lệch là mô tả của mẫu, chưa có kiểm định ý nghĩa thống kê.</w:t>
      </w:r>
    </w:p>
    <w:p>
      <w:pPr>
        <w:pStyle w:val="Heading2"/>
      </w:pPr>
      <w:r>
        <w:rPr>
          <w:color w:val="000000"/>
        </w:rPr>
        <w:t>6.1 Theo độ dài bài</w:t>
      </w:r>
    </w:p>
    <w:p>
      <w:pPr>
        <w:keepLines/>
        <w:widowControl/>
        <w:jc w:val="left"/>
      </w:pPr>
      <w:r>
        <w:rPr>
          <w:color w:val="000000"/>
        </w:rPr>
        <w:t>Độ dài được tính bằng số token cách trắng trong thân bài đã tách từ, trước khi thay dấu gạch dưới. Ngưỡng 300 và 500 làm tròn các phân vị 1/3 và 2/3 của mẫu 100 bài, lần lượt bằng 298 và 492. Cách đo này khác số token SentencePiece ở đầu vào ViT5. Điểm ROUGE vẫn dùng chuẩn hóa như bảng 1.</w:t>
      </w:r>
    </w:p>
    <w:p>
      <w:pPr>
        <w:pStyle w:val="Caption"/>
        <w:keepNext/>
        <w:keepLines/>
      </w:pPr>
      <w:r>
        <w:rPr>
          <w:color w:val="000000"/>
        </w:rPr>
        <w:t>Bảng 2  ROUGE-1 F1 theo độ dài thân bài trên 100 bài</w:t>
      </w:r>
    </w:p>
    <w:tbl>
      <w:tblPr>
        <w:tblW w:type="auto" w:w="0"/>
        <w:tblLayout w:type="fixed"/>
        <w:tblLook w:firstColumn="1" w:firstRow="1" w:lastColumn="0" w:lastRow="0" w:noHBand="0" w:noVBand="1" w:val="04A0"/>
      </w:tblPr>
      <w:tblGrid>
        <w:gridCol w:w="2605"/>
        <w:gridCol w:w="1172"/>
        <w:gridCol w:w="1954"/>
        <w:gridCol w:w="1954"/>
        <w:gridCol w:w="1954"/>
      </w:tblGrid>
      <w:tr>
        <w:trPr>
          <w:cantSplit/>
          <w:tblHeader/>
        </w:trPr>
        <w:tc>
          <w:tcPr>
            <w:tcW w:type="dxa" w:w="2605"/>
            <w:shd w:fill="EEEAE1"/>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color w:val="000000"/>
                <w:sz w:val="20"/>
              </w:rPr>
              <w:t>Nhóm độ dài</w:t>
            </w:r>
          </w:p>
        </w:tc>
        <w:tc>
          <w:tcPr>
            <w:tcW w:type="dxa" w:w="1172"/>
            <w:shd w:fill="EEEAE1"/>
            <w:tcBorders>
              <w:top w:val="single" w:sz="4" w:color="D4CEC2"/>
              <w:bottom w:val="single" w:sz="4" w:color="D4CEC2"/>
              <w:left w:val="single" w:sz="4" w:color="D4CEC2"/>
              <w:right w:val="single" w:sz="4" w:color="D4CEC2"/>
            </w:tcBorders>
            <w:vAlign w:val="center"/>
          </w:tcPr>
          <w:p>
            <w:pPr>
              <w:keepNext/>
              <w:keepLines/>
              <w:spacing w:line="259" w:lineRule="auto" w:before="60" w:after="60"/>
              <w:jc w:val="right"/>
            </w:pPr>
            <w:r>
              <w:rPr>
                <w:rFonts w:ascii="Arial" w:hAnsi="Arial"/>
                <w:b/>
                <w:color w:val="000000"/>
                <w:sz w:val="20"/>
              </w:rPr>
              <w:t>Số bài</w:t>
            </w:r>
          </w:p>
        </w:tc>
        <w:tc>
          <w:tcPr>
            <w:tcW w:type="dxa" w:w="195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Lead-3</w:t>
            </w:r>
          </w:p>
        </w:tc>
        <w:tc>
          <w:tcPr>
            <w:tcW w:type="dxa" w:w="195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TextRank</w:t>
            </w:r>
          </w:p>
        </w:tc>
        <w:tc>
          <w:tcPr>
            <w:tcW w:type="dxa" w:w="195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ViT5</w:t>
            </w:r>
          </w:p>
        </w:tc>
      </w:tr>
      <w:tr>
        <w:trPr>
          <w:cantSplit/>
        </w:trPr>
        <w:tc>
          <w:tcPr>
            <w:tcW w:type="dxa" w:w="2605"/>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Ngắn (&lt;300)</w:t>
            </w:r>
          </w:p>
        </w:tc>
        <w:tc>
          <w:tcPr>
            <w:tcW w:type="dxa" w:w="1172"/>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34</w:t>
            </w:r>
          </w:p>
        </w:tc>
        <w:tc>
          <w:tcPr>
            <w:tcW w:type="dxa" w:w="19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0,2581</w:t>
            </w:r>
          </w:p>
        </w:tc>
        <w:tc>
          <w:tcPr>
            <w:tcW w:type="dxa" w:w="19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0,2672</w:t>
            </w:r>
          </w:p>
        </w:tc>
        <w:tc>
          <w:tcPr>
            <w:tcW w:type="dxa" w:w="19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0,2919</w:t>
            </w:r>
          </w:p>
        </w:tc>
      </w:tr>
      <w:tr>
        <w:trPr>
          <w:cantSplit/>
        </w:trPr>
        <w:tc>
          <w:tcPr>
            <w:tcW w:type="dxa" w:w="2605"/>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Trung bình (300–499)</w:t>
            </w:r>
          </w:p>
        </w:tc>
        <w:tc>
          <w:tcPr>
            <w:tcW w:type="dxa" w:w="1172"/>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33</w:t>
            </w:r>
          </w:p>
        </w:tc>
        <w:tc>
          <w:tcPr>
            <w:tcW w:type="dxa" w:w="19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0,2638</w:t>
            </w:r>
          </w:p>
        </w:tc>
        <w:tc>
          <w:tcPr>
            <w:tcW w:type="dxa" w:w="19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0,2409</w:t>
            </w:r>
          </w:p>
        </w:tc>
        <w:tc>
          <w:tcPr>
            <w:tcW w:type="dxa" w:w="19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0,2549</w:t>
            </w:r>
          </w:p>
        </w:tc>
      </w:tr>
      <w:tr>
        <w:trPr>
          <w:cantSplit/>
        </w:trPr>
        <w:tc>
          <w:tcPr>
            <w:tcW w:type="dxa" w:w="2605"/>
            <w:shd w:fill="FFFFFF"/>
            <w:tcBorders>
              <w:top w:val="single" w:sz="4" w:color="D4CEC2"/>
              <w:bottom w:val="single" w:sz="4" w:color="D4CEC2"/>
              <w:left w:val="single" w:sz="4" w:color="D4CEC2"/>
              <w:right w:val="single" w:sz="4" w:color="D4CEC2"/>
            </w:tcBorders>
            <w:vAlign w:val="center"/>
          </w:tcPr>
          <w:p>
            <w:pPr>
              <w:keepNext w:val="0"/>
              <w:keepLines/>
              <w:spacing w:line="259" w:lineRule="auto" w:before="60" w:after="60"/>
              <w:jc w:val="left"/>
            </w:pPr>
            <w:r>
              <w:rPr>
                <w:rFonts w:ascii="Arial" w:hAnsi="Arial"/>
                <w:b w:val="0"/>
                <w:color w:val="000000"/>
                <w:sz w:val="20"/>
              </w:rPr>
              <w:t>Dài (≥500)</w:t>
            </w:r>
          </w:p>
        </w:tc>
        <w:tc>
          <w:tcPr>
            <w:tcW w:type="dxa" w:w="1172"/>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33</w:t>
            </w:r>
          </w:p>
        </w:tc>
        <w:tc>
          <w:tcPr>
            <w:tcW w:type="dxa" w:w="195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0,2298</w:t>
            </w:r>
          </w:p>
        </w:tc>
        <w:tc>
          <w:tcPr>
            <w:tcW w:type="dxa" w:w="195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0,2194</w:t>
            </w:r>
          </w:p>
        </w:tc>
        <w:tc>
          <w:tcPr>
            <w:tcW w:type="dxa" w:w="195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0,2519</w:t>
            </w:r>
          </w:p>
        </w:tc>
      </w:tr>
    </w:tbl>
    <w:p>
      <w:pPr>
        <w:keepLines/>
        <w:widowControl/>
        <w:spacing w:after="40"/>
        <w:jc w:val="left"/>
      </w:pPr>
    </w:p>
    <w:p>
      <w:pPr>
        <w:keepLines/>
        <w:widowControl/>
        <w:jc w:val="left"/>
      </w:pPr>
      <w:r>
        <w:rPr>
          <w:color w:val="000000"/>
        </w:rPr>
        <w:t>Về ROUGE-1, ViT5 cao nhất ở nhóm ngắn và dài; Lead-3 cao nhất ở nhóm trung bình. Điểm ROUGE-1 của cả ba hệ ở nhóm dài thấp hơn nhóm trung bình. Xu hướng này không áp dụng cho mọi độ đo: ROUGE-2 và ROUGE-L của ViT5 ở nhóm dài lại cao hơn nhóm trung bình. Các kết quả không xác định quan hệ nhân quả giữa độ dài và chất lượng tóm tắt.</w:t>
      </w:r>
    </w:p>
    <w:p>
      <w:pPr>
        <w:pStyle w:val="Heading2"/>
      </w:pPr>
      <w:r>
        <w:rPr>
          <w:color w:val="000000"/>
        </w:rPr>
        <w:t>6.2 Kết quả trên 500 bài</w:t>
      </w:r>
    </w:p>
    <w:p>
      <w:pPr>
        <w:keepLines/>
        <w:widowControl/>
        <w:jc w:val="left"/>
      </w:pPr>
      <w:r>
        <w:rPr>
          <w:color w:val="000000"/>
        </w:rPr>
        <w:t>Mẫu 500 bài chứa toàn bộ 100 bài của bảng 1; 100 prediction ViT5 đầu khớp kết quả đã lưu trước đó. Lead-1 đạt ROUGE-1 0,2719, cao hơn Lead-3 và Lead-5. ViT5 đạt 0,2784, chênh 0,0065 so với Lead-1. Oracle-3 đạt 0,4646, cho thấy còn khả năng chọn các câu phù hợp hơn khi được sử dụng gold. Chênh lệch này không phải bằng chứng rằng một hệ rút trích thực tế sẽ đạt điểm Oracle.</w:t>
      </w:r>
    </w:p>
    <w:p>
      <w:pPr>
        <w:pStyle w:val="Caption"/>
        <w:keepNext/>
        <w:keepLines/>
      </w:pPr>
      <w:r>
        <w:rPr>
          <w:color w:val="000000"/>
        </w:rPr>
        <w:t>Bảng 3  ROUGE F1 trung bình trên 500 bài đầu</w:t>
      </w:r>
    </w:p>
    <w:tbl>
      <w:tblPr>
        <w:tblW w:type="auto" w:w="0"/>
        <w:tblLayout w:type="fixed"/>
        <w:tblLook w:firstColumn="1" w:firstRow="1" w:lastColumn="0" w:lastRow="0" w:noHBand="0" w:noVBand="1" w:val="04A0"/>
      </w:tblPr>
      <w:tblGrid>
        <w:gridCol w:w="2754"/>
        <w:gridCol w:w="2295"/>
        <w:gridCol w:w="2295"/>
        <w:gridCol w:w="2295"/>
      </w:tblGrid>
      <w:tr>
        <w:trPr>
          <w:cantSplit/>
          <w:tblHeader/>
        </w:trPr>
        <w:tc>
          <w:tcPr>
            <w:tcW w:type="dxa" w:w="275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color w:val="000000"/>
                <w:sz w:val="20"/>
              </w:rPr>
              <w:t>Hệ</w:t>
            </w:r>
          </w:p>
        </w:tc>
        <w:tc>
          <w:tcPr>
            <w:tcW w:type="dxa" w:w="2295"/>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ROUGE-1</w:t>
            </w:r>
          </w:p>
        </w:tc>
        <w:tc>
          <w:tcPr>
            <w:tcW w:type="dxa" w:w="2295"/>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ROUGE-2</w:t>
            </w:r>
          </w:p>
        </w:tc>
        <w:tc>
          <w:tcPr>
            <w:tcW w:type="dxa" w:w="2295"/>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ROUGE-L</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val="0"/>
                <w:color w:val="000000"/>
                <w:sz w:val="20"/>
              </w:rPr>
              <w:t>Lead-1</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0,2719</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0,1305</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0,2092</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val="0"/>
                <w:color w:val="000000"/>
                <w:sz w:val="20"/>
              </w:rPr>
              <w:t>Lead-3</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0,2569</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0,1294</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0,1856</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val="0"/>
                <w:color w:val="000000"/>
                <w:sz w:val="20"/>
              </w:rPr>
              <w:t>Lead-5</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0,2256</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0,1199</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0,1624</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val="0"/>
                <w:color w:val="000000"/>
                <w:sz w:val="20"/>
              </w:rPr>
              <w:t>TextRank-3</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0,2499</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0,1198</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0,1815</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val="0"/>
                <w:color w:val="000000"/>
                <w:sz w:val="20"/>
              </w:rPr>
              <w:t>ViT5</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0,2784</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0,1474</w:t>
            </w:r>
          </w:p>
        </w:tc>
        <w:tc>
          <w:tcPr>
            <w:tcW w:type="dxa" w:w="2295"/>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0,2233</w:t>
            </w:r>
          </w:p>
        </w:tc>
      </w:tr>
      <w:tr>
        <w:trPr>
          <w:cantSplit/>
        </w:trPr>
        <w:tc>
          <w:tcPr>
            <w:tcW w:type="dxa" w:w="275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left"/>
            </w:pPr>
            <w:r>
              <w:rPr>
                <w:rFonts w:ascii="Arial" w:hAnsi="Arial"/>
                <w:b w:val="0"/>
                <w:color w:val="000000"/>
                <w:sz w:val="20"/>
              </w:rPr>
              <w:t>Oracle-3</w:t>
            </w:r>
          </w:p>
        </w:tc>
        <w:tc>
          <w:tcPr>
            <w:tcW w:type="dxa" w:w="2295"/>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0,4646</w:t>
            </w:r>
          </w:p>
        </w:tc>
        <w:tc>
          <w:tcPr>
            <w:tcW w:type="dxa" w:w="2295"/>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0,2793</w:t>
            </w:r>
          </w:p>
        </w:tc>
        <w:tc>
          <w:tcPr>
            <w:tcW w:type="dxa" w:w="2295"/>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0,3410</w:t>
            </w:r>
          </w:p>
        </w:tc>
      </w:tr>
    </w:tbl>
    <w:p>
      <w:pPr>
        <w:keepLines/>
        <w:widowControl/>
        <w:spacing w:after="40"/>
        <w:jc w:val="left"/>
      </w:pPr>
    </w:p>
    <w:p>
      <w:pPr>
        <w:pStyle w:val="Heading2"/>
        <w:pageBreakBefore/>
      </w:pPr>
      <w:r>
        <w:rPr>
          <w:color w:val="000000"/>
        </w:rPr>
        <w:t>6.3 Ảnh hưởng của đầu vào ViT5</w:t>
      </w:r>
    </w:p>
    <w:p>
      <w:pPr>
        <w:keepLines/>
        <w:widowControl/>
        <w:jc w:val="left"/>
      </w:pPr>
      <w:r>
        <w:rPr>
          <w:color w:val="000000"/>
        </w:rPr>
        <w:t>Thí nghiệm A/B giữ nguyên checkpoint và cấu hình sinh, chỉ thay dấu gạch dưới trong thân bài bằng khoảng trắng ở nhánh B. Hai nhánh chạy trên CPU float32 với seed 0; metadata lưu revision checkpoint và cấu hình. Trên cùng 500 bài, nhánh B tăng ROUGE và giảm số bài có đầu vào vượt 1.024 token. Đây là phân tích khám phá trên tập kiểm thử, chưa áp dụng vào pipeline chính.</w:t>
      </w:r>
    </w:p>
    <w:p>
      <w:pPr>
        <w:pStyle w:val="Caption"/>
        <w:keepNext/>
        <w:keepLines/>
      </w:pPr>
      <w:r>
        <w:rPr>
          <w:color w:val="000000"/>
        </w:rPr>
        <w:t>Bảng 4  A/B đầu vào ViT5 trên cùng 500 bài</w:t>
      </w:r>
    </w:p>
    <w:tbl>
      <w:tblPr>
        <w:tblW w:type="auto" w:w="0"/>
        <w:tblLayout w:type="fixed"/>
        <w:tblLook w:firstColumn="1" w:firstRow="1" w:lastColumn="0" w:lastRow="0" w:noHBand="0" w:noVBand="1" w:val="04A0"/>
      </w:tblPr>
      <w:tblGrid>
        <w:gridCol w:w="2494"/>
        <w:gridCol w:w="1644"/>
        <w:gridCol w:w="1644"/>
        <w:gridCol w:w="1644"/>
        <w:gridCol w:w="2211"/>
      </w:tblGrid>
      <w:tr>
        <w:trPr>
          <w:cantSplit/>
          <w:tblHeader/>
        </w:trPr>
        <w:tc>
          <w:tcPr>
            <w:tcW w:type="dxa" w:w="249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color w:val="000000"/>
                <w:sz w:val="20"/>
              </w:rPr>
              <w:t>Đầu vào</w:t>
            </w:r>
          </w:p>
        </w:tc>
        <w:tc>
          <w:tcPr>
            <w:tcW w:type="dxa" w:w="164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ROUGE-1</w:t>
            </w:r>
          </w:p>
        </w:tc>
        <w:tc>
          <w:tcPr>
            <w:tcW w:type="dxa" w:w="164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ROUGE-2</w:t>
            </w:r>
          </w:p>
        </w:tc>
        <w:tc>
          <w:tcPr>
            <w:tcW w:type="dxa" w:w="1644"/>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ROUGE-L</w:t>
            </w:r>
          </w:p>
        </w:tc>
        <w:tc>
          <w:tcPr>
            <w:tcW w:type="dxa" w:w="2211"/>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color w:val="000000"/>
                <w:sz w:val="20"/>
              </w:rPr>
              <w:t>Bài bị cắt</w:t>
            </w:r>
          </w:p>
        </w:tc>
      </w:tr>
      <w:tr>
        <w:trPr>
          <w:cantSplit/>
        </w:trPr>
        <w:tc>
          <w:tcPr>
            <w:tcW w:type="dxa" w:w="249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val="0"/>
                <w:color w:val="000000"/>
                <w:sz w:val="20"/>
              </w:rPr>
              <w:t>Giữ dấu _</w:t>
            </w:r>
          </w:p>
        </w:tc>
        <w:tc>
          <w:tcPr>
            <w:tcW w:type="dxa" w:w="164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0,2784</w:t>
            </w:r>
          </w:p>
        </w:tc>
        <w:tc>
          <w:tcPr>
            <w:tcW w:type="dxa" w:w="164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0,1474</w:t>
            </w:r>
          </w:p>
        </w:tc>
        <w:tc>
          <w:tcPr>
            <w:tcW w:type="dxa" w:w="1644"/>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0,2233</w:t>
            </w:r>
          </w:p>
        </w:tc>
        <w:tc>
          <w:tcPr>
            <w:tcW w:type="dxa" w:w="2211"/>
            <w:shd w:fill="FFFFFF"/>
            <w:tcBorders>
              <w:top w:val="single" w:sz="4" w:color="D4CEC2"/>
              <w:bottom w:val="single" w:sz="4" w:color="D4CEC2"/>
              <w:left w:val="single" w:sz="4" w:color="D4CEC2"/>
              <w:right w:val="single" w:sz="4" w:color="D4CEC2"/>
            </w:tcBorders>
            <w:vAlign w:val="center"/>
          </w:tcPr>
          <w:p>
            <w:pPr>
              <w:keepNext/>
              <w:keepLines/>
              <w:spacing w:after="60" w:before="60" w:line="259" w:lineRule="auto"/>
              <w:jc w:val="right"/>
            </w:pPr>
            <w:r>
              <w:rPr>
                <w:rFonts w:ascii="Arial" w:hAnsi="Arial"/>
                <w:b w:val="0"/>
                <w:color w:val="000000"/>
                <w:sz w:val="20"/>
              </w:rPr>
              <w:t>120/500</w:t>
            </w:r>
          </w:p>
        </w:tc>
      </w:tr>
      <w:tr>
        <w:trPr>
          <w:cantSplit/>
        </w:trPr>
        <w:tc>
          <w:tcPr>
            <w:tcW w:type="dxa" w:w="249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left"/>
            </w:pPr>
            <w:r>
              <w:rPr>
                <w:rFonts w:ascii="Arial" w:hAnsi="Arial"/>
                <w:b w:val="0"/>
                <w:color w:val="000000"/>
                <w:sz w:val="20"/>
              </w:rPr>
              <w:t>Khoảng trắng</w:t>
            </w:r>
          </w:p>
        </w:tc>
        <w:tc>
          <w:tcPr>
            <w:tcW w:type="dxa" w:w="164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0,3124</w:t>
            </w:r>
          </w:p>
        </w:tc>
        <w:tc>
          <w:tcPr>
            <w:tcW w:type="dxa" w:w="164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0,1796</w:t>
            </w:r>
          </w:p>
        </w:tc>
        <w:tc>
          <w:tcPr>
            <w:tcW w:type="dxa" w:w="1644"/>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0,2560</w:t>
            </w:r>
          </w:p>
        </w:tc>
        <w:tc>
          <w:tcPr>
            <w:tcW w:type="dxa" w:w="2211"/>
            <w:shd w:fill="FFFFFF"/>
            <w:tcBorders>
              <w:top w:val="single" w:sz="4" w:color="D4CEC2"/>
              <w:bottom w:val="single" w:sz="4" w:color="D4CEC2"/>
              <w:left w:val="single" w:sz="4" w:color="D4CEC2"/>
              <w:right w:val="single" w:sz="4" w:color="D4CEC2"/>
            </w:tcBorders>
            <w:vAlign w:val="center"/>
          </w:tcPr>
          <w:p>
            <w:pPr>
              <w:keepNext w:val="0"/>
              <w:keepLines/>
              <w:spacing w:after="60" w:before="60" w:line="259" w:lineRule="auto"/>
              <w:jc w:val="right"/>
            </w:pPr>
            <w:r>
              <w:rPr>
                <w:rFonts w:ascii="Arial" w:hAnsi="Arial"/>
                <w:b w:val="0"/>
                <w:color w:val="000000"/>
                <w:sz w:val="20"/>
              </w:rPr>
              <w:t>38/500</w:t>
            </w:r>
          </w:p>
        </w:tc>
      </w:tr>
    </w:tbl>
    <w:p>
      <w:pPr>
        <w:keepLines/>
        <w:widowControl/>
        <w:spacing w:after="40"/>
        <w:jc w:val="left"/>
      </w:pPr>
    </w:p>
    <w:p>
      <w:pPr>
        <w:keepLines/>
        <w:widowControl/>
        <w:jc w:val="left"/>
      </w:pPr>
      <w:r>
        <w:rPr>
          <w:color w:val="000000"/>
        </w:rPr>
        <w:t>Điểm tăng không chứng minh độ chính xác về sự kiện tốt hơn. Rà soát sơ bộ bằng AI trên 20 bài trong mẫu xác nhận 100 bài vẫn phát hiện nhánh B trộn sự kiện hoặc đảo vai người. Chưa có hai người chấm độc lập trên toàn mẫu. Mẫu 500 chứa các mẫu nhỏ trước đó, không phải tập kiểm chứng độc lập. Thiết kế, danh sách ID và kết quả nằm trong docs/VIT5_INPUT_AB.md và docs/VIT5_CONFIRM100.md.</w:t>
      </w:r>
    </w:p>
    <w:p>
      <w:pPr>
        <w:pStyle w:val="Heading1"/>
      </w:pPr>
      <w:r>
        <w:rPr>
          <w:color w:val="000000"/>
        </w:rPr>
        <w:t>7 Phân tích lỗi trên 100 bài</w:t>
      </w:r>
    </w:p>
    <w:p>
      <w:pPr>
        <w:keepLines/>
        <w:widowControl/>
        <w:jc w:val="left"/>
      </w:pPr>
      <w:r>
        <w:rPr>
          <w:color w:val="000000"/>
        </w:rPr>
        <w:t>Danh sách phân tích lỗi trên các bài 000001 đến 000100 ghi nhận ít nhất 25 bài ViT5 có chi tiết sai, không được thân bài hỗ trợ hoặc thực thể bị biến dạng. Bài 000051 được bổ sung sau khi đối chiếu lại: thân bài nêu con trai 3 tuổi, còn ViT5 sinh con gái 3 tuổi. Đây là phân tích định tính một lượt, chưa phải bộ nhãn do hai người chấm độc lập; không coi các bài còn lại là hoàn toàn đúng. Đối chiếu số đã phân loại 7 trường hợp sai hoặc gán nhầm số và 13 trường hợp sót số then chốt của gold. Nhóm báo riêng các hiện tượng này, không dùng 64 ứng viên do regex phát hiện lệch số làm tỷ lệ lỗi.</w:t>
      </w:r>
    </w:p>
    <w:p>
      <w:pPr>
        <w:pStyle w:val="Caption"/>
        <w:keepNext/>
        <w:keepLines/>
      </w:pPr>
      <w:r>
        <w:rPr>
          <w:color w:val="000000"/>
        </w:rPr>
        <w:t>Bảng 5  Ví dụ lỗi nội dung của ViT5</w:t>
      </w:r>
    </w:p>
    <w:tbl>
      <w:tblPr>
        <w:tblW w:type="auto" w:w="0"/>
        <w:tblLayout w:type="fixed"/>
        <w:tblLook w:firstColumn="1" w:firstRow="1" w:lastColumn="0" w:lastRow="0" w:noHBand="0" w:noVBand="1" w:val="04A0"/>
      </w:tblPr>
      <w:tblGrid>
        <w:gridCol w:w="1442"/>
        <w:gridCol w:w="3016"/>
        <w:gridCol w:w="3016"/>
        <w:gridCol w:w="2164"/>
      </w:tblGrid>
      <w:tr>
        <w:trPr>
          <w:cantSplit/>
          <w:tblHeader/>
        </w:trPr>
        <w:tc>
          <w:tcPr>
            <w:tcW w:type="dxa" w:w="1442"/>
            <w:shd w:fill="EEEAE1"/>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color w:val="000000"/>
                <w:sz w:val="20"/>
              </w:rPr>
              <w:t>ID</w:t>
            </w:r>
          </w:p>
        </w:tc>
        <w:tc>
          <w:tcPr>
            <w:tcW w:type="dxa" w:w="3016"/>
            <w:shd w:fill="EEEAE1"/>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color w:val="000000"/>
                <w:sz w:val="20"/>
              </w:rPr>
              <w:t>Thông tin gốc</w:t>
            </w:r>
          </w:p>
        </w:tc>
        <w:tc>
          <w:tcPr>
            <w:tcW w:type="dxa" w:w="3016"/>
            <w:shd w:fill="EEEAE1"/>
            <w:tcBorders>
              <w:top w:val="single" w:sz="4" w:color="D4CEC2"/>
              <w:bottom w:val="single" w:sz="4" w:color="D4CEC2"/>
              <w:left w:val="single" w:sz="4" w:color="D4CEC2"/>
              <w:right w:val="single" w:sz="4" w:color="D4CEC2"/>
            </w:tcBorders>
            <w:vAlign w:val="center"/>
          </w:tcPr>
          <w:p>
            <w:pPr>
              <w:keepNext/>
              <w:keepLines/>
              <w:spacing w:after="60" w:before="60" w:line="259" w:lineRule="auto"/>
              <w:jc w:val="left"/>
            </w:pPr>
            <w:r>
              <w:rPr>
                <w:rFonts w:ascii="Arial" w:hAnsi="Arial"/>
                <w:b/>
                <w:color w:val="000000"/>
                <w:sz w:val="20"/>
              </w:rPr>
              <w:t>ViT5</w:t>
            </w:r>
          </w:p>
        </w:tc>
        <w:tc>
          <w:tcPr>
            <w:tcW w:type="dxa" w:w="2164"/>
            <w:shd w:fill="EEEAE1"/>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color w:val="000000"/>
                <w:sz w:val="20"/>
              </w:rPr>
              <w:t>Loại lỗi</w:t>
            </w:r>
          </w:p>
        </w:tc>
      </w:tr>
      <w:tr>
        <w:trPr>
          <w:cantSplit/>
        </w:trPr>
        <w:tc>
          <w:tcPr>
            <w:tcW w:type="dxa" w:w="1442"/>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000001</w:t>
            </w:r>
          </w:p>
        </w:tc>
        <w:tc>
          <w:tcPr>
            <w:tcW w:type="dxa" w:w="3016"/>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Gold: Hồ Xuân Huy, 12 năm tù. Thân bài gọi nhân vật là Huy.</w:t>
            </w:r>
          </w:p>
        </w:tc>
        <w:tc>
          <w:tcPr>
            <w:tcW w:type="dxa" w:w="3016"/>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Bùi Quang Huy, tức Vũ “nhôm”.</w:t>
            </w:r>
          </w:p>
        </w:tc>
        <w:tc>
          <w:tcPr>
            <w:tcW w:type="dxa" w:w="2164"/>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Tên không được thân bài hỗ trợ</w:t>
            </w:r>
          </w:p>
        </w:tc>
      </w:tr>
      <w:tr>
        <w:trPr>
          <w:cantSplit/>
        </w:trPr>
        <w:tc>
          <w:tcPr>
            <w:tcW w:type="dxa" w:w="1442"/>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000011</w:t>
            </w:r>
          </w:p>
        </w:tc>
        <w:tc>
          <w:tcPr>
            <w:tcW w:type="dxa" w:w="3016"/>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Thân bài: Tú thuê xe cẩu chở máy ủi rồi bán.</w:t>
            </w:r>
          </w:p>
        </w:tc>
        <w:tc>
          <w:tcPr>
            <w:tcW w:type="dxa" w:w="3016"/>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Tú trộm được xe bồn.</w:t>
            </w:r>
          </w:p>
        </w:tc>
        <w:tc>
          <w:tcPr>
            <w:tcW w:type="dxa" w:w="2164"/>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Đổi loại tài sản</w:t>
            </w:r>
          </w:p>
        </w:tc>
      </w:tr>
      <w:tr>
        <w:trPr>
          <w:cantSplit/>
        </w:trPr>
        <w:tc>
          <w:tcPr>
            <w:tcW w:type="dxa" w:w="1442"/>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000036</w:t>
            </w:r>
          </w:p>
        </w:tc>
        <w:tc>
          <w:tcPr>
            <w:tcW w:type="dxa" w:w="3016"/>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Thân bài: Nguyễn Văn Dương khai cho ông Vĩnh 27 tỷ đồng.</w:t>
            </w:r>
          </w:p>
        </w:tc>
        <w:tc>
          <w:tcPr>
            <w:tcW w:type="dxa" w:w="3016"/>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Ông Vĩnh khai cho ông Vĩnh 27 tỷ đồng.</w:t>
            </w:r>
          </w:p>
        </w:tc>
        <w:tc>
          <w:tcPr>
            <w:tcW w:type="dxa" w:w="2164"/>
            <w:shd w:fill="FFFFFF"/>
            <w:tcBorders>
              <w:top w:val="single" w:sz="4" w:color="D4CEC2"/>
              <w:bottom w:val="single" w:sz="4" w:color="D4CEC2"/>
              <w:left w:val="single" w:sz="4" w:color="D4CEC2"/>
              <w:right w:val="single" w:sz="4" w:color="D4CEC2"/>
            </w:tcBorders>
            <w:vAlign w:val="center"/>
          </w:tcPr>
          <w:p>
            <w:pPr>
              <w:keepNext/>
              <w:keepLines/>
              <w:spacing w:line="259" w:lineRule="auto" w:before="60" w:after="60"/>
              <w:jc w:val="left"/>
            </w:pPr>
            <w:r>
              <w:rPr>
                <w:rFonts w:ascii="Arial" w:hAnsi="Arial"/>
                <w:b w:val="0"/>
                <w:color w:val="000000"/>
                <w:sz w:val="20"/>
              </w:rPr>
              <w:t>Gán nhầm người khai</w:t>
            </w:r>
          </w:p>
        </w:tc>
      </w:tr>
      <w:tr>
        <w:trPr>
          <w:cantSplit/>
        </w:trPr>
        <w:tc>
          <w:tcPr>
            <w:tcW w:type="dxa" w:w="1442"/>
            <w:tcBorders>
              <w:top w:val="single" w:sz="4" w:color="D4CEC2"/>
              <w:bottom w:val="single" w:sz="4" w:color="D4CEC2"/>
              <w:left w:val="single" w:sz="4" w:color="D4CEC2"/>
              <w:right w:val="single" w:sz="4" w:color="D4CEC2"/>
            </w:tcBorders>
          </w:tcPr>
          <w:p>
            <w:pPr>
              <w:keepNext w:val="0"/>
              <w:keepLines/>
              <w:spacing w:line="259" w:lineRule="auto" w:before="60" w:after="60"/>
              <w:jc w:val="left"/>
            </w:pPr>
            <w:r>
              <w:rPr>
                <w:rFonts w:ascii="Arial" w:hAnsi="Arial"/>
                <w:b w:val="0"/>
                <w:color w:val="000000"/>
                <w:sz w:val="20"/>
              </w:rPr>
              <w:t>000051</w:t>
            </w:r>
          </w:p>
        </w:tc>
        <w:tc>
          <w:tcPr>
            <w:tcW w:type="dxa" w:w="3016"/>
            <w:tcBorders>
              <w:top w:val="single" w:sz="4" w:color="D4CEC2"/>
              <w:bottom w:val="single" w:sz="4" w:color="D4CEC2"/>
              <w:left w:val="single" w:sz="4" w:color="D4CEC2"/>
              <w:right w:val="single" w:sz="4" w:color="D4CEC2"/>
            </w:tcBorders>
          </w:tcPr>
          <w:p>
            <w:pPr>
              <w:keepNext w:val="0"/>
              <w:keepLines/>
              <w:spacing w:line="259" w:lineRule="auto" w:before="60" w:after="60"/>
              <w:jc w:val="left"/>
            </w:pPr>
            <w:r>
              <w:rPr>
                <w:rFonts w:ascii="Arial" w:hAnsi="Arial"/>
                <w:b w:val="0"/>
                <w:color w:val="000000"/>
                <w:sz w:val="20"/>
              </w:rPr>
              <w:t>Thân bài: con trai 3 tuổi bị bỏng trong vụ nổ micro.</w:t>
            </w:r>
          </w:p>
        </w:tc>
        <w:tc>
          <w:tcPr>
            <w:tcW w:type="dxa" w:w="3016"/>
            <w:tcBorders>
              <w:top w:val="single" w:sz="4" w:color="D4CEC2"/>
              <w:bottom w:val="single" w:sz="4" w:color="D4CEC2"/>
              <w:left w:val="single" w:sz="4" w:color="D4CEC2"/>
              <w:right w:val="single" w:sz="4" w:color="D4CEC2"/>
            </w:tcBorders>
          </w:tcPr>
          <w:p>
            <w:pPr>
              <w:keepNext w:val="0"/>
              <w:keepLines/>
              <w:spacing w:line="259" w:lineRule="auto" w:before="60" w:after="60"/>
              <w:jc w:val="left"/>
            </w:pPr>
            <w:r>
              <w:rPr>
                <w:rFonts w:ascii="Arial" w:hAnsi="Arial"/>
                <w:b w:val="0"/>
                <w:color w:val="000000"/>
                <w:sz w:val="20"/>
              </w:rPr>
              <w:t>Con gái 3 tuổi.</w:t>
            </w:r>
          </w:p>
        </w:tc>
        <w:tc>
          <w:tcPr>
            <w:tcW w:type="dxa" w:w="2164"/>
            <w:tcBorders>
              <w:top w:val="single" w:sz="4" w:color="D4CEC2"/>
              <w:bottom w:val="single" w:sz="4" w:color="D4CEC2"/>
              <w:left w:val="single" w:sz="4" w:color="D4CEC2"/>
              <w:right w:val="single" w:sz="4" w:color="D4CEC2"/>
            </w:tcBorders>
          </w:tcPr>
          <w:p>
            <w:pPr>
              <w:keepNext w:val="0"/>
              <w:keepLines/>
              <w:spacing w:line="259" w:lineRule="auto" w:before="60" w:after="60"/>
              <w:jc w:val="left"/>
            </w:pPr>
            <w:r>
              <w:rPr>
                <w:rFonts w:ascii="Arial" w:hAnsi="Arial"/>
                <w:b w:val="0"/>
                <w:color w:val="000000"/>
                <w:sz w:val="20"/>
              </w:rPr>
              <w:t>Đổi giới tính nhân vật</w:t>
            </w:r>
          </w:p>
        </w:tc>
      </w:tr>
    </w:tbl>
    <w:p>
      <w:pPr>
        <w:keepLines/>
        <w:widowControl/>
        <w:spacing w:after="40"/>
        <w:jc w:val="left"/>
      </w:pPr>
    </w:p>
    <w:p>
      <w:pPr>
        <w:keepLines/>
        <w:widowControl/>
        <w:jc w:val="left"/>
      </w:pPr>
      <w:r>
        <w:rPr>
          <w:color w:val="000000"/>
        </w:rPr>
        <w:t>Ở bài 000003, ViT5 thêm nhận định tích cực về chất lượng dung dịch trong một bài điều tra quảng cáo. Ở bài 000015, mô hình đảo vai người đâm và nạn nhân. Với bài 000066 gồm nhiều bản tin, các hệ có thể bỏ ý, lặp hoặc trộn sự kiện. Lead-3 và TextRank giữ câu từ nguồn nhưng vẫn có thể thiếu ngữ cảnh, lấy chú thích ảnh hoặc lệch trọng tâm của gold.</w:t>
      </w:r>
    </w:p>
    <w:p>
      <w:pPr>
        <w:keepLines/>
        <w:widowControl/>
        <w:jc w:val="left"/>
      </w:pPr>
      <w:r>
        <w:rPr>
          <w:color w:val="000000"/>
        </w:rPr>
        <w:t>Đối chiếu factuality phải dựa vào thân bài, không chỉ gold. Chẳng hạn ở bài 000001, tên đầy đủ và mức án nằm trong gold, còn thân bài chủ yếu gọi nhân vật là Huy. Vì gold có thể chứa thông tin không xuất hiện trong đầu vào, trùng gold và được thân bài hỗ trợ là hai tiêu chí cần phân biệt. Bằng chứng từng trường hợp nằm trong results/error_analysis.md và results/number_diff_verified.md.</w:t>
      </w:r>
    </w:p>
    <w:p>
      <w:pPr>
        <w:pStyle w:val="Heading1"/>
        <w:pageBreakBefore/>
      </w:pPr>
      <w:r>
        <w:rPr>
          <w:color w:val="000000"/>
        </w:rPr>
        <w:t>8 Demo</w:t>
      </w:r>
    </w:p>
    <w:p>
      <w:pPr>
        <w:keepLines/>
        <w:widowControl/>
        <w:jc w:val="left"/>
      </w:pPr>
      <w:r>
        <w:rPr>
          <w:color w:val="000000"/>
        </w:rPr>
        <w:t>Demo Gradio hiển thị Lead-3, TextRank và ViT5 trên cùng một trong 500 bài, kèm ROUGE từng bài. Lead-3 và TextRank tính trên CPU; ViT5 đọc output đã lưu trong results/preds_500.json, không chạy mô hình trực tiếp. Mục A/B cho phép đối chiếu hai cách chuẩn bị đầu vào và xem thân bài để kiểm chứng.</w:t>
      </w:r>
    </w:p>
    <w:p>
      <w:pPr>
        <w:keepLines/>
        <w:widowControl/>
        <w:jc w:val="left"/>
      </w:pPr>
      <w:r>
        <w:rPr>
          <w:color w:val="000000"/>
        </w:rPr>
        <w:t>Để chạy demo, build image bằng docker build -t vietnews-demo . rồi chạy docker run --rm -p 7860:7860 vietnews-demo. Truy cập http://127.0.0.1:7860. Image cần mạng khi build để tải dữ liệu; demo đọc các kết quả ViT5 đã có. Quy trình chi tiết và cách chạy Python nằm trong README.md.</w:t>
      </w:r>
    </w:p>
    <w:p>
      <w:pPr>
        <w:pStyle w:val="Heading1"/>
      </w:pPr>
      <w:r>
        <w:rPr>
          <w:color w:val="000000"/>
        </w:rPr>
        <w:t>9 Kết luận và hạn chế</w:t>
      </w:r>
    </w:p>
    <w:p>
      <w:pPr>
        <w:keepLines/>
        <w:widowControl/>
        <w:jc w:val="left"/>
      </w:pPr>
      <w:r>
        <w:rPr>
          <w:color w:val="000000"/>
        </w:rPr>
        <w:t>Trên mẫu 500 bài, ViT5 có ROUGE cao nhất trong các hệ thực tế đã đánh giá; Lead-1 là baseline mạnh. Phân tích định tính vẫn ghi nhận ít nhất 25 bài ViT5 có lỗi nội dung hoặc biến dạng thực thể trên 100 bài đầu. Vì vậy, điểm ROUGE cần đi kèm đối chiếu bản tóm tắt với nguồn. Rút trích giữ nguyên câu nhưng vẫn có thể bỏ ý hoặc làm mất ngữ cảnh.</w:t>
      </w:r>
    </w:p>
    <w:p>
      <w:pPr>
        <w:keepLines/>
        <w:widowControl/>
        <w:jc w:val="left"/>
      </w:pPr>
      <w:r>
        <w:rPr>
          <w:color w:val="000000"/>
        </w:rPr>
        <w:t>Kết quả có các giới hạn: mẫu không ngẫu nhiên; chưa kiểm định ý nghĩa thống kê; phân tích lỗi chưa có hai người chấm độc lập; chưa đo độ trễ đầu-cuối hoặc đánh giá khả năng khái quát sang miền khác. Cách tách câu theo dòng còn chịu ảnh hưởng của tên viết tắt và chú thích ảnh. Checkpoint được fine-tune trên Vietnews, nhưng thông tin này không tự chứng minh các bài test đã xuất hiện trong huấn luyện. Các bổ sung phù hợp là chuẩn hóa bộ nhãn lỗi, kiểm tra độ ổn định của chênh lệch ROUGE và thử phương pháp tách câu tốt hơn trên một tập đánh giá riêng.</w:t>
      </w:r>
    </w:p>
    <w:p>
      <w:pPr>
        <w:pStyle w:val="Heading1"/>
      </w:pPr>
      <w:r>
        <w:rPr>
          <w:color w:val="000000"/>
        </w:rPr>
        <w:t>10 Tài liệu tham khảo</w:t>
      </w:r>
    </w:p>
    <w:p>
      <w:pPr>
        <w:keepLines/>
        <w:widowControl/>
        <w:ind w:left="340" w:hanging="340"/>
        <w:jc w:val="left"/>
      </w:pPr>
      <w:r>
        <w:rPr>
          <w:color w:val="000000"/>
        </w:rPr>
        <w:t>[1] ThanhChinhBK. Vietnews dataset for Vietnamese summarization benchmark. https://github.com/ThanhChinhBK/vietnews</w:t>
      </w:r>
    </w:p>
    <w:p>
      <w:pPr>
        <w:keepLines/>
        <w:widowControl/>
        <w:ind w:left="340" w:hanging="340"/>
        <w:jc w:val="left"/>
      </w:pPr>
      <w:r>
        <w:rPr>
          <w:color w:val="000000"/>
        </w:rPr>
        <w:t>[2] Phan, L., Tran, H., Nguyen, H. và Trinh, T. H. (2022). ViT5: Pretrained Text-to-Text Transformer for Vietnamese Language Generation. NAACL Student Research Workshop, trang 136–142. https://aclanthology.org/2022.naacl-srw.18/</w:t>
      </w:r>
    </w:p>
    <w:p>
      <w:pPr>
        <w:keepLines/>
        <w:widowControl/>
        <w:ind w:left="340" w:hanging="340"/>
        <w:jc w:val="left"/>
      </w:pPr>
      <w:r>
        <w:rPr>
          <w:color w:val="000000"/>
        </w:rPr>
        <w:t>[3] Lin, C.-Y. (2004). ROUGE: A Package for Automatic Evaluation of Summaries. Text Summarization Branches Out, trang 74–81. https://aclanthology.org/W04-1013/</w:t>
      </w:r>
    </w:p>
    <w:p>
      <w:pPr>
        <w:keepLines/>
        <w:widowControl/>
        <w:ind w:left="340" w:hanging="340"/>
        <w:jc w:val="left"/>
      </w:pPr>
      <w:r>
        <w:rPr>
          <w:color w:val="000000"/>
        </w:rPr>
        <w:t>[4] Mihalcea, R. và Tarau, P. (2004). TextRank: Bringing Order into Text. EMNLP, trang 404–411. https://aclanthology.org/W04-3252/</w:t>
      </w:r>
    </w:p>
    <w:p>
      <w:pPr>
        <w:keepLines/>
        <w:widowControl/>
        <w:ind w:left="340" w:hanging="340"/>
        <w:jc w:val="left"/>
      </w:pPr>
      <w:r>
        <w:rPr>
          <w:color w:val="000000"/>
        </w:rPr>
        <w:t>[5] VietAI. Model card của vit5-base-vietnews-summarization. https://huggingface.co/VietAI/vit5-base-vietnews-summarization</w:t>
      </w:r>
    </w:p>
    <w:p>
      <w:pPr>
        <w:keepLines/>
        <w:widowControl/>
        <w:ind w:left="340" w:hanging="340"/>
        <w:jc w:val="left"/>
      </w:pPr>
      <w:r>
        <w:rPr>
          <w:color w:val="000000"/>
        </w:rPr>
        <w:t>[6] Nhóm 14. Mã nguồn và kết quả thực nghiệm. https://github.com/hoangdq08/uit-vietnews-summarization</w:t>
      </w:r>
    </w:p>
    <w:p>
      <w:pPr>
        <w:pStyle w:val="Caption"/>
        <w:keepNext w:val="0"/>
        <w:keepLines/>
      </w:pPr>
      <w:r>
        <w:rPr>
          <w:color w:val="000000"/>
        </w:rPr>
        <w:t>Tệp kết quả kèm báo cáo: results/scores.csv, scores_500.csv, preds.json, preds_500.json và error_analysis.md. Slide trình bày: slides/CS221-Vietnews-bao-ve.pptx.</w:t>
      </w:r>
    </w:p>
    <w:sectPr w:rsidR="00FC693F" w:rsidRPr="0006063C" w:rsidSect="00034616">
      <w:footerReference w:type="default" r:id="rId9"/>
      <w:pgSz w:w="11906" w:h="16838"/>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CS221 · Nhóm 14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after="14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sánh tóm tắt rút trích và tóm lược trên tin tức tiếng Việt</dc:title>
  <dc:subject>Đồ án CS221.F31.LT.TTNT</dc:subject>
  <dc:creator>Nhóm 14</dc:creator>
  <cp:keywords/>
  <dc:description/>
  <cp:lastModifiedBy>Nhóm 14</cp:lastModifiedBy>
  <cp:revision>1</cp:revision>
  <dcterms:created xsi:type="dcterms:W3CDTF">2026-10-13T11:15:55Z</dcterms:created>
  <dcterms:modified xsi:type="dcterms:W3CDTF">2026-10-13T14:19:42Z</dcterms:modified>
  <cp:category/>
</cp:coreProperties>
</file>