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rFonts w:ascii="Times New Roman" w:cs="Times New Roman" w:eastAsia="Times New Roman" w:hAnsi="Times New Roman"/>
          <w:b/>
          <w:bCs/>
          <w:sz w:val="24"/>
          <w:szCs w:val="24"/>
        </w:rPr>
        <w:t xml:space="preserve">QUỐC HỘI</w:t>
      </w:r>
    </w:p>
    <w:p>
      <w:pPr>
        <w:spacing w:after="0"/>
        <w:jc w:val="center"/>
      </w:pPr>
      <w:r>
        <w:rPr>
          <w:rFonts w:ascii="Times New Roman" w:cs="Times New Roman" w:eastAsia="Times New Roman" w:hAnsi="Times New Roman"/>
          <w:sz w:val="24"/>
          <w:szCs w:val="24"/>
        </w:rPr>
        <w:t xml:space="preserve">--------</w:t>
      </w:r>
    </w:p>
    <w:p>
      <w:pPr>
        <w:spacing w:after="240"/>
        <w:jc w:val="center"/>
      </w:pPr>
      <w:r>
        <w:rPr>
          <w:rFonts w:ascii="Times New Roman" w:cs="Times New Roman" w:eastAsia="Times New Roman" w:hAnsi="Times New Roman"/>
          <w:b/>
          <w:bCs/>
          <w:sz w:val="24"/>
          <w:szCs w:val="24"/>
        </w:rPr>
        <w:t xml:space="preserve">CỘNG HÒA XÃ HỘI CHỦ NGHĨA VIỆT NAM</w:t>
      </w:r>
    </w:p>
    <w:p>
      <w:pPr>
        <w:spacing w:after="0"/>
        <w:jc w:val="center"/>
      </w:pPr>
      <w:r>
        <w:rPr>
          <w:rFonts w:ascii="Times New Roman" w:cs="Times New Roman" w:eastAsia="Times New Roman" w:hAnsi="Times New Roman"/>
          <w:b/>
          <w:bCs/>
          <w:sz w:val="24"/>
          <w:szCs w:val="24"/>
        </w:rPr>
        <w:t xml:space="preserve">Độc lập - Tự do - Hạnh phúc</w:t>
      </w:r>
    </w:p>
    <w:p>
      <w:pPr>
        <w:spacing w:after="480"/>
        <w:jc w:val="center"/>
      </w:pPr>
      <w:r>
        <w:rPr>
          <w:rFonts w:ascii="Times New Roman" w:cs="Times New Roman" w:eastAsia="Times New Roman" w:hAnsi="Times New Roman"/>
          <w:sz w:val="24"/>
          <w:szCs w:val="24"/>
        </w:rPr>
        <w:t xml:space="preserve">---------------</w:t>
      </w:r>
    </w:p>
    <w:p>
      <w:pPr>
        <w:spacing w:after="120"/>
        <w:jc w:val="center"/>
      </w:pPr>
      <w:r>
        <w:rPr>
          <w:rFonts w:ascii="Times New Roman" w:cs="Times New Roman" w:eastAsia="Times New Roman" w:hAnsi="Times New Roman"/>
          <w:i/>
          <w:iCs/>
          <w:sz w:val="24"/>
          <w:szCs w:val="24"/>
        </w:rPr>
        <w:t xml:space="preserve">Luật số: 73/2021/QH14</w:t>
      </w:r>
    </w:p>
    <w:p>
      <w:pPr>
        <w:pStyle w:val="Heading1"/>
      </w:pPr>
      <w:r>
        <w:rPr>
          <w:rFonts w:ascii="Times New Roman" w:cs="Times New Roman" w:eastAsia="Times New Roman" w:hAnsi="Times New Roman"/>
          <w:b/>
          <w:bCs/>
          <w:caps/>
          <w:sz w:val="28"/>
          <w:szCs w:val="28"/>
        </w:rPr>
        <w:t xml:space="preserve">LUẬT PHÒNG, CHỐNG MA TÚY</w:t>
      </w:r>
    </w:p>
    <w:p>
      <w:pPr>
        <w:spacing w:after="480"/>
        <w:jc w:val="center"/>
      </w:pPr>
      <w:r>
        <w:rPr>
          <w:rFonts w:ascii="Times New Roman" w:cs="Times New Roman" w:eastAsia="Times New Roman" w:hAnsi="Times New Roman"/>
          <w:i/>
          <w:iCs/>
          <w:sz w:val="24"/>
          <w:szCs w:val="24"/>
        </w:rPr>
        <w:t xml:space="preserve">Căn cứ Hiến pháp nước Cộng hòa xã hội chủ nghĩa Việt Nam;</w:t>
      </w:r>
    </w:p>
    <w:p>
      <w:pPr>
        <w:spacing w:after="480"/>
        <w:jc w:val="center"/>
      </w:pPr>
      <w:r>
        <w:rPr>
          <w:rFonts w:ascii="Times New Roman" w:cs="Times New Roman" w:eastAsia="Times New Roman" w:hAnsi="Times New Roman"/>
          <w:i/>
          <w:iCs/>
          <w:sz w:val="24"/>
          <w:szCs w:val="24"/>
        </w:rPr>
        <w:t xml:space="preserve">Quốc hội ban hành Luật Phòng, chống ma túy.</w:t>
      </w:r>
    </w:p>
    <w:p>
      <w:pPr>
        <w:pStyle w:val="Heading1"/>
      </w:pPr>
      <w:r>
        <w:rPr>
          <w:rFonts w:ascii="Times New Roman" w:cs="Times New Roman" w:eastAsia="Times New Roman" w:hAnsi="Times New Roman"/>
          <w:b/>
          <w:bCs/>
          <w:sz w:val="26"/>
          <w:szCs w:val="26"/>
        </w:rPr>
        <w:t xml:space="preserve">Chương I</w:t>
      </w:r>
    </w:p>
    <w:p>
      <w:pPr>
        <w:pStyle w:val="Heading1"/>
      </w:pPr>
      <w:r>
        <w:rPr>
          <w:rFonts w:ascii="Times New Roman" w:cs="Times New Roman" w:eastAsia="Times New Roman" w:hAnsi="Times New Roman"/>
          <w:b/>
          <w:bCs/>
          <w:sz w:val="26"/>
          <w:szCs w:val="26"/>
        </w:rPr>
        <w:t xml:space="preserve">NHỮNG QUY ĐỊNH CHUNG</w:t>
      </w:r>
    </w:p>
    <w:p>
      <w:pPr>
        <w:pStyle w:val="Heading2"/>
      </w:pPr>
      <w:r>
        <w:rPr>
          <w:rFonts w:ascii="Times New Roman" w:cs="Times New Roman" w:eastAsia="Times New Roman" w:hAnsi="Times New Roman"/>
          <w:b/>
          <w:bCs/>
          <w:sz w:val="24"/>
          <w:szCs w:val="24"/>
        </w:rPr>
        <w:t xml:space="preserve">Điều 1. Phạm vi điều chỉnh</w:t>
      </w:r>
    </w:p>
    <w:p>
      <w:pPr>
        <w:spacing w:after="200"/>
        <w:ind w:firstLine="720"/>
      </w:pPr>
      <w:r>
        <w:rPr>
          <w:rFonts w:ascii="Times New Roman" w:cs="Times New Roman" w:eastAsia="Times New Roman" w:hAnsi="Times New Roman"/>
          <w:sz w:val="24"/>
          <w:szCs w:val="24"/>
        </w:rPr>
        <w:t xml:space="preserve">Luật này quy định về phòng, chống ma túy; quản lý người sử dụng trái phép chất ma túy; cai nghiện ma túy; trách nhiệm của cá nhân, gia đình, cơ quan, tổ chức trong phòng, chống ma túy; quản lý nhà nước và hợp tác quốc tế về phòng, chống ma túy.</w:t>
      </w:r>
    </w:p>
    <w:p>
      <w:pPr>
        <w:pStyle w:val="Heading2"/>
      </w:pPr>
      <w:r>
        <w:rPr>
          <w:rFonts w:ascii="Times New Roman" w:cs="Times New Roman" w:eastAsia="Times New Roman" w:hAnsi="Times New Roman"/>
          <w:b/>
          <w:bCs/>
          <w:sz w:val="24"/>
          <w:szCs w:val="24"/>
        </w:rPr>
        <w:t xml:space="preserve">Điều 2. Giải thích từ ngữ</w:t>
      </w:r>
    </w:p>
    <w:p>
      <w:pPr>
        <w:spacing w:after="120"/>
        <w:ind w:firstLine="720"/>
      </w:pPr>
      <w:r>
        <w:rPr>
          <w:rFonts w:ascii="Times New Roman" w:cs="Times New Roman" w:eastAsia="Times New Roman" w:hAnsi="Times New Roman"/>
          <w:sz w:val="24"/>
          <w:szCs w:val="24"/>
        </w:rPr>
        <w:t xml:space="preserve">Trong Luật này, các từ ngữ dưới đây được hiểu như sau:</w:t>
      </w:r>
    </w:p>
    <w:p>
      <w:pPr>
        <w:spacing w:after="120"/>
        <w:ind w:left="720"/>
      </w:pPr>
      <w:r>
        <w:rPr>
          <w:rFonts w:ascii="Times New Roman" w:cs="Times New Roman" w:eastAsia="Times New Roman" w:hAnsi="Times New Roman"/>
          <w:sz w:val="24"/>
          <w:szCs w:val="24"/>
        </w:rPr>
        <w:t xml:space="preserve">1. Chất ma túy là chất gây nghiện, chất hướng thần được quy định trong danh mục chất ma túy do Chính phủ ban hành.</w:t>
      </w:r>
    </w:p>
    <w:p>
      <w:pPr>
        <w:spacing w:after="120"/>
        <w:ind w:left="720"/>
      </w:pPr>
      <w:r>
        <w:rPr>
          <w:rFonts w:ascii="Times New Roman" w:cs="Times New Roman" w:eastAsia="Times New Roman" w:hAnsi="Times New Roman"/>
          <w:sz w:val="24"/>
          <w:szCs w:val="24"/>
        </w:rPr>
        <w:t xml:space="preserve">2. Chất gây nghiện là chất kích thích hoặc ức chế thần kinh, dễ gây tình trạng nghiện đối với người sử dụng.</w:t>
      </w:r>
    </w:p>
    <w:p>
      <w:pPr>
        <w:spacing w:after="120"/>
        <w:ind w:left="720"/>
      </w:pPr>
      <w:r>
        <w:rPr>
          <w:rFonts w:ascii="Times New Roman" w:cs="Times New Roman" w:eastAsia="Times New Roman" w:hAnsi="Times New Roman"/>
          <w:sz w:val="24"/>
          <w:szCs w:val="24"/>
        </w:rPr>
        <w:t xml:space="preserve">3. Chất hướng thần là chất kích thích, ức chế thần kinh hoặc gây ảo giác, nếu sử dụng nhiều lần có thể dẫn đến tình trạng nghiện đối với người sử dụng.</w:t>
      </w:r>
    </w:p>
    <w:p>
      <w:pPr>
        <w:spacing w:after="120"/>
        <w:ind w:left="720"/>
      </w:pPr>
      <w:r>
        <w:rPr>
          <w:rFonts w:ascii="Times New Roman" w:cs="Times New Roman" w:eastAsia="Times New Roman" w:hAnsi="Times New Roman"/>
          <w:sz w:val="24"/>
          <w:szCs w:val="24"/>
        </w:rPr>
        <w:t xml:space="preserve">4. Tiền chất dùng vào việc sản xuất chất ma túy (sau đây gọi là tiền chất) là các hóa chất không thể thiếu được trong quá trình điều chế, sản xuất chất ma túy, được quy định trong danh mục tiền chất do Chính phủ ban hành.</w:t>
      </w:r>
    </w:p>
    <w:p>
      <w:pPr>
        <w:spacing w:after="120"/>
        <w:ind w:left="720"/>
      </w:pPr>
      <w:r>
        <w:rPr>
          <w:rFonts w:ascii="Times New Roman" w:cs="Times New Roman" w:eastAsia="Times New Roman" w:hAnsi="Times New Roman"/>
          <w:sz w:val="24"/>
          <w:szCs w:val="24"/>
        </w:rPr>
        <w:t xml:space="preserve">5. Thuốc gây nghiện là thuốc chứa chất gây nghiện dùng trong lĩnh vực y tế, được quy định trong danh mục thuốc gây nghiện do Bộ trưởng Bộ Y tế ban hành.</w:t>
      </w:r>
    </w:p>
    <w:p>
      <w:pPr>
        <w:spacing w:after="120"/>
        <w:ind w:left="720"/>
      </w:pPr>
      <w:r>
        <w:rPr>
          <w:rFonts w:ascii="Times New Roman" w:cs="Times New Roman" w:eastAsia="Times New Roman" w:hAnsi="Times New Roman"/>
          <w:sz w:val="24"/>
          <w:szCs w:val="24"/>
        </w:rPr>
        <w:t xml:space="preserve">6. Thuốc hướng thần là thuốc chứa chất hướng thần dùng trong lĩnh vực y tế, được quy định trong danh mục thuốc hướng thần do Bộ trưởng Bộ Y tế ban hành.</w:t>
      </w:r>
    </w:p>
    <w:p>
      <w:pPr>
        <w:spacing w:after="120"/>
        <w:ind w:left="720"/>
      </w:pPr>
      <w:r>
        <w:rPr>
          <w:rFonts w:ascii="Times New Roman" w:cs="Times New Roman" w:eastAsia="Times New Roman" w:hAnsi="Times New Roman"/>
          <w:sz w:val="24"/>
          <w:szCs w:val="24"/>
        </w:rPr>
        <w:t xml:space="preserve">7. Phòng, chống ma túy là phòng ngừa, ngăn chặn, đấu tranh chống tội phạm và tệ nạn ma túy; kiểm soát các hoạt động hợp pháp liên quan đến ma túy.</w:t>
      </w:r>
    </w:p>
    <w:p>
      <w:pPr>
        <w:spacing w:after="200"/>
        <w:ind w:left="720"/>
      </w:pPr>
      <w:r>
        <w:rPr>
          <w:rFonts w:ascii="Times New Roman" w:cs="Times New Roman" w:eastAsia="Times New Roman" w:hAnsi="Times New Roman"/>
          <w:sz w:val="24"/>
          <w:szCs w:val="24"/>
        </w:rPr>
        <w:t xml:space="preserve">8. Người nghiện ma túy là người sử dụng chất ma túy, thuốc gây nghiện, thuốc hướng thần và bị lệ thuộc vào các chất này.</w:t>
      </w:r>
    </w:p>
    <w:p>
      <w:pPr>
        <w:pStyle w:val="Heading2"/>
      </w:pPr>
      <w:r>
        <w:rPr>
          <w:rFonts w:ascii="Times New Roman" w:cs="Times New Roman" w:eastAsia="Times New Roman" w:hAnsi="Times New Roman"/>
          <w:b/>
          <w:bCs/>
          <w:sz w:val="24"/>
          <w:szCs w:val="24"/>
        </w:rPr>
        <w:t xml:space="preserve">Điều 3. Chính sách của Nhà nước về phòng, chống ma túy</w:t>
      </w:r>
    </w:p>
    <w:p>
      <w:pPr>
        <w:spacing w:after="120"/>
        <w:ind w:left="720"/>
      </w:pPr>
      <w:r>
        <w:rPr>
          <w:rFonts w:ascii="Times New Roman" w:cs="Times New Roman" w:eastAsia="Times New Roman" w:hAnsi="Times New Roman"/>
          <w:sz w:val="24"/>
          <w:szCs w:val="24"/>
        </w:rPr>
        <w:t xml:space="preserve">1. Thực hiện đồng bộ các biện pháp phòng, chống ma túy; kết hợp với phòng, chống HIV/AIDS và các tệ nạn xã hội khác.</w:t>
      </w:r>
    </w:p>
    <w:p>
      <w:pPr>
        <w:spacing w:after="120"/>
        <w:ind w:left="720"/>
      </w:pPr>
      <w:r>
        <w:rPr>
          <w:rFonts w:ascii="Times New Roman" w:cs="Times New Roman" w:eastAsia="Times New Roman" w:hAnsi="Times New Roman"/>
          <w:sz w:val="24"/>
          <w:szCs w:val="24"/>
        </w:rPr>
        <w:t xml:space="preserve">2. Tăng cường hoạt động tuyên truyền, giáo dục về công tác phòng, chống ma túy; khuyến khích tổ chức, cá nhân tham gia tuyên truyền, giáo dục phòng, chống ma túy.</w:t>
      </w:r>
    </w:p>
    <w:p>
      <w:pPr>
        <w:spacing w:after="120"/>
        <w:ind w:left="720"/>
      </w:pPr>
      <w:r>
        <w:rPr>
          <w:rFonts w:ascii="Times New Roman" w:cs="Times New Roman" w:eastAsia="Times New Roman" w:hAnsi="Times New Roman"/>
          <w:sz w:val="24"/>
          <w:szCs w:val="24"/>
        </w:rPr>
        <w:t xml:space="preserve">3. Khuyến khích, tạo điều kiện để tổ chức, cá nhân trong nước và ngoài nước tham gia phòng, chống ma túy.</w:t>
      </w:r>
    </w:p>
    <w:p>
      <w:pPr>
        <w:spacing w:after="120"/>
        <w:ind w:left="720"/>
      </w:pPr>
      <w:r>
        <w:rPr>
          <w:rFonts w:ascii="Times New Roman" w:cs="Times New Roman" w:eastAsia="Times New Roman" w:hAnsi="Times New Roman"/>
          <w:sz w:val="24"/>
          <w:szCs w:val="24"/>
        </w:rPr>
        <w:t xml:space="preserve">4. Bảo đảm ngân sách cho công tác phòng, chống ma túy.</w:t>
      </w:r>
    </w:p>
    <w:p>
      <w:pPr>
        <w:spacing w:after="200"/>
        <w:ind w:left="720"/>
      </w:pPr>
      <w:r>
        <w:rPr>
          <w:rFonts w:ascii="Times New Roman" w:cs="Times New Roman" w:eastAsia="Times New Roman" w:hAnsi="Times New Roman"/>
          <w:sz w:val="24"/>
          <w:szCs w:val="24"/>
        </w:rPr>
        <w:t xml:space="preserve">5. Thực hiện chính sách nhân đạo đối với người nghiện ma túy trong cai nghiện và quản lý sau cai nghiện ma túy; tôn trọng quyền và lợi ích hợp pháp của người cai nghiện ma túy; không kỳ thị, phân biệt đối xử với người đã cai nghiện ma túy; tạo điều kiện cho người đã cai nghiện ma túy tái hòa nhập cộng đồng.</w:t>
      </w:r>
    </w:p>
    <w:p>
      <w:pPr>
        <w:pStyle w:val="Heading2"/>
      </w:pPr>
      <w:r>
        <w:rPr>
          <w:rFonts w:ascii="Times New Roman" w:cs="Times New Roman" w:eastAsia="Times New Roman" w:hAnsi="Times New Roman"/>
          <w:b/>
          <w:bCs/>
          <w:sz w:val="24"/>
          <w:szCs w:val="24"/>
        </w:rPr>
        <w:t xml:space="preserve">Điều 5. Các hành vi bị nghiêm cấm</w:t>
      </w:r>
    </w:p>
    <w:p>
      <w:pPr>
        <w:spacing w:after="120"/>
        <w:ind w:left="720"/>
      </w:pPr>
      <w:r>
        <w:rPr>
          <w:rFonts w:ascii="Times New Roman" w:cs="Times New Roman" w:eastAsia="Times New Roman" w:hAnsi="Times New Roman"/>
          <w:sz w:val="24"/>
          <w:szCs w:val="24"/>
        </w:rPr>
        <w:t xml:space="preserve">1. Trồng cây có chứa chất ma túy, hướng dẫn trồng cây có chứa chất ma túy.</w:t>
      </w:r>
    </w:p>
    <w:p>
      <w:pPr>
        <w:spacing w:after="120"/>
        <w:ind w:left="720"/>
      </w:pPr>
      <w:r>
        <w:rPr>
          <w:rFonts w:ascii="Times New Roman" w:cs="Times New Roman" w:eastAsia="Times New Roman" w:hAnsi="Times New Roman"/>
          <w:sz w:val="24"/>
          <w:szCs w:val="24"/>
        </w:rPr>
        <w:t xml:space="preserve">2. Sản xuất, tàng trữ, vận chuyển, bảo quản, mua bán, phân phối, giám định, xử lý, trao đổi, xuất khẩu, nhập khẩu, quá cảnh, nghiên cứu trái phép hoặc chiếm đoạt chất ma túy, tiền chất, thuốc gây nghiện, thuốc hướng thần.</w:t>
      </w:r>
    </w:p>
    <w:p>
      <w:pPr>
        <w:spacing w:after="120"/>
        <w:ind w:left="720"/>
      </w:pPr>
      <w:r>
        <w:rPr>
          <w:rFonts w:ascii="Times New Roman" w:cs="Times New Roman" w:eastAsia="Times New Roman" w:hAnsi="Times New Roman"/>
          <w:sz w:val="24"/>
          <w:szCs w:val="24"/>
        </w:rPr>
        <w:t xml:space="preserve">3. Sử dụng, tổ chức sử dụng trái phép chất ma túy; xúi giục, cưỡng bức, lôi kéo, chứa chấp, tạo điều kiện cho việc sử dụng trái phép chất ma túy.</w:t>
      </w:r>
    </w:p>
    <w:p>
      <w:pPr>
        <w:spacing w:after="120"/>
        <w:ind w:left="720"/>
      </w:pPr>
      <w:r>
        <w:rPr>
          <w:rFonts w:ascii="Times New Roman" w:cs="Times New Roman" w:eastAsia="Times New Roman" w:hAnsi="Times New Roman"/>
          <w:sz w:val="24"/>
          <w:szCs w:val="24"/>
        </w:rPr>
        <w:t xml:space="preserve">4. Sản xuất, tàng trữ, vận chuyển, mua bán phương tiện, dụng cụ dùng vào việc sản xuất, sử dụng trái phép chất ma túy.</w:t>
      </w:r>
    </w:p>
    <w:p>
      <w:pPr>
        <w:spacing w:after="200"/>
        <w:ind w:left="720"/>
      </w:pPr>
      <w:r>
        <w:rPr>
          <w:rFonts w:ascii="Times New Roman" w:cs="Times New Roman" w:eastAsia="Times New Roman" w:hAnsi="Times New Roman"/>
          <w:sz w:val="24"/>
          <w:szCs w:val="24"/>
        </w:rPr>
        <w:t xml:space="preserve">5. Đưa trái phép chất ma túy, tiền chất vào lãnh thổ Việt Nam.</w:t>
      </w:r>
    </w:p>
    <w:p>
      <w:pPr>
        <w:pStyle w:val="Heading1"/>
      </w:pPr>
      <w:r>
        <w:rPr>
          <w:rFonts w:ascii="Times New Roman" w:cs="Times New Roman" w:eastAsia="Times New Roman" w:hAnsi="Times New Roman"/>
          <w:b/>
          <w:bCs/>
          <w:sz w:val="26"/>
          <w:szCs w:val="26"/>
        </w:rPr>
        <w:t xml:space="preserve">Chương II</w:t>
      </w:r>
    </w:p>
    <w:p>
      <w:pPr>
        <w:pStyle w:val="Heading1"/>
      </w:pPr>
      <w:r>
        <w:rPr>
          <w:rFonts w:ascii="Times New Roman" w:cs="Times New Roman" w:eastAsia="Times New Roman" w:hAnsi="Times New Roman"/>
          <w:b/>
          <w:bCs/>
          <w:sz w:val="26"/>
          <w:szCs w:val="26"/>
        </w:rPr>
        <w:t xml:space="preserve">PHÒNG NGỪA TỆ NẠN MA TÚY</w:t>
      </w:r>
    </w:p>
    <w:p>
      <w:pPr>
        <w:pStyle w:val="Heading2"/>
      </w:pPr>
      <w:r>
        <w:rPr>
          <w:rFonts w:ascii="Times New Roman" w:cs="Times New Roman" w:eastAsia="Times New Roman" w:hAnsi="Times New Roman"/>
          <w:b/>
          <w:bCs/>
          <w:sz w:val="24"/>
          <w:szCs w:val="24"/>
        </w:rPr>
        <w:t xml:space="preserve">Điều 11. Thông tin, tuyên truyền, giáo dục về phòng, chống ma túy</w:t>
      </w:r>
    </w:p>
    <w:p>
      <w:pPr>
        <w:spacing w:after="120"/>
        <w:ind w:firstLine="720"/>
      </w:pPr>
      <w:r>
        <w:rPr>
          <w:rFonts w:ascii="Times New Roman" w:cs="Times New Roman" w:eastAsia="Times New Roman" w:hAnsi="Times New Roman"/>
          <w:sz w:val="24"/>
          <w:szCs w:val="24"/>
        </w:rPr>
        <w:t xml:space="preserve">1. Nhà nước thực hiện thông tin, tuyên truyền, giáo dục về phòng, chống ma túy cho cán bộ, công chức, viên chức, chiến sĩ trong lực lượng vũ trang, học sinh, sinh viên và nhân dân.</w:t>
      </w:r>
    </w:p>
    <w:p>
      <w:pPr>
        <w:spacing w:after="200"/>
        <w:ind w:firstLine="720"/>
      </w:pPr>
      <w:r>
        <w:rPr>
          <w:rFonts w:ascii="Times New Roman" w:cs="Times New Roman" w:eastAsia="Times New Roman" w:hAnsi="Times New Roman"/>
          <w:sz w:val="24"/>
          <w:szCs w:val="24"/>
        </w:rPr>
        <w:t xml:space="preserve">2. Nội dung thông tin, tuyên truyền, giáo dục về phòng, chống ma túy bao gồm: tác hại của ma túy đối với sức khoẻ con người, gia đình, cộng đồng và xã hội; quy định của pháp luật về phòng, chống ma túy; các biện pháp cai nghiện ma túy.</w:t>
      </w:r>
    </w:p>
    <w:p>
      <w:pPr>
        <w:pStyle w:val="Heading1"/>
      </w:pPr>
      <w:r>
        <w:rPr>
          <w:rFonts w:ascii="Times New Roman" w:cs="Times New Roman" w:eastAsia="Times New Roman" w:hAnsi="Times New Roman"/>
          <w:b/>
          <w:bCs/>
          <w:sz w:val="26"/>
          <w:szCs w:val="26"/>
        </w:rPr>
        <w:t xml:space="preserve">Chương III</w:t>
      </w:r>
    </w:p>
    <w:p>
      <w:pPr>
        <w:pStyle w:val="Heading1"/>
      </w:pPr>
      <w:r>
        <w:rPr>
          <w:rFonts w:ascii="Times New Roman" w:cs="Times New Roman" w:eastAsia="Times New Roman" w:hAnsi="Times New Roman"/>
          <w:b/>
          <w:bCs/>
          <w:sz w:val="26"/>
          <w:szCs w:val="26"/>
        </w:rPr>
        <w:t xml:space="preserve">QUẢN LÝ NGƯỜI SỬ DỤNG TRÁI PHÉP CHẤT MA TÚY</w:t>
      </w:r>
    </w:p>
    <w:p>
      <w:pPr>
        <w:pStyle w:val="Heading2"/>
      </w:pPr>
      <w:r>
        <w:rPr>
          <w:rFonts w:ascii="Times New Roman" w:cs="Times New Roman" w:eastAsia="Times New Roman" w:hAnsi="Times New Roman"/>
          <w:b/>
          <w:bCs/>
          <w:sz w:val="24"/>
          <w:szCs w:val="24"/>
        </w:rPr>
        <w:t xml:space="preserve">Điều 22. Xét nghiệm chất ma túy trong cơ thể</w:t>
      </w:r>
    </w:p>
    <w:p>
      <w:pPr>
        <w:spacing w:after="120"/>
        <w:ind w:firstLine="720"/>
      </w:pPr>
      <w:r>
        <w:rPr>
          <w:rFonts w:ascii="Times New Roman" w:cs="Times New Roman" w:eastAsia="Times New Roman" w:hAnsi="Times New Roman"/>
          <w:sz w:val="24"/>
          <w:szCs w:val="24"/>
        </w:rPr>
        <w:t xml:space="preserve">1. Người bị xét nghiệm chất ma túy trong cơ thể bao gồm:</w:t>
      </w:r>
    </w:p>
    <w:p>
      <w:pPr>
        <w:spacing w:after="120"/>
        <w:ind w:left="720"/>
      </w:pPr>
      <w:r>
        <w:rPr>
          <w:rFonts w:ascii="Times New Roman" w:cs="Times New Roman" w:eastAsia="Times New Roman" w:hAnsi="Times New Roman"/>
          <w:sz w:val="24"/>
          <w:szCs w:val="24"/>
        </w:rPr>
        <w:t xml:space="preserve">a) Người bị phát hiện sử dụng trái phép chất ma túy;</w:t>
      </w:r>
    </w:p>
    <w:p>
      <w:pPr>
        <w:spacing w:after="120"/>
        <w:ind w:left="720"/>
      </w:pPr>
      <w:r>
        <w:rPr>
          <w:rFonts w:ascii="Times New Roman" w:cs="Times New Roman" w:eastAsia="Times New Roman" w:hAnsi="Times New Roman"/>
          <w:sz w:val="24"/>
          <w:szCs w:val="24"/>
        </w:rPr>
        <w:t xml:space="preserve">b) Người mà cơ quan, người có thẩm quyền có căn cứ cho rằng có hành vi sử dụng trái phép chất ma túy;</w:t>
      </w:r>
    </w:p>
    <w:p>
      <w:pPr>
        <w:spacing w:after="200"/>
        <w:ind w:left="720"/>
      </w:pPr>
      <w:r>
        <w:rPr>
          <w:rFonts w:ascii="Times New Roman" w:cs="Times New Roman" w:eastAsia="Times New Roman" w:hAnsi="Times New Roman"/>
          <w:sz w:val="24"/>
          <w:szCs w:val="24"/>
        </w:rPr>
        <w:t xml:space="preserve">c) Người sử dụng trái phép chất ma túy đang trong thời hạn quản lý.</w:t>
      </w:r>
    </w:p>
    <w:p>
      <w:pPr>
        <w:pStyle w:val="Heading1"/>
      </w:pPr>
      <w:r>
        <w:rPr>
          <w:rFonts w:ascii="Times New Roman" w:cs="Times New Roman" w:eastAsia="Times New Roman" w:hAnsi="Times New Roman"/>
          <w:b/>
          <w:bCs/>
          <w:sz w:val="26"/>
          <w:szCs w:val="26"/>
        </w:rPr>
        <w:t xml:space="preserve">Chương IV</w:t>
      </w:r>
    </w:p>
    <w:p>
      <w:pPr>
        <w:pStyle w:val="Heading1"/>
      </w:pPr>
      <w:r>
        <w:rPr>
          <w:rFonts w:ascii="Times New Roman" w:cs="Times New Roman" w:eastAsia="Times New Roman" w:hAnsi="Times New Roman"/>
          <w:b/>
          <w:bCs/>
          <w:sz w:val="26"/>
          <w:szCs w:val="26"/>
        </w:rPr>
        <w:t xml:space="preserve">CAI NGHIỆN MA TÚY</w:t>
      </w:r>
    </w:p>
    <w:p>
      <w:pPr>
        <w:pStyle w:val="Heading2"/>
      </w:pPr>
      <w:r>
        <w:rPr>
          <w:rFonts w:ascii="Times New Roman" w:cs="Times New Roman" w:eastAsia="Times New Roman" w:hAnsi="Times New Roman"/>
          <w:b/>
          <w:bCs/>
          <w:sz w:val="24"/>
          <w:szCs w:val="24"/>
        </w:rPr>
        <w:t xml:space="preserve">Điều 29. Các hình thức cai nghiện ma túy</w:t>
      </w:r>
    </w:p>
    <w:p>
      <w:pPr>
        <w:spacing w:after="120"/>
        <w:ind w:firstLine="720"/>
      </w:pPr>
      <w:r>
        <w:rPr>
          <w:rFonts w:ascii="Times New Roman" w:cs="Times New Roman" w:eastAsia="Times New Roman" w:hAnsi="Times New Roman"/>
          <w:sz w:val="24"/>
          <w:szCs w:val="24"/>
        </w:rPr>
        <w:t xml:space="preserve">1. Cai nghiện ma túy tự nguyện tại gia đình, cộng đồng.</w:t>
      </w:r>
    </w:p>
    <w:p>
      <w:pPr>
        <w:spacing w:after="120"/>
        <w:ind w:firstLine="720"/>
      </w:pPr>
      <w:r>
        <w:rPr>
          <w:rFonts w:ascii="Times New Roman" w:cs="Times New Roman" w:eastAsia="Times New Roman" w:hAnsi="Times New Roman"/>
          <w:sz w:val="24"/>
          <w:szCs w:val="24"/>
        </w:rPr>
        <w:t xml:space="preserve">2. Cai nghiện ma túy tự nguyện tại cơ sở cai nghiện ma túy.</w:t>
      </w:r>
    </w:p>
    <w:p>
      <w:pPr>
        <w:spacing w:after="200"/>
        <w:ind w:firstLine="720"/>
      </w:pPr>
      <w:r>
        <w:rPr>
          <w:rFonts w:ascii="Times New Roman" w:cs="Times New Roman" w:eastAsia="Times New Roman" w:hAnsi="Times New Roman"/>
          <w:sz w:val="24"/>
          <w:szCs w:val="24"/>
        </w:rPr>
        <w:t xml:space="preserve">3. Cai nghiện ma túy bắt buộc tại cơ sở cai nghiện ma túy.</w:t>
      </w:r>
    </w:p>
    <w:p>
      <w:pPr>
        <w:pStyle w:val="Heading1"/>
      </w:pPr>
      <w:r>
        <w:rPr>
          <w:rFonts w:ascii="Times New Roman" w:cs="Times New Roman" w:eastAsia="Times New Roman" w:hAnsi="Times New Roman"/>
          <w:b/>
          <w:bCs/>
          <w:sz w:val="26"/>
          <w:szCs w:val="26"/>
        </w:rPr>
        <w:t xml:space="preserve">Chương VIII</w:t>
      </w:r>
    </w:p>
    <w:p>
      <w:pPr>
        <w:pStyle w:val="Heading1"/>
      </w:pPr>
      <w:r>
        <w:rPr>
          <w:rFonts w:ascii="Times New Roman" w:cs="Times New Roman" w:eastAsia="Times New Roman" w:hAnsi="Times New Roman"/>
          <w:b/>
          <w:bCs/>
          <w:sz w:val="26"/>
          <w:szCs w:val="26"/>
        </w:rPr>
        <w:t xml:space="preserve">ĐIỀU KHOẢN THI HÀNH</w:t>
      </w:r>
    </w:p>
    <w:p>
      <w:pPr>
        <w:pStyle w:val="Heading2"/>
      </w:pPr>
      <w:r>
        <w:rPr>
          <w:rFonts w:ascii="Times New Roman" w:cs="Times New Roman" w:eastAsia="Times New Roman" w:hAnsi="Times New Roman"/>
          <w:b/>
          <w:bCs/>
          <w:sz w:val="24"/>
          <w:szCs w:val="24"/>
        </w:rPr>
        <w:t xml:space="preserve">Điều 54. Hiệu lực thi hành</w:t>
      </w:r>
    </w:p>
    <w:p>
      <w:pPr>
        <w:spacing w:after="200"/>
        <w:ind w:firstLine="720"/>
      </w:pPr>
      <w:r>
        <w:rPr>
          <w:rFonts w:ascii="Times New Roman" w:cs="Times New Roman" w:eastAsia="Times New Roman" w:hAnsi="Times New Roman"/>
          <w:sz w:val="24"/>
          <w:szCs w:val="24"/>
        </w:rPr>
        <w:t xml:space="preserve">Luật này có hiệu lực thi hành từ ngày 01 tháng 01 năm 2022. Luật Phòng, chống ma túy số 23/2000/QH10 và Luật sửa đổi, bổ sung một số điều của Luật Phòng, chống ma túy số 16/2008/QH12 hết hiệu lực kể từ ngày Luật này có hiệu lực thi hành.</w:t>
      </w:r>
    </w:p>
    <w:p>
      <w:pPr>
        <w:spacing w:after="0" w:before="480"/>
        <w:jc w:val="right"/>
      </w:pPr>
      <w:r>
        <w:rPr>
          <w:rFonts w:ascii="Times New Roman" w:cs="Times New Roman" w:eastAsia="Times New Roman" w:hAnsi="Times New Roman"/>
          <w:i/>
          <w:iCs/>
          <w:sz w:val="24"/>
          <w:szCs w:val="24"/>
        </w:rPr>
        <w:t xml:space="preserve">Hà Nội, ngày 30 tháng 3 năm 2021</w:t>
      </w:r>
    </w:p>
    <w:p>
      <w:pPr>
        <w:spacing w:after="0"/>
        <w:jc w:val="right"/>
      </w:pPr>
      <w:r>
        <w:rPr>
          <w:rFonts w:ascii="Times New Roman" w:cs="Times New Roman" w:eastAsia="Times New Roman" w:hAnsi="Times New Roman"/>
          <w:b/>
          <w:bCs/>
          <w:sz w:val="24"/>
          <w:szCs w:val="24"/>
        </w:rPr>
        <w:t xml:space="preserve">CHỦ TỊCH QUỐC HỘI</w:t>
      </w:r>
    </w:p>
    <w:p>
      <w:pPr>
        <w:spacing w:after="0" w:before="480"/>
        <w:jc w:val="right"/>
      </w:pPr>
      <w:r>
        <w:rPr>
          <w:rFonts w:ascii="Times New Roman" w:cs="Times New Roman" w:eastAsia="Times New Roman" w:hAnsi="Times New Roman"/>
          <w:b/>
          <w:bCs/>
          <w:sz w:val="24"/>
          <w:szCs w:val="24"/>
        </w:rPr>
        <w:t xml:space="preserve">Vương Đình Huệ</w:t>
      </w:r>
    </w:p>
    <w:sectPr>
      <w:footerReference w:type="default" r:id="rId7"/>
      <w:pgSz w:w="11906" w:h="16838" w:orient="portrait"/>
      <w:pgMar w:top="1418"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jc w:val="center"/>
      <w:outlineLvl w:val="0"/>
    </w:pPr>
    <w:rPr>
      <w:rFonts w:ascii="Times New Roman" w:cs="Times New Roman" w:eastAsia="Times New Roman" w:hAnsi="Times New Roman"/>
      <w:b/>
      <w:bCs/>
      <w:caps/>
      <w:sz w:val="28"/>
      <w:szCs w:val="28"/>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spacing w:after="80" w:before="180"/>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2026-06-08T06:28:32.082Z</dcterms:created>
  <dcterms:modified xsi:type="dcterms:W3CDTF">2026-06-08T06:28:32.082Z</dcterms:modified>
</cp:coreProperties>
</file>

<file path=docProps/custom.xml><?xml version="1.0" encoding="utf-8"?>
<Properties xmlns="http://schemas.openxmlformats.org/officeDocument/2006/custom-properties" xmlns:vt="http://schemas.openxmlformats.org/officeDocument/2006/docPropsVTypes"/>
</file>