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CHÍNH PHỦ</w:t>
      </w:r>
    </w:p>
    <w:p>
      <w:pPr>
        <w:spacing w:after="0"/>
        <w:jc w:val="center"/>
      </w:pPr>
      <w:r>
        <w:rPr>
          <w:rFonts w:ascii="Times New Roman" w:cs="Times New Roman" w:eastAsia="Times New Roman" w:hAnsi="Times New Roman"/>
          <w:sz w:val="24"/>
          <w:szCs w:val="24"/>
        </w:rPr>
        <w:t xml:space="preserve">--------</w:t>
      </w:r>
    </w:p>
    <w:p>
      <w:pPr>
        <w:spacing w:after="24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4"/>
          <w:szCs w:val="24"/>
        </w:rPr>
        <w:t xml:space="preserve">Độc lập - Tự do - Hạnh phúc</w:t>
      </w:r>
    </w:p>
    <w:p>
      <w:pPr>
        <w:spacing w:after="480"/>
        <w:jc w:val="center"/>
      </w:pPr>
      <w:r>
        <w:rPr>
          <w:rFonts w:ascii="Times New Roman" w:cs="Times New Roman" w:eastAsia="Times New Roman" w:hAnsi="Times New Roman"/>
          <w:sz w:val="24"/>
          <w:szCs w:val="24"/>
        </w:rPr>
        <w:t xml:space="preserve">---------------</w:t>
      </w:r>
    </w:p>
    <w:p>
      <w:pPr>
        <w:spacing w:after="120"/>
        <w:jc w:val="center"/>
      </w:pPr>
      <w:r>
        <w:rPr>
          <w:rFonts w:ascii="Times New Roman" w:cs="Times New Roman" w:eastAsia="Times New Roman" w:hAnsi="Times New Roman"/>
          <w:i/>
          <w:iCs/>
          <w:sz w:val="24"/>
          <w:szCs w:val="24"/>
        </w:rPr>
        <w:t xml:space="preserve">Số: 105/2021/NĐ-CP</w:t>
      </w:r>
    </w:p>
    <w:p>
      <w:pPr>
        <w:pStyle w:val="Heading1"/>
      </w:pPr>
      <w:r>
        <w:rPr>
          <w:rFonts w:ascii="Times New Roman" w:cs="Times New Roman" w:eastAsia="Times New Roman" w:hAnsi="Times New Roman"/>
          <w:b/>
          <w:bCs/>
          <w:sz w:val="28"/>
          <w:szCs w:val="28"/>
        </w:rPr>
        <w:t xml:space="preserve">NGHỊ ĐỊNH</w:t>
      </w:r>
    </w:p>
    <w:p>
      <w:pPr>
        <w:pStyle w:val="Heading1"/>
      </w:pPr>
      <w:r>
        <w:rPr>
          <w:rFonts w:ascii="Times New Roman" w:cs="Times New Roman" w:eastAsia="Times New Roman" w:hAnsi="Times New Roman"/>
          <w:b/>
          <w:bCs/>
          <w:sz w:val="24"/>
          <w:szCs w:val="24"/>
        </w:rPr>
        <w:t xml:space="preserve">Quy định chi tiết và hướng dẫn thi hành một số điều của Luật Phòng, chống ma túy</w:t>
      </w:r>
    </w:p>
    <w:p>
      <w:pPr>
        <w:spacing w:after="240" w:before="240"/>
        <w:jc w:val="center"/>
      </w:pPr>
      <w:r>
        <w:rPr>
          <w:rFonts w:ascii="Times New Roman" w:cs="Times New Roman" w:eastAsia="Times New Roman" w:hAnsi="Times New Roman"/>
          <w:i/>
          <w:iCs/>
          <w:sz w:val="24"/>
          <w:szCs w:val="24"/>
        </w:rPr>
        <w:t xml:space="preserve">Căn cứ Luật Tổ chức Chính phủ ngày 19 tháng 6 năm 2015; Luật sửa đổi, bổ sung một số điều của Luật Tổ chức Chính phủ và Luật Tổ chức chính quyền địa phương ngày 22 tháng 11 năm 2019;</w:t>
      </w:r>
    </w:p>
    <w:p>
      <w:pPr>
        <w:spacing w:after="240"/>
        <w:jc w:val="center"/>
      </w:pPr>
      <w:r>
        <w:rPr>
          <w:rFonts w:ascii="Times New Roman" w:cs="Times New Roman" w:eastAsia="Times New Roman" w:hAnsi="Times New Roman"/>
          <w:i/>
          <w:iCs/>
          <w:sz w:val="24"/>
          <w:szCs w:val="24"/>
        </w:rPr>
        <w:t xml:space="preserve">Căn cứ Luật Phòng, chống ma túy ngày 30 tháng 3 năm 2021;</w:t>
      </w:r>
    </w:p>
    <w:p>
      <w:pPr>
        <w:spacing w:after="480"/>
        <w:jc w:val="center"/>
      </w:pPr>
      <w:r>
        <w:rPr>
          <w:rFonts w:ascii="Times New Roman" w:cs="Times New Roman" w:eastAsia="Times New Roman" w:hAnsi="Times New Roman"/>
          <w:i/>
          <w:iCs/>
          <w:sz w:val="24"/>
          <w:szCs w:val="24"/>
        </w:rPr>
        <w:t xml:space="preserve">Theo đề nghị của Bộ trưởng Bộ Công an;</w:t>
      </w:r>
    </w:p>
    <w:p>
      <w:pPr>
        <w:spacing w:after="240"/>
        <w:jc w:val="center"/>
      </w:pPr>
      <w:r>
        <w:rPr>
          <w:rFonts w:ascii="Times New Roman" w:cs="Times New Roman" w:eastAsia="Times New Roman" w:hAnsi="Times New Roman"/>
          <w:i/>
          <w:iCs/>
          <w:sz w:val="24"/>
          <w:szCs w:val="24"/>
        </w:rPr>
        <w:t xml:space="preserve">Chính phủ ban hành Nghị định quy định chi tiết và hướng dẫn thi hành một số điều của Luật Phòng, chống ma túy.</w:t>
      </w:r>
    </w:p>
    <w:p>
      <w:pPr>
        <w:pStyle w:val="Heading1"/>
      </w:pPr>
      <w:r>
        <w:rPr>
          <w:rFonts w:ascii="Times New Roman" w:cs="Times New Roman" w:eastAsia="Times New Roman" w:hAnsi="Times New Roman"/>
          <w:b/>
          <w:bCs/>
          <w:sz w:val="24"/>
          <w:szCs w:val="24"/>
        </w:rPr>
        <w:t xml:space="preserve">Chương I</w:t>
      </w:r>
    </w:p>
    <w:p>
      <w:pPr>
        <w:pStyle w:val="Heading1"/>
      </w:pPr>
      <w:r>
        <w:rPr>
          <w:rFonts w:ascii="Times New Roman" w:cs="Times New Roman" w:eastAsia="Times New Roman" w:hAnsi="Times New Roman"/>
          <w:b/>
          <w:bCs/>
          <w:sz w:val="24"/>
          <w:szCs w:val="24"/>
        </w:rPr>
        <w:t xml:space="preserve">NHỮNG QUY ĐỊNH CHUNG</w:t>
      </w:r>
    </w:p>
    <w:p>
      <w:pPr>
        <w:pStyle w:val="Heading2"/>
      </w:pPr>
      <w:r>
        <w:rPr>
          <w:rFonts w:ascii="Times New Roman" w:cs="Times New Roman" w:eastAsia="Times New Roman" w:hAnsi="Times New Roman"/>
          <w:b/>
          <w:bCs/>
          <w:sz w:val="24"/>
          <w:szCs w:val="24"/>
        </w:rPr>
        <w:t xml:space="preserve">Điều 1. Phạm vi điều chỉnh</w:t>
      </w:r>
    </w:p>
    <w:p>
      <w:pPr>
        <w:spacing w:after="200"/>
        <w:ind w:firstLine="720"/>
      </w:pPr>
      <w:r>
        <w:rPr>
          <w:rFonts w:ascii="Times New Roman" w:cs="Times New Roman" w:eastAsia="Times New Roman" w:hAnsi="Times New Roman"/>
          <w:sz w:val="24"/>
          <w:szCs w:val="24"/>
        </w:rPr>
        <w:t xml:space="preserve">Nghị định này quy định chi tiết và hướng dẫn thi hành một số điều của Luật Phòng, chống ma túy về công tác phối hợp của các cơ quan chuyên trách phòng, chống tội phạm về ma túy; kiểm soát các hoạt động hợp pháp liên quan đến ma túy và quản lý người sử dụng trái phép chất ma túy được quy định tại khoản 5 Điều 11, khoản 2 Điều 13, khoản 2 Điều 14, Điều 16, khoản 3 Điều 17, Điều 18, Điều 19, khoản 6 Điều 23 của Luật Phòng, chống ma túy số 73/2021/QH14 ngày 30 tháng 3 năm 2021.</w:t>
      </w:r>
    </w:p>
    <w:p>
      <w:pPr>
        <w:pStyle w:val="Heading2"/>
      </w:pPr>
      <w:r>
        <w:rPr>
          <w:rFonts w:ascii="Times New Roman" w:cs="Times New Roman" w:eastAsia="Times New Roman" w:hAnsi="Times New Roman"/>
          <w:b/>
          <w:bCs/>
          <w:sz w:val="24"/>
          <w:szCs w:val="24"/>
        </w:rPr>
        <w:t xml:space="preserve">Điều 2. Đối tượng áp dụng</w:t>
      </w:r>
    </w:p>
    <w:p>
      <w:pPr>
        <w:spacing w:after="200"/>
        <w:ind w:firstLine="720"/>
      </w:pPr>
      <w:r>
        <w:rPr>
          <w:rFonts w:ascii="Times New Roman" w:cs="Times New Roman" w:eastAsia="Times New Roman" w:hAnsi="Times New Roman"/>
          <w:sz w:val="24"/>
          <w:szCs w:val="24"/>
        </w:rPr>
        <w:t xml:space="preserve">Nghị định này áp dụng đối với các cơ quan, tổ chức, cá nhân có liên quan đến công tác phối hợp phòng, chống tội phạm về ma túy; kiểm soát các hoạt động hợp pháp liên quan đến ma túy; quản lý người sử dụng trái phép chất ma túy.</w:t>
      </w:r>
    </w:p>
    <w:p>
      <w:pPr>
        <w:pStyle w:val="Heading1"/>
      </w:pPr>
      <w:r>
        <w:rPr>
          <w:rFonts w:ascii="Times New Roman" w:cs="Times New Roman" w:eastAsia="Times New Roman" w:hAnsi="Times New Roman"/>
          <w:b/>
          <w:bCs/>
          <w:sz w:val="24"/>
          <w:szCs w:val="24"/>
        </w:rPr>
        <w:t xml:space="preserve">Chương II</w:t>
      </w:r>
    </w:p>
    <w:p>
      <w:pPr>
        <w:pStyle w:val="Heading1"/>
      </w:pPr>
      <w:r>
        <w:rPr>
          <w:rFonts w:ascii="Times New Roman" w:cs="Times New Roman" w:eastAsia="Times New Roman" w:hAnsi="Times New Roman"/>
          <w:b/>
          <w:bCs/>
          <w:sz w:val="24"/>
          <w:szCs w:val="24"/>
        </w:rPr>
        <w:t xml:space="preserve">CÔNG TÁC PHỐI HỢP CỦA CÁC CƠ QUAN CHUYÊN TRÁCH PHÒNG, CHỐNG TỘI PHẠM VỀ MA TÚY</w:t>
      </w:r>
    </w:p>
    <w:p>
      <w:pPr>
        <w:pStyle w:val="Heading2"/>
      </w:pPr>
      <w:r>
        <w:rPr>
          <w:rFonts w:ascii="Times New Roman" w:cs="Times New Roman" w:eastAsia="Times New Roman" w:hAnsi="Times New Roman"/>
          <w:b/>
          <w:bCs/>
          <w:sz w:val="24"/>
          <w:szCs w:val="24"/>
        </w:rPr>
        <w:t xml:space="preserve">Điều 3. Các cơ quan chuyên trách phòng, chống tội phạm về ma túy</w:t>
      </w:r>
    </w:p>
    <w:p>
      <w:pPr>
        <w:spacing w:after="120"/>
        <w:ind w:firstLine="720"/>
      </w:pPr>
      <w:r>
        <w:rPr>
          <w:rFonts w:ascii="Times New Roman" w:cs="Times New Roman" w:eastAsia="Times New Roman" w:hAnsi="Times New Roman"/>
          <w:sz w:val="24"/>
          <w:szCs w:val="24"/>
        </w:rPr>
        <w:t xml:space="preserve">Các cơ quan chuyên trách phòng, chống tội phạm về ma túy bao gồm:</w:t>
      </w:r>
    </w:p>
    <w:p>
      <w:pPr>
        <w:spacing w:after="120"/>
        <w:ind w:left="720"/>
      </w:pPr>
      <w:r>
        <w:rPr>
          <w:rFonts w:ascii="Times New Roman" w:cs="Times New Roman" w:eastAsia="Times New Roman" w:hAnsi="Times New Roman"/>
          <w:sz w:val="24"/>
          <w:szCs w:val="24"/>
        </w:rPr>
        <w:t xml:space="preserve">1. Cục Cảnh sát điều tra tội phạm về ma túy, Phòng Cảnh sát điều tra tội phạm về ma túy Công an các tỉnh, thành phố trực thuộc trung ương thuộc Công an nhân dân;</w:t>
      </w:r>
    </w:p>
    <w:p>
      <w:pPr>
        <w:spacing w:after="120"/>
        <w:ind w:left="720"/>
      </w:pPr>
      <w:r>
        <w:rPr>
          <w:rFonts w:ascii="Times New Roman" w:cs="Times New Roman" w:eastAsia="Times New Roman" w:hAnsi="Times New Roman"/>
          <w:sz w:val="24"/>
          <w:szCs w:val="24"/>
        </w:rPr>
        <w:t xml:space="preserve">2. Cục Phòng, chống ma túy và tội phạm, Đoàn đặc nhiệm phòng, chống ma túy và tội phạm số 1, số 2, số 3, số 4, Đồn biên phòng thuộc Bộ đội Biên phòng;</w:t>
      </w:r>
    </w:p>
    <w:p>
      <w:pPr>
        <w:spacing w:after="120"/>
        <w:ind w:left="720"/>
      </w:pPr>
      <w:r>
        <w:rPr>
          <w:rFonts w:ascii="Times New Roman" w:cs="Times New Roman" w:eastAsia="Times New Roman" w:hAnsi="Times New Roman"/>
          <w:sz w:val="24"/>
          <w:szCs w:val="24"/>
        </w:rPr>
        <w:t xml:space="preserve">3. Cục Phòng, chống ma túy và tội phạm, Đoàn đặc nhiệm phòng, chống ma túy và tội phạm số 1, số 2, số 3 thuộc Cảnh sát biển Việt Nam;</w:t>
      </w:r>
    </w:p>
    <w:p>
      <w:pPr>
        <w:spacing w:after="200"/>
        <w:ind w:left="720"/>
      </w:pPr>
      <w:r>
        <w:rPr>
          <w:rFonts w:ascii="Times New Roman" w:cs="Times New Roman" w:eastAsia="Times New Roman" w:hAnsi="Times New Roman"/>
          <w:sz w:val="24"/>
          <w:szCs w:val="24"/>
        </w:rPr>
        <w:t xml:space="preserve">4. Cục Điều tra chống buôn lậu, Cục Kiểm tra sau thông quan, Chi cục Hải quan thuộc Tổng cục Hải quan.</w:t>
      </w:r>
    </w:p>
    <w:p>
      <w:pPr>
        <w:pStyle w:val="Heading2"/>
      </w:pPr>
      <w:r>
        <w:rPr>
          <w:rFonts w:ascii="Times New Roman" w:cs="Times New Roman" w:eastAsia="Times New Roman" w:hAnsi="Times New Roman"/>
          <w:b/>
          <w:bCs/>
          <w:sz w:val="24"/>
          <w:szCs w:val="24"/>
        </w:rPr>
        <w:t xml:space="preserve">Điều 5. Nội dung phối hợp</w:t>
      </w:r>
    </w:p>
    <w:p>
      <w:pPr>
        <w:spacing w:after="120"/>
        <w:ind w:firstLine="720"/>
      </w:pPr>
      <w:r>
        <w:rPr>
          <w:rFonts w:ascii="Times New Roman" w:cs="Times New Roman" w:eastAsia="Times New Roman" w:hAnsi="Times New Roman"/>
          <w:sz w:val="24"/>
          <w:szCs w:val="24"/>
        </w:rPr>
        <w:t xml:space="preserve">Các cơ quan chuyên trách phòng, chống tội phạm về ma túy phối hợp trong các nội dung sau đây:</w:t>
      </w:r>
    </w:p>
    <w:p>
      <w:pPr>
        <w:spacing w:after="120"/>
        <w:ind w:left="720"/>
      </w:pPr>
      <w:r>
        <w:rPr>
          <w:rFonts w:ascii="Times New Roman" w:cs="Times New Roman" w:eastAsia="Times New Roman" w:hAnsi="Times New Roman"/>
          <w:sz w:val="24"/>
          <w:szCs w:val="24"/>
        </w:rPr>
        <w:t xml:space="preserve">1. Xây dựng kế hoạch chung về phòng ngừa, đấu tranh chống tội phạm về ma túy liên quan đến khu vực, địa bàn của nhiều lực lượng quản lý.</w:t>
      </w:r>
    </w:p>
    <w:p>
      <w:pPr>
        <w:spacing w:after="200"/>
        <w:ind w:left="720"/>
      </w:pPr>
      <w:r>
        <w:rPr>
          <w:rFonts w:ascii="Times New Roman" w:cs="Times New Roman" w:eastAsia="Times New Roman" w:hAnsi="Times New Roman"/>
          <w:sz w:val="24"/>
          <w:szCs w:val="24"/>
        </w:rPr>
        <w:t xml:space="preserve">2. Thông báo, chia sẻ thông tin, tài liệu về tình hình và hoạt động của tội phạm ma túy.</w:t>
      </w:r>
    </w:p>
    <w:p>
      <w:pPr>
        <w:pStyle w:val="Heading1"/>
      </w:pPr>
      <w:r>
        <w:rPr>
          <w:rFonts w:ascii="Times New Roman" w:cs="Times New Roman" w:eastAsia="Times New Roman" w:hAnsi="Times New Roman"/>
          <w:b/>
          <w:bCs/>
          <w:sz w:val="24"/>
          <w:szCs w:val="24"/>
        </w:rPr>
        <w:t xml:space="preserve">Chương III</w:t>
      </w:r>
    </w:p>
    <w:p>
      <w:pPr>
        <w:pStyle w:val="Heading1"/>
      </w:pPr>
      <w:r>
        <w:rPr>
          <w:rFonts w:ascii="Times New Roman" w:cs="Times New Roman" w:eastAsia="Times New Roman" w:hAnsi="Times New Roman"/>
          <w:b/>
          <w:bCs/>
          <w:sz w:val="24"/>
          <w:szCs w:val="24"/>
        </w:rPr>
        <w:t xml:space="preserve">KIỂM SOÁT CÁC HOẠT ĐỘNG HỢP PHÁP LIÊN QUAN ĐẾN MA TÚY</w:t>
      </w:r>
    </w:p>
    <w:p>
      <w:pPr>
        <w:pStyle w:val="Heading2"/>
      </w:pPr>
      <w:r>
        <w:rPr>
          <w:rFonts w:ascii="Times New Roman" w:cs="Times New Roman" w:eastAsia="Times New Roman" w:hAnsi="Times New Roman"/>
          <w:b/>
          <w:bCs/>
          <w:sz w:val="24"/>
          <w:szCs w:val="24"/>
        </w:rPr>
        <w:t xml:space="preserve">Điều 14. Điều kiện kinh doanh chất ma túy và tiền chất</w:t>
      </w:r>
    </w:p>
    <w:p>
      <w:pPr>
        <w:spacing w:after="120"/>
        <w:ind w:firstLine="720"/>
      </w:pPr>
      <w:r>
        <w:rPr>
          <w:rFonts w:ascii="Times New Roman" w:cs="Times New Roman" w:eastAsia="Times New Roman" w:hAnsi="Times New Roman"/>
          <w:sz w:val="24"/>
          <w:szCs w:val="24"/>
        </w:rPr>
        <w:t xml:space="preserve">1. Tổ chức kinh doanh chất ma túy và tiền chất phải đáp ứng các điều kiện sau:</w:t>
      </w:r>
    </w:p>
    <w:p>
      <w:pPr>
        <w:spacing w:after="120"/>
        <w:ind w:left="720"/>
      </w:pPr>
      <w:r>
        <w:rPr>
          <w:rFonts w:ascii="Times New Roman" w:cs="Times New Roman" w:eastAsia="Times New Roman" w:hAnsi="Times New Roman"/>
          <w:sz w:val="24"/>
          <w:szCs w:val="24"/>
        </w:rPr>
        <w:t xml:space="preserve">a) Được thành lập theo quy định của pháp luật;</w:t>
      </w:r>
    </w:p>
    <w:p>
      <w:pPr>
        <w:spacing w:after="120"/>
        <w:ind w:left="720"/>
      </w:pPr>
      <w:r>
        <w:rPr>
          <w:rFonts w:ascii="Times New Roman" w:cs="Times New Roman" w:eastAsia="Times New Roman" w:hAnsi="Times New Roman"/>
          <w:sz w:val="24"/>
          <w:szCs w:val="24"/>
        </w:rPr>
        <w:t xml:space="preserve">b) Người đứng đầu, người được ủy quyền của tổ chức có đủ năng lực hành vi dân sự, không có tiền án về tội phạm liên quan đến ma túy;</w:t>
      </w:r>
    </w:p>
    <w:p>
      <w:pPr>
        <w:spacing w:after="200"/>
        <w:ind w:left="720"/>
      </w:pPr>
      <w:r>
        <w:rPr>
          <w:rFonts w:ascii="Times New Roman" w:cs="Times New Roman" w:eastAsia="Times New Roman" w:hAnsi="Times New Roman"/>
          <w:sz w:val="24"/>
          <w:szCs w:val="24"/>
        </w:rPr>
        <w:t xml:space="preserve">c) Có kho, phương tiện bảo quản đáp ứng yêu cầu kỹ thuật và có đủ điều kiện bảo đảm an ninh, an toàn theo quy định.</w:t>
      </w:r>
    </w:p>
    <w:p>
      <w:pPr>
        <w:pStyle w:val="Heading1"/>
      </w:pPr>
      <w:r>
        <w:rPr>
          <w:rFonts w:ascii="Times New Roman" w:cs="Times New Roman" w:eastAsia="Times New Roman" w:hAnsi="Times New Roman"/>
          <w:b/>
          <w:bCs/>
          <w:sz w:val="24"/>
          <w:szCs w:val="24"/>
        </w:rPr>
        <w:t xml:space="preserve">Chương IV</w:t>
      </w:r>
    </w:p>
    <w:p>
      <w:pPr>
        <w:pStyle w:val="Heading1"/>
      </w:pPr>
      <w:r>
        <w:rPr>
          <w:rFonts w:ascii="Times New Roman" w:cs="Times New Roman" w:eastAsia="Times New Roman" w:hAnsi="Times New Roman"/>
          <w:b/>
          <w:bCs/>
          <w:sz w:val="24"/>
          <w:szCs w:val="24"/>
        </w:rPr>
        <w:t xml:space="preserve">QUẢN LÝ NGƯỜI SỬ DỤNG TRÁI PHÉP CHẤT MA TÚY</w:t>
      </w:r>
    </w:p>
    <w:p>
      <w:pPr>
        <w:pStyle w:val="Heading2"/>
      </w:pPr>
      <w:r>
        <w:rPr>
          <w:rFonts w:ascii="Times New Roman" w:cs="Times New Roman" w:eastAsia="Times New Roman" w:hAnsi="Times New Roman"/>
          <w:b/>
          <w:bCs/>
          <w:sz w:val="24"/>
          <w:szCs w:val="24"/>
        </w:rPr>
        <w:t xml:space="preserve">Điều 31. Xét nghiệm chất ma túy trong cơ thể</w:t>
      </w:r>
    </w:p>
    <w:p>
      <w:pPr>
        <w:spacing w:after="120"/>
        <w:ind w:firstLine="720"/>
      </w:pPr>
      <w:r>
        <w:rPr>
          <w:rFonts w:ascii="Times New Roman" w:cs="Times New Roman" w:eastAsia="Times New Roman" w:hAnsi="Times New Roman"/>
          <w:sz w:val="24"/>
          <w:szCs w:val="24"/>
        </w:rPr>
        <w:t xml:space="preserve">Đối với người thuộc trường hợp phải xét nghiệm chất ma túy trong cơ thể thì cơ quan, người có thẩm quyền xét nghiệm mời người đó đến để thực hiện việc xét nghiệm; trường hợp không hợp tác thì Cơ quan Công an triệu tập người đó đến.</w:t>
      </w:r>
    </w:p>
    <w:p>
      <w:pPr>
        <w:pStyle w:val="Heading2"/>
      </w:pPr>
      <w:r>
        <w:rPr>
          <w:rFonts w:ascii="Times New Roman" w:cs="Times New Roman" w:eastAsia="Times New Roman" w:hAnsi="Times New Roman"/>
          <w:b/>
          <w:bCs/>
          <w:sz w:val="24"/>
          <w:szCs w:val="24"/>
        </w:rPr>
        <w:t xml:space="preserve">Điều 38. Kiểm tra, cập nhật nơi cư trú của người đang trong thời hạn quản lý</w:t>
      </w:r>
    </w:p>
    <w:p>
      <w:pPr>
        <w:spacing w:after="200"/>
        <w:ind w:firstLine="720"/>
      </w:pPr>
      <w:r>
        <w:rPr>
          <w:rFonts w:ascii="Times New Roman" w:cs="Times New Roman" w:eastAsia="Times New Roman" w:hAnsi="Times New Roman"/>
          <w:sz w:val="24"/>
          <w:szCs w:val="24"/>
        </w:rPr>
        <w:t xml:space="preserve">Ít nhất 01 lần trong tháng, Công an cấp xã nơi quản lý người sử dụng trái phép chất ma túy phải kiểm tra, cập nhật nơi cư trú của người đang trong thời hạn quản lý.</w:t>
      </w:r>
    </w:p>
    <w:p>
      <w:pPr>
        <w:pStyle w:val="Heading1"/>
      </w:pPr>
      <w:r>
        <w:rPr>
          <w:rFonts w:ascii="Times New Roman" w:cs="Times New Roman" w:eastAsia="Times New Roman" w:hAnsi="Times New Roman"/>
          <w:b/>
          <w:bCs/>
          <w:sz w:val="24"/>
          <w:szCs w:val="24"/>
        </w:rPr>
        <w:t xml:space="preserve">Chương VI</w:t>
      </w:r>
    </w:p>
    <w:p>
      <w:pPr>
        <w:pStyle w:val="Heading1"/>
      </w:pPr>
      <w:r>
        <w:rPr>
          <w:rFonts w:ascii="Times New Roman" w:cs="Times New Roman" w:eastAsia="Times New Roman" w:hAnsi="Times New Roman"/>
          <w:b/>
          <w:bCs/>
          <w:sz w:val="24"/>
          <w:szCs w:val="24"/>
        </w:rPr>
        <w:t xml:space="preserve">ĐIỀU KHOẢN THI HÀNH</w:t>
      </w:r>
    </w:p>
    <w:p>
      <w:pPr>
        <w:pStyle w:val="Heading2"/>
      </w:pPr>
      <w:r>
        <w:rPr>
          <w:rFonts w:ascii="Times New Roman" w:cs="Times New Roman" w:eastAsia="Times New Roman" w:hAnsi="Times New Roman"/>
          <w:b/>
          <w:bCs/>
          <w:sz w:val="24"/>
          <w:szCs w:val="24"/>
        </w:rPr>
        <w:t xml:space="preserve">Điều 58. Hiệu lực thi hành</w:t>
      </w:r>
    </w:p>
    <w:p>
      <w:pPr>
        <w:spacing w:after="200"/>
        <w:ind w:firstLine="720"/>
      </w:pPr>
      <w:r>
        <w:rPr>
          <w:rFonts w:ascii="Times New Roman" w:cs="Times New Roman" w:eastAsia="Times New Roman" w:hAnsi="Times New Roman"/>
          <w:sz w:val="24"/>
          <w:szCs w:val="24"/>
        </w:rPr>
        <w:t xml:space="preserve">Nghị định này có hiệu lực thi hành từ ngày 01 tháng 01 năm 2022.</w:t>
      </w:r>
    </w:p>
    <w:p>
      <w:pPr>
        <w:spacing w:after="0" w:before="480"/>
        <w:jc w:val="right"/>
      </w:pPr>
      <w:r>
        <w:rPr>
          <w:rFonts w:ascii="Times New Roman" w:cs="Times New Roman" w:eastAsia="Times New Roman" w:hAnsi="Times New Roman"/>
          <w:i/>
          <w:iCs/>
          <w:sz w:val="24"/>
          <w:szCs w:val="24"/>
        </w:rPr>
        <w:t xml:space="preserve">Hà Nội, ngày 04 tháng 12 năm 2021</w:t>
      </w:r>
    </w:p>
    <w:p>
      <w:pPr>
        <w:spacing w:after="0"/>
        <w:jc w:val="right"/>
      </w:pPr>
      <w:r>
        <w:rPr>
          <w:rFonts w:ascii="Times New Roman" w:cs="Times New Roman" w:eastAsia="Times New Roman" w:hAnsi="Times New Roman"/>
          <w:b/>
          <w:bCs/>
          <w:sz w:val="24"/>
          <w:szCs w:val="24"/>
        </w:rPr>
        <w:t xml:space="preserve">TM. CHÍNH PHỦ</w:t>
      </w:r>
    </w:p>
    <w:p>
      <w:pPr>
        <w:spacing w:after="0"/>
        <w:jc w:val="right"/>
      </w:pPr>
      <w:r>
        <w:rPr>
          <w:rFonts w:ascii="Times New Roman" w:cs="Times New Roman" w:eastAsia="Times New Roman" w:hAnsi="Times New Roman"/>
          <w:b/>
          <w:bCs/>
          <w:sz w:val="24"/>
          <w:szCs w:val="24"/>
        </w:rPr>
        <w:t xml:space="preserve">THỦ TƯỚNG</w:t>
      </w:r>
    </w:p>
    <w:p>
      <w:pPr>
        <w:spacing w:after="0" w:before="480"/>
        <w:jc w:val="right"/>
      </w:pPr>
      <w:r>
        <w:rPr>
          <w:rFonts w:ascii="Times New Roman" w:cs="Times New Roman" w:eastAsia="Times New Roman" w:hAnsi="Times New Roman"/>
          <w:b/>
          <w:bCs/>
          <w:sz w:val="24"/>
          <w:szCs w:val="24"/>
        </w:rPr>
        <w:t xml:space="preserve">Phạm Minh Chính</w:t>
      </w:r>
    </w:p>
    <w:sectPr>
      <w:footerReference w:type="default" r:id="rId7"/>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2026-06-08T06:29:46.654Z</dcterms:created>
  <dcterms:modified xsi:type="dcterms:W3CDTF">2026-06-08T06:29:46.654Z</dcterms:modified>
</cp:coreProperties>
</file>

<file path=docProps/custom.xml><?xml version="1.0" encoding="utf-8"?>
<Properties xmlns="http://schemas.openxmlformats.org/officeDocument/2006/custom-properties" xmlns:vt="http://schemas.openxmlformats.org/officeDocument/2006/docPropsVTypes"/>
</file>