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exact" w:before="0" w:after="240"/>
        <w:jc w:val="left"/>
      </w:pPr>
      <w:r>
        <w:rPr>
          <w:rFonts w:ascii="Times New Roman" w:hAnsi="Times New Roman"/>
          <w:b/>
          <w:i w:val="0"/>
          <w:caps/>
          <w:sz w:val="28"/>
        </w:rPr>
        <w:t>THEORETICAL BACKGROUND</w:t>
      </w:r>
    </w:p>
    <w:p>
      <w:pPr>
        <w:pStyle w:val="Heading1"/>
        <w:spacing w:line="360" w:lineRule="exact" w:before="240" w:after="240"/>
        <w:jc w:val="left"/>
      </w:pPr>
      <w:r>
        <w:rPr>
          <w:rFonts w:ascii="Times New Roman" w:hAnsi="Times New Roman"/>
          <w:b/>
          <w:i w:val="0"/>
          <w:sz w:val="26"/>
        </w:rPr>
        <w:t>3.1 Software Architecture Patterns</w:t>
      </w:r>
    </w:p>
    <w:p>
      <w:pPr>
        <w:spacing w:line="360" w:lineRule="exact" w:before="0" w:after="240"/>
        <w:jc w:val="both"/>
      </w:pPr>
      <w:r>
        <w:rPr>
          <w:rFonts w:ascii="Times New Roman" w:hAnsi="Times New Roman"/>
          <w:b w:val="0"/>
          <w:i w:val="0"/>
          <w:sz w:val="24"/>
        </w:rPr>
        <w:t>Multi-tier architecture separates presentation, application logic, and data management into distinct layers to improve maintainability and scalability. In Archon, the React and Vite frontend forms the presentation layer, the Express-based API server provides the application layer, and MongoDB with ChromaDB represents the data layer for metadata and vector search. This separation enables independent evolution of the user interface, business logic, and storage concerns.</w:t>
      </w:r>
    </w:p>
    <w:p>
      <w:pPr>
        <w:spacing w:line="360" w:lineRule="exact" w:before="0" w:after="240"/>
        <w:jc w:val="both"/>
      </w:pPr>
      <w:r>
        <w:rPr>
          <w:rFonts w:ascii="Times New Roman" w:hAnsi="Times New Roman"/>
          <w:b w:val="0"/>
          <w:i w:val="0"/>
          <w:sz w:val="24"/>
        </w:rPr>
        <w:t>RESTful API design organizes functionality around resource-oriented endpoints, uses standard HTTP verbs, and keeps requests stateless to support scalability. The backend exposes distinct routes for authentication, documents, conversations, organizations, and users, each returning JSON responses and relying on middleware for cross-cutting concerns such as rate limiting and authorization. This structure supports clear integration contracts for the frontend and simplifies maintenance.</w:t>
      </w:r>
    </w:p>
    <w:p>
      <w:pPr>
        <w:spacing w:line="360" w:lineRule="exact" w:before="0" w:after="240"/>
        <w:jc w:val="both"/>
      </w:pPr>
      <w:r>
        <w:rPr>
          <w:rFonts w:ascii="Times New Roman" w:hAnsi="Times New Roman"/>
          <w:b w:val="0"/>
          <w:i w:val="0"/>
          <w:sz w:val="24"/>
        </w:rPr>
        <w:t>The multi-tenancy pattern isolates tenant data while sharing the same application infrastructure. Archon implements organization-scoped data models and access controls, ensuring that documents, conversations, and user data are queried within the current organization context and protected by role-based access control (RBAC). Join requests and invite codes are used to manage membership boundaries, reinforcing tenant isolation in both application logic and data access.</w:t>
      </w:r>
    </w:p>
    <w:p>
      <w:pPr>
        <w:spacing w:line="360" w:lineRule="exact" w:before="0" w:after="240"/>
        <w:jc w:val="both"/>
      </w:pPr>
      <w:r>
        <w:rPr>
          <w:rFonts w:ascii="Times New Roman" w:hAnsi="Times New Roman"/>
          <w:b w:val="0"/>
          <w:i w:val="0"/>
          <w:sz w:val="24"/>
        </w:rPr>
        <w:t>The service layer pattern separates controllers from core business logic, improving testability and reusability. In Archon, controllers handle HTTP concerns while services such as the embedding pipeline, vector database operations, and retrieval logic encapsulate domain behavior. This separation aligns with the Controller → Service → Model structure and limits the propagation of infrastructure details into request handling code.</w:t>
      </w:r>
    </w:p>
    <w:p>
      <w:pPr>
        <w:spacing w:line="360" w:lineRule="exact" w:before="0" w:after="240"/>
        <w:jc w:val="both"/>
      </w:pPr>
      <w:r>
        <w:rPr>
          <w:rFonts w:ascii="Times New Roman" w:hAnsi="Times New Roman"/>
          <w:b w:val="0"/>
          <w:i w:val="0"/>
          <w:sz w:val="24"/>
        </w:rPr>
        <w:t>Retrieval-Augmented Generation (RAG) combines information retrieval with a Large Language Model (LLM) to ground responses in authoritative sources. The Archon pipeline expands each query into alternative phrasings, embeds the expanded queries, retrieves the most relevant vectors from ChromaDB, injects the retrieved context into the prompt, and then generates the answer using Gemini. This sequence reduces hallucination risk and produces responses tied to the underlying documents.</w:t>
      </w:r>
    </w:p>
    <w:p>
      <w:pPr>
        <w:pStyle w:val="Heading1"/>
        <w:spacing w:line="360" w:lineRule="exact" w:before="240" w:after="240"/>
        <w:jc w:val="left"/>
      </w:pPr>
      <w:r>
        <w:rPr>
          <w:rFonts w:ascii="Times New Roman" w:hAnsi="Times New Roman"/>
          <w:b/>
          <w:i w:val="0"/>
          <w:sz w:val="26"/>
        </w:rPr>
        <w:t>3.2 Technology Stack</w:t>
      </w:r>
    </w:p>
    <w:p>
      <w:pPr>
        <w:pStyle w:val="Heading2"/>
        <w:spacing w:line="360" w:lineRule="exact" w:before="240" w:after="240"/>
        <w:jc w:val="left"/>
      </w:pPr>
      <w:r>
        <w:rPr>
          <w:rFonts w:ascii="Times New Roman" w:hAnsi="Times New Roman"/>
          <w:b/>
          <w:i w:val="0"/>
          <w:sz w:val="24"/>
        </w:rPr>
        <w:t>3.2.1 Backend</w:t>
      </w:r>
    </w:p>
    <w:p>
      <w:pPr>
        <w:spacing w:line="360" w:lineRule="exact" w:before="0" w:after="240"/>
        <w:jc w:val="both"/>
      </w:pPr>
      <w:r>
        <w:rPr>
          <w:rFonts w:ascii="Times New Roman" w:hAnsi="Times New Roman"/>
          <w:b w:val="0"/>
          <w:i w:val="0"/>
          <w:sz w:val="24"/>
        </w:rPr>
        <w:t>Node.js provides a non-blocking runtime that suits document processing, external API calls, and concurrent user requests. Express 5 was selected for its modernized routing layer and native support for promise-based handlers, which simplifies middleware composition and error propagation. MongoDB offers flexible document storage for user and document metadata, while Mongoose adds schema validation and query modeling to enforce consistency across collections.</w:t>
      </w:r>
    </w:p>
    <w:p>
      <w:pPr>
        <w:pStyle w:val="Heading2"/>
        <w:spacing w:line="360" w:lineRule="exact" w:before="240" w:after="240"/>
        <w:jc w:val="left"/>
      </w:pPr>
      <w:r>
        <w:rPr>
          <w:rFonts w:ascii="Times New Roman" w:hAnsi="Times New Roman"/>
          <w:b/>
          <w:i w:val="0"/>
          <w:sz w:val="24"/>
        </w:rPr>
        <w:t>3.2.2 Vector Database</w:t>
      </w:r>
    </w:p>
    <w:p>
      <w:pPr>
        <w:spacing w:line="360" w:lineRule="exact" w:before="0" w:after="240"/>
        <w:jc w:val="both"/>
      </w:pPr>
      <w:r>
        <w:rPr>
          <w:rFonts w:ascii="Times New Roman" w:hAnsi="Times New Roman"/>
          <w:sz w:val="24"/>
        </w:rPr>
        <w:t>ChromaDB is a vector database designed for similarity search over embeddings with metadata filtering. It was chosen because it can be deployed as a separate service within the same infrastructure environment and supports collection operations that align with document-scoped retrieval. This enables fast semantic search while keeping control over the vector store within the deployment environment.</w:t>
      </w:r>
    </w:p>
    <w:p>
      <w:pPr>
        <w:pStyle w:val="Heading2"/>
        <w:spacing w:line="360" w:lineRule="exact" w:before="240" w:after="240"/>
        <w:jc w:val="left"/>
      </w:pPr>
      <w:r>
        <w:rPr>
          <w:rFonts w:ascii="Times New Roman" w:hAnsi="Times New Roman"/>
          <w:b/>
          <w:i w:val="0"/>
          <w:sz w:val="24"/>
        </w:rPr>
        <w:t>3.2.3 AI/LLM Layer</w:t>
      </w:r>
    </w:p>
    <w:p>
      <w:pPr>
        <w:spacing w:line="360" w:lineRule="exact" w:before="0" w:after="240"/>
        <w:jc w:val="both"/>
      </w:pPr>
      <w:r>
        <w:rPr>
          <w:rFonts w:ascii="Times New Roman" w:hAnsi="Times New Roman"/>
          <w:sz w:val="24"/>
        </w:rPr>
        <w:t>Gemini 2.5 Flash provides low-latency chat generation suitable for interactive question answering. The gemini-embedding-001 model was selected to produce consistent embeddings compatible with the Google API used by the system. LangChain is employed for its RecursiveCharacterTextSplitter, which chunks documents into 1500-character segments with 200-character overlap to balance context preservation and retrieval granularity, and for its ChatGoogleGenerativeAI wrapper which provides structured prompt orchestration for the RAG pipeline.</w:t>
      </w:r>
    </w:p>
    <w:p>
      <w:pPr>
        <w:pStyle w:val="Heading2"/>
        <w:spacing w:line="360" w:lineRule="exact" w:before="240" w:after="240"/>
        <w:jc w:val="left"/>
      </w:pPr>
      <w:r>
        <w:rPr>
          <w:rFonts w:ascii="Times New Roman" w:hAnsi="Times New Roman"/>
          <w:b/>
          <w:i w:val="0"/>
          <w:sz w:val="24"/>
        </w:rPr>
        <w:t>3.2.4 Frontend</w:t>
      </w:r>
    </w:p>
    <w:p>
      <w:pPr>
        <w:spacing w:line="360" w:lineRule="exact" w:before="0" w:after="240"/>
        <w:jc w:val="both"/>
      </w:pPr>
      <w:r>
        <w:rPr>
          <w:rFonts w:ascii="Times New Roman" w:hAnsi="Times New Roman"/>
          <w:b w:val="0"/>
          <w:i w:val="0"/>
          <w:sz w:val="24"/>
        </w:rPr>
        <w:t>React 19 offers a component-based architecture that supports reusable UI composition and predictable state management. Vite was chosen for its fast development server and optimized builds, which shorten iteration cycles. Tailwind CSS v4 provides a utility-first styling approach that standardizes design tokens, and React Router v7 manages nested routes and protected views required by authenticated flows.</w:t>
      </w:r>
    </w:p>
    <w:p>
      <w:pPr>
        <w:pStyle w:val="Heading2"/>
        <w:spacing w:line="360" w:lineRule="exact" w:before="240" w:after="240"/>
        <w:jc w:val="left"/>
      </w:pPr>
      <w:r>
        <w:rPr>
          <w:rFonts w:ascii="Times New Roman" w:hAnsi="Times New Roman"/>
          <w:b/>
          <w:i w:val="0"/>
          <w:sz w:val="24"/>
        </w:rPr>
        <w:t>3.2.5 Deployment</w:t>
      </w:r>
    </w:p>
    <w:p>
      <w:pPr>
        <w:spacing w:line="360" w:lineRule="exact" w:before="0" w:after="240"/>
        <w:jc w:val="both"/>
      </w:pPr>
      <w:r>
        <w:rPr>
          <w:rFonts w:ascii="Times New Roman" w:hAnsi="Times New Roman"/>
          <w:b w:val="0"/>
          <w:i w:val="0"/>
          <w:sz w:val="24"/>
        </w:rPr>
        <w:t>Render is used to host the backend API and ChromaDB services, providing managed infrastructure with straightforward deployment workflows. Vercel delivers the frontend with global edge distribution and rapid build pipelines. MongoDB Atlas supplies a managed database layer, reducing operational overhead while ensuring availability and backups.</w:t>
      </w:r>
    </w:p>
    <w:p>
      <w:pPr>
        <w:pStyle w:val="Heading2"/>
        <w:spacing w:line="360" w:lineRule="exact" w:before="240" w:after="240"/>
        <w:jc w:val="left"/>
      </w:pPr>
      <w:r>
        <w:rPr>
          <w:rFonts w:ascii="Times New Roman" w:hAnsi="Times New Roman"/>
          <w:b/>
          <w:i w:val="0"/>
          <w:sz w:val="24"/>
        </w:rPr>
        <w:t>3.2.6 Email Service</w:t>
      </w:r>
    </w:p>
    <w:p>
      <w:pPr>
        <w:spacing w:line="360" w:lineRule="exact" w:before="0" w:after="240"/>
        <w:jc w:val="both"/>
      </w:pPr>
      <w:r>
        <w:rPr>
          <w:rFonts w:ascii="Times New Roman" w:hAnsi="Times New Roman"/>
          <w:b w:val="0"/>
          <w:i w:val="0"/>
          <w:sz w:val="24"/>
        </w:rPr>
        <w:t>Resend is an email delivery service for transactional messages such as password reset workflows. It was chosen because it offers a developer-friendly API and reliable delivery, which are necessary for secure account recovery in production.</w:t>
      </w:r>
    </w:p>
    <w:p>
      <w:pPr>
        <w:pStyle w:val="Heading1"/>
        <w:spacing w:line="360" w:lineRule="exact" w:before="240" w:after="240"/>
        <w:jc w:val="left"/>
      </w:pPr>
      <w:r>
        <w:rPr>
          <w:rFonts w:ascii="Times New Roman" w:hAnsi="Times New Roman"/>
          <w:b/>
          <w:i w:val="0"/>
          <w:sz w:val="26"/>
        </w:rPr>
        <w:t>3.3 Related Work</w:t>
      </w:r>
    </w:p>
    <w:p>
      <w:pPr>
        <w:pStyle w:val="Heading2"/>
        <w:spacing w:line="360" w:lineRule="exact" w:before="240" w:after="240"/>
        <w:jc w:val="left"/>
      </w:pPr>
      <w:r>
        <w:rPr>
          <w:rFonts w:ascii="Times New Roman" w:hAnsi="Times New Roman"/>
          <w:b/>
          <w:i w:val="0"/>
          <w:sz w:val="24"/>
        </w:rPr>
        <w:t>3.3.1 Landscape of Existing Solutions</w:t>
      </w:r>
    </w:p>
    <w:p>
      <w:pPr>
        <w:spacing w:line="360" w:lineRule="exact" w:before="0" w:after="240"/>
        <w:jc w:val="both"/>
      </w:pPr>
      <w:r>
        <w:rPr>
          <w:rFonts w:ascii="Times New Roman" w:hAnsi="Times New Roman"/>
          <w:b w:val="0"/>
          <w:i w:val="0"/>
          <w:sz w:val="24"/>
        </w:rPr>
        <w:t>Microsoft Copilot for Enterprise integrates generative assistance across Microsoft 365 applications and organizational content. It targets large enterprises that are already invested in the Microsoft ecosystem and seek productivity gains within familiar tools. The service is delivered as a cloud subscription that leverages Microsoft-managed infrastructure.</w:t>
      </w:r>
    </w:p>
    <w:p>
      <w:pPr>
        <w:spacing w:line="360" w:lineRule="exact" w:before="0" w:after="240"/>
        <w:jc w:val="both"/>
      </w:pPr>
      <w:r>
        <w:rPr>
          <w:rFonts w:ascii="Times New Roman" w:hAnsi="Times New Roman"/>
          <w:b w:val="0"/>
          <w:i w:val="0"/>
          <w:sz w:val="24"/>
        </w:rPr>
        <w:t>Notion AI provides summarization, drafting, and question answering directly within Notion workspaces. Its target market is teams and organizations that centralize documentation in Notion and require lightweight knowledge assistance. The capability is offered as a managed SaaS add-on inside the Notion platform.</w:t>
      </w:r>
    </w:p>
    <w:p>
      <w:pPr>
        <w:spacing w:line="360" w:lineRule="exact" w:before="0" w:after="240"/>
        <w:jc w:val="both"/>
      </w:pPr>
      <w:r>
        <w:rPr>
          <w:rFonts w:ascii="Times New Roman" w:hAnsi="Times New Roman"/>
          <w:b w:val="0"/>
          <w:i w:val="0"/>
          <w:sz w:val="24"/>
        </w:rPr>
        <w:t>Guru combines a knowledge base with AI-assisted answers to support customer-facing and internal teams. It focuses on organizations that need curated knowledge cards, verification workflows, and browser-based access. The solution is delivered as a hosted SaaS product with integrations into common collaboration tools.</w:t>
      </w:r>
    </w:p>
    <w:p>
      <w:pPr>
        <w:spacing w:line="360" w:lineRule="exact" w:before="0" w:after="240"/>
        <w:jc w:val="both"/>
      </w:pPr>
      <w:r>
        <w:rPr>
          <w:rFonts w:ascii="Times New Roman" w:hAnsi="Times New Roman"/>
          <w:b w:val="0"/>
          <w:i w:val="0"/>
          <w:sz w:val="24"/>
        </w:rPr>
        <w:t>Confluence AI augments Atlassian Confluence with AI search, summarization, and content generation features. It primarily serves enterprises that manage documentation and project knowledge in the Atlassian stack. The service is delivered as a cloud offering within Confluence Cloud.</w:t>
      </w:r>
    </w:p>
    <w:p>
      <w:pPr>
        <w:pStyle w:val="Heading2"/>
        <w:spacing w:line="360" w:lineRule="exact" w:before="240" w:after="240"/>
        <w:jc w:val="left"/>
      </w:pPr>
      <w:r>
        <w:rPr>
          <w:rFonts w:ascii="Times New Roman" w:hAnsi="Times New Roman"/>
          <w:b/>
          <w:i w:val="0"/>
          <w:sz w:val="24"/>
        </w:rPr>
        <w:t>3.3.2 Gap Analysis &amp; Strategic Improvements</w:t>
      </w:r>
    </w:p>
    <w:p>
      <w:pPr>
        <w:spacing w:line="360" w:lineRule="exact" w:before="0" w:after="240"/>
        <w:jc w:val="both"/>
      </w:pPr>
      <w:r>
        <w:rPr>
          <w:rFonts w:ascii="Times New Roman" w:hAnsi="Times New Roman"/>
          <w:b w:val="0"/>
          <w:i w:val="0"/>
          <w:sz w:val="24"/>
        </w:rPr>
        <w:t>The table below compares key capabilities across representative enterprise Q&amp;A solutions and Archon.</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pPr>
              <w:spacing w:line="360" w:lineRule="exact" w:before="0" w:after="0"/>
              <w:jc w:val="left"/>
            </w:pPr>
            <w:r>
              <w:rPr>
                <w:rFonts w:ascii="Times New Roman" w:hAnsi="Times New Roman"/>
                <w:b/>
                <w:i w:val="0"/>
                <w:sz w:val="24"/>
              </w:rPr>
              <w:t>Feature</w:t>
            </w:r>
          </w:p>
        </w:tc>
        <w:tc>
          <w:tcPr>
            <w:tcW w:type="dxa" w:w="1465"/>
          </w:tcPr>
          <w:p>
            <w:pPr>
              <w:spacing w:line="360" w:lineRule="exact" w:before="0" w:after="0"/>
              <w:jc w:val="left"/>
            </w:pPr>
            <w:r>
              <w:rPr>
                <w:rFonts w:ascii="Times New Roman" w:hAnsi="Times New Roman"/>
                <w:b/>
                <w:i w:val="0"/>
                <w:sz w:val="24"/>
              </w:rPr>
              <w:t>Microsoft Copilot</w:t>
            </w:r>
          </w:p>
        </w:tc>
        <w:tc>
          <w:tcPr>
            <w:tcW w:type="dxa" w:w="1465"/>
          </w:tcPr>
          <w:p>
            <w:pPr>
              <w:spacing w:line="360" w:lineRule="exact" w:before="0" w:after="0"/>
              <w:jc w:val="left"/>
            </w:pPr>
            <w:r>
              <w:rPr>
                <w:rFonts w:ascii="Times New Roman" w:hAnsi="Times New Roman"/>
                <w:b/>
                <w:i w:val="0"/>
                <w:sz w:val="24"/>
              </w:rPr>
              <w:t>Notion AI</w:t>
            </w:r>
          </w:p>
        </w:tc>
        <w:tc>
          <w:tcPr>
            <w:tcW w:type="dxa" w:w="1465"/>
          </w:tcPr>
          <w:p>
            <w:pPr>
              <w:spacing w:line="360" w:lineRule="exact" w:before="0" w:after="0"/>
              <w:jc w:val="left"/>
            </w:pPr>
            <w:r>
              <w:rPr>
                <w:rFonts w:ascii="Times New Roman" w:hAnsi="Times New Roman"/>
                <w:b/>
                <w:i w:val="0"/>
                <w:sz w:val="24"/>
              </w:rPr>
              <w:t>Guru</w:t>
            </w:r>
          </w:p>
        </w:tc>
        <w:tc>
          <w:tcPr>
            <w:tcW w:type="dxa" w:w="1465"/>
          </w:tcPr>
          <w:p>
            <w:pPr>
              <w:spacing w:line="360" w:lineRule="exact" w:before="0" w:after="0"/>
              <w:jc w:val="left"/>
            </w:pPr>
            <w:r>
              <w:rPr>
                <w:rFonts w:ascii="Times New Roman" w:hAnsi="Times New Roman"/>
                <w:b/>
                <w:i w:val="0"/>
                <w:sz w:val="24"/>
              </w:rPr>
              <w:t>Confluence AI</w:t>
            </w:r>
          </w:p>
        </w:tc>
        <w:tc>
          <w:tcPr>
            <w:tcW w:type="dxa" w:w="1465"/>
          </w:tcPr>
          <w:p>
            <w:pPr>
              <w:spacing w:line="360" w:lineRule="exact" w:before="0" w:after="0"/>
              <w:jc w:val="left"/>
            </w:pPr>
            <w:r>
              <w:rPr>
                <w:rFonts w:ascii="Times New Roman" w:hAnsi="Times New Roman"/>
                <w:b/>
                <w:i w:val="0"/>
                <w:sz w:val="24"/>
              </w:rPr>
              <w:t>Archon</w:t>
            </w:r>
          </w:p>
        </w:tc>
      </w:tr>
      <w:tr>
        <w:tc>
          <w:tcPr>
            <w:tcW w:type="dxa" w:w="1465"/>
          </w:tcPr>
          <w:p>
            <w:pPr>
              <w:spacing w:line="360" w:lineRule="exact" w:before="0" w:after="0"/>
              <w:jc w:val="left"/>
            </w:pPr>
            <w:r>
              <w:rPr>
                <w:rFonts w:ascii="Times New Roman" w:hAnsi="Times New Roman"/>
                <w:b w:val="0"/>
                <w:i w:val="0"/>
                <w:sz w:val="24"/>
              </w:rPr>
              <w:t>Open source</w:t>
            </w:r>
          </w:p>
        </w:tc>
        <w:tc>
          <w:tcPr>
            <w:tcW w:type="dxa" w:w="1465"/>
          </w:tcPr>
          <w:p>
            <w:pPr>
              <w:spacing w:line="360" w:lineRule="exact" w:before="0" w:after="0"/>
              <w:jc w:val="left"/>
            </w:pPr>
            <w:r>
              <w:rPr>
                <w:rFonts w:ascii="Times New Roman" w:hAnsi="Times New Roman"/>
                <w:b w:val="0"/>
                <w:i w:val="0"/>
                <w:sz w:val="24"/>
              </w:rPr>
              <w:t>No (proprietary)</w:t>
            </w:r>
          </w:p>
        </w:tc>
        <w:tc>
          <w:tcPr>
            <w:tcW w:type="dxa" w:w="1465"/>
          </w:tcPr>
          <w:p>
            <w:pPr>
              <w:spacing w:line="360" w:lineRule="exact" w:before="0" w:after="0"/>
              <w:jc w:val="left"/>
            </w:pPr>
            <w:r>
              <w:rPr>
                <w:rFonts w:ascii="Times New Roman" w:hAnsi="Times New Roman"/>
                <w:b w:val="0"/>
                <w:i w:val="0"/>
                <w:sz w:val="24"/>
              </w:rPr>
              <w:t>No (proprietary)</w:t>
            </w:r>
          </w:p>
        </w:tc>
        <w:tc>
          <w:tcPr>
            <w:tcW w:type="dxa" w:w="1465"/>
          </w:tcPr>
          <w:p>
            <w:pPr>
              <w:spacing w:line="360" w:lineRule="exact" w:before="0" w:after="0"/>
              <w:jc w:val="left"/>
            </w:pPr>
            <w:r>
              <w:rPr>
                <w:rFonts w:ascii="Times New Roman" w:hAnsi="Times New Roman"/>
                <w:b w:val="0"/>
                <w:i w:val="0"/>
                <w:sz w:val="24"/>
              </w:rPr>
              <w:t>No (proprietary)</w:t>
            </w:r>
          </w:p>
        </w:tc>
        <w:tc>
          <w:tcPr>
            <w:tcW w:type="dxa" w:w="1465"/>
          </w:tcPr>
          <w:p>
            <w:pPr>
              <w:spacing w:line="360" w:lineRule="exact" w:before="0" w:after="0"/>
              <w:jc w:val="left"/>
            </w:pPr>
            <w:r>
              <w:rPr>
                <w:rFonts w:ascii="Times New Roman" w:hAnsi="Times New Roman"/>
                <w:b w:val="0"/>
                <w:i w:val="0"/>
                <w:sz w:val="24"/>
              </w:rPr>
              <w:t>No (proprietary)</w:t>
            </w:r>
          </w:p>
        </w:tc>
        <w:tc>
          <w:tcPr>
            <w:tcW w:type="dxa" w:w="1465"/>
          </w:tcPr>
          <w:p>
            <w:pPr>
              <w:spacing w:line="360" w:lineRule="exact" w:before="0" w:after="0"/>
              <w:jc w:val="left"/>
            </w:pPr>
            <w:r>
              <w:rPr>
                <w:rFonts w:ascii="Times New Roman" w:hAnsi="Times New Roman"/>
                <w:b w:val="0"/>
                <w:i w:val="0"/>
                <w:sz w:val="24"/>
              </w:rPr>
              <w:t>Yes (project-controlled)</w:t>
            </w:r>
          </w:p>
        </w:tc>
      </w:tr>
      <w:tr>
        <w:tc>
          <w:tcPr>
            <w:tcW w:type="dxa" w:w="1465"/>
          </w:tcPr>
          <w:p>
            <w:pPr>
              <w:spacing w:line="360" w:lineRule="exact" w:before="0" w:after="0"/>
              <w:jc w:val="left"/>
            </w:pPr>
            <w:r>
              <w:rPr>
                <w:rFonts w:ascii="Times New Roman" w:hAnsi="Times New Roman"/>
                <w:b w:val="0"/>
                <w:i w:val="0"/>
                <w:sz w:val="24"/>
              </w:rPr>
              <w:t>Multi-tenant isolation</w:t>
            </w:r>
          </w:p>
        </w:tc>
        <w:tc>
          <w:tcPr>
            <w:tcW w:type="dxa" w:w="1465"/>
          </w:tcPr>
          <w:p>
            <w:pPr>
              <w:spacing w:line="360" w:lineRule="exact" w:before="0" w:after="0"/>
              <w:jc w:val="left"/>
            </w:pPr>
            <w:r>
              <w:rPr>
                <w:rFonts w:ascii="Times New Roman" w:hAnsi="Times New Roman"/>
                <w:b w:val="0"/>
                <w:i w:val="0"/>
                <w:sz w:val="24"/>
              </w:rPr>
              <w:t>Vendor-managed tenant isolation</w:t>
            </w:r>
          </w:p>
        </w:tc>
        <w:tc>
          <w:tcPr>
            <w:tcW w:type="dxa" w:w="1465"/>
          </w:tcPr>
          <w:p>
            <w:pPr>
              <w:spacing w:line="360" w:lineRule="exact" w:before="0" w:after="0"/>
              <w:jc w:val="left"/>
            </w:pPr>
            <w:r>
              <w:rPr>
                <w:rFonts w:ascii="Times New Roman" w:hAnsi="Times New Roman"/>
                <w:b w:val="0"/>
                <w:i w:val="0"/>
                <w:sz w:val="24"/>
              </w:rPr>
              <w:t>Workspace-level isolation</w:t>
            </w:r>
          </w:p>
        </w:tc>
        <w:tc>
          <w:tcPr>
            <w:tcW w:type="dxa" w:w="1465"/>
          </w:tcPr>
          <w:p>
            <w:pPr>
              <w:spacing w:line="360" w:lineRule="exact" w:before="0" w:after="0"/>
              <w:jc w:val="left"/>
            </w:pPr>
            <w:r>
              <w:rPr>
                <w:rFonts w:ascii="Times New Roman" w:hAnsi="Times New Roman"/>
                <w:b w:val="0"/>
                <w:i w:val="0"/>
                <w:sz w:val="24"/>
              </w:rPr>
              <w:t>Workspace-level isolation</w:t>
            </w:r>
          </w:p>
        </w:tc>
        <w:tc>
          <w:tcPr>
            <w:tcW w:type="dxa" w:w="1465"/>
          </w:tcPr>
          <w:p>
            <w:pPr>
              <w:spacing w:line="360" w:lineRule="exact" w:before="0" w:after="0"/>
              <w:jc w:val="left"/>
            </w:pPr>
            <w:r>
              <w:rPr>
                <w:rFonts w:ascii="Times New Roman" w:hAnsi="Times New Roman"/>
                <w:b w:val="0"/>
                <w:i w:val="0"/>
                <w:sz w:val="24"/>
              </w:rPr>
              <w:t>Space/site isolation</w:t>
            </w:r>
          </w:p>
        </w:tc>
        <w:tc>
          <w:tcPr>
            <w:tcW w:type="dxa" w:w="1465"/>
          </w:tcPr>
          <w:p>
            <w:pPr>
              <w:spacing w:line="360" w:lineRule="exact" w:before="0" w:after="0"/>
              <w:jc w:val="left"/>
            </w:pPr>
            <w:r>
              <w:rPr>
                <w:rFonts w:ascii="Times New Roman" w:hAnsi="Times New Roman"/>
                <w:b w:val="0"/>
                <w:i w:val="0"/>
                <w:sz w:val="24"/>
              </w:rPr>
              <w:t>Organization-scoped isolation</w:t>
            </w:r>
          </w:p>
        </w:tc>
      </w:tr>
      <w:tr>
        <w:tc>
          <w:tcPr>
            <w:tcW w:type="dxa" w:w="1465"/>
          </w:tcPr>
          <w:p>
            <w:pPr>
              <w:spacing w:line="360" w:lineRule="exact" w:before="0" w:after="0"/>
              <w:jc w:val="left"/>
            </w:pPr>
            <w:r>
              <w:rPr>
                <w:rFonts w:ascii="Times New Roman" w:hAnsi="Times New Roman"/>
                <w:b w:val="0"/>
                <w:i w:val="0"/>
                <w:sz w:val="24"/>
              </w:rPr>
              <w:t>Query expansion</w:t>
            </w:r>
          </w:p>
        </w:tc>
        <w:tc>
          <w:tcPr>
            <w:tcW w:type="dxa" w:w="1465"/>
          </w:tcPr>
          <w:p>
            <w:pPr>
              <w:spacing w:line="360" w:lineRule="exact" w:before="0" w:after="0"/>
              <w:jc w:val="left"/>
            </w:pPr>
            <w:r>
              <w:rPr>
                <w:rFonts w:ascii="Times New Roman" w:hAnsi="Times New Roman"/>
                <w:b w:val="0"/>
                <w:i w:val="0"/>
                <w:sz w:val="24"/>
              </w:rPr>
              <w:t>Not publicly specified</w:t>
            </w:r>
          </w:p>
        </w:tc>
        <w:tc>
          <w:tcPr>
            <w:tcW w:type="dxa" w:w="1465"/>
          </w:tcPr>
          <w:p>
            <w:pPr>
              <w:spacing w:line="360" w:lineRule="exact" w:before="0" w:after="0"/>
              <w:jc w:val="left"/>
            </w:pPr>
            <w:r>
              <w:rPr>
                <w:rFonts w:ascii="Times New Roman" w:hAnsi="Times New Roman"/>
                <w:b w:val="0"/>
                <w:i w:val="0"/>
                <w:sz w:val="24"/>
              </w:rPr>
              <w:t>Not publicly specified</w:t>
            </w:r>
          </w:p>
        </w:tc>
        <w:tc>
          <w:tcPr>
            <w:tcW w:type="dxa" w:w="1465"/>
          </w:tcPr>
          <w:p>
            <w:pPr>
              <w:spacing w:line="360" w:lineRule="exact" w:before="0" w:after="0"/>
              <w:jc w:val="left"/>
            </w:pPr>
            <w:r>
              <w:rPr>
                <w:rFonts w:ascii="Times New Roman" w:hAnsi="Times New Roman"/>
                <w:b w:val="0"/>
                <w:i w:val="0"/>
                <w:sz w:val="24"/>
              </w:rPr>
              <w:t>Not publicly specified</w:t>
            </w:r>
          </w:p>
        </w:tc>
        <w:tc>
          <w:tcPr>
            <w:tcW w:type="dxa" w:w="1465"/>
          </w:tcPr>
          <w:p>
            <w:pPr>
              <w:spacing w:line="360" w:lineRule="exact" w:before="0" w:after="0"/>
              <w:jc w:val="left"/>
            </w:pPr>
            <w:r>
              <w:rPr>
                <w:rFonts w:ascii="Times New Roman" w:hAnsi="Times New Roman"/>
                <w:b w:val="0"/>
                <w:i w:val="0"/>
                <w:sz w:val="24"/>
              </w:rPr>
              <w:t>Not publicly specified</w:t>
            </w:r>
          </w:p>
        </w:tc>
        <w:tc>
          <w:tcPr>
            <w:tcW w:type="dxa" w:w="1465"/>
          </w:tcPr>
          <w:p>
            <w:pPr>
              <w:spacing w:line="360" w:lineRule="exact" w:before="0" w:after="0"/>
              <w:jc w:val="left"/>
            </w:pPr>
            <w:r>
              <w:rPr>
                <w:rFonts w:ascii="Times New Roman" w:hAnsi="Times New Roman"/>
                <w:b w:val="0"/>
                <w:i w:val="0"/>
                <w:sz w:val="24"/>
              </w:rPr>
              <w:t>Yes</w:t>
            </w:r>
          </w:p>
        </w:tc>
      </w:tr>
      <w:tr>
        <w:tc>
          <w:tcPr>
            <w:tcW w:type="dxa" w:w="1465"/>
          </w:tcPr>
          <w:p>
            <w:pPr>
              <w:spacing w:line="360" w:lineRule="exact" w:before="0" w:after="0"/>
              <w:jc w:val="left"/>
            </w:pPr>
            <w:r>
              <w:rPr>
                <w:rFonts w:ascii="Times New Roman" w:hAnsi="Times New Roman"/>
                <w:b w:val="0"/>
                <w:i w:val="0"/>
                <w:sz w:val="24"/>
              </w:rPr>
              <w:t>Document-scoped retrieval</w:t>
            </w:r>
          </w:p>
        </w:tc>
        <w:tc>
          <w:tcPr>
            <w:tcW w:type="dxa" w:w="1465"/>
          </w:tcPr>
          <w:p>
            <w:pPr>
              <w:spacing w:line="360" w:lineRule="exact" w:before="0" w:after="0"/>
              <w:jc w:val="left"/>
            </w:pPr>
            <w:r>
              <w:rPr>
                <w:rFonts w:ascii="Times New Roman" w:hAnsi="Times New Roman"/>
                <w:b w:val="0"/>
                <w:i w:val="0"/>
                <w:sz w:val="24"/>
              </w:rPr>
              <w:t>Tenant/workspace scoped</w:t>
            </w:r>
          </w:p>
        </w:tc>
        <w:tc>
          <w:tcPr>
            <w:tcW w:type="dxa" w:w="1465"/>
          </w:tcPr>
          <w:p>
            <w:pPr>
              <w:spacing w:line="360" w:lineRule="exact" w:before="0" w:after="0"/>
              <w:jc w:val="left"/>
            </w:pPr>
            <w:r>
              <w:rPr>
                <w:rFonts w:ascii="Times New Roman" w:hAnsi="Times New Roman"/>
                <w:b w:val="0"/>
                <w:i w:val="0"/>
                <w:sz w:val="24"/>
              </w:rPr>
              <w:t>Workspace scoped</w:t>
            </w:r>
          </w:p>
        </w:tc>
        <w:tc>
          <w:tcPr>
            <w:tcW w:type="dxa" w:w="1465"/>
          </w:tcPr>
          <w:p>
            <w:pPr>
              <w:spacing w:line="360" w:lineRule="exact" w:before="0" w:after="0"/>
              <w:jc w:val="left"/>
            </w:pPr>
            <w:r>
              <w:rPr>
                <w:rFonts w:ascii="Times New Roman" w:hAnsi="Times New Roman"/>
                <w:b w:val="0"/>
                <w:i w:val="0"/>
                <w:sz w:val="24"/>
              </w:rPr>
              <w:t>Knowledge-base scoped</w:t>
            </w:r>
          </w:p>
        </w:tc>
        <w:tc>
          <w:tcPr>
            <w:tcW w:type="dxa" w:w="1465"/>
          </w:tcPr>
          <w:p>
            <w:pPr>
              <w:spacing w:line="360" w:lineRule="exact" w:before="0" w:after="0"/>
              <w:jc w:val="left"/>
            </w:pPr>
            <w:r>
              <w:rPr>
                <w:rFonts w:ascii="Times New Roman" w:hAnsi="Times New Roman"/>
                <w:b w:val="0"/>
                <w:i w:val="0"/>
                <w:sz w:val="24"/>
              </w:rPr>
              <w:t>Space/site scoped</w:t>
            </w:r>
          </w:p>
        </w:tc>
        <w:tc>
          <w:tcPr>
            <w:tcW w:type="dxa" w:w="1465"/>
          </w:tcPr>
          <w:p>
            <w:pPr>
              <w:spacing w:line="360" w:lineRule="exact" w:before="0" w:after="0"/>
              <w:jc w:val="left"/>
            </w:pPr>
            <w:r>
              <w:rPr>
                <w:rFonts w:ascii="Times New Roman" w:hAnsi="Times New Roman"/>
                <w:b w:val="0"/>
                <w:i w:val="0"/>
                <w:sz w:val="24"/>
              </w:rPr>
              <w:t>Document-scoped</w:t>
            </w:r>
          </w:p>
        </w:tc>
      </w:tr>
      <w:tr>
        <w:tc>
          <w:tcPr>
            <w:tcW w:type="dxa" w:w="1465"/>
          </w:tcPr>
          <w:p>
            <w:pPr>
              <w:spacing w:line="360" w:lineRule="exact" w:before="0" w:after="0"/>
              <w:jc w:val="left"/>
            </w:pPr>
            <w:r>
              <w:rPr>
                <w:rFonts w:ascii="Times New Roman" w:hAnsi="Times New Roman"/>
                <w:b w:val="0"/>
                <w:i w:val="0"/>
                <w:sz w:val="24"/>
              </w:rPr>
              <w:t>Self-hosted vector store</w:t>
            </w:r>
          </w:p>
        </w:tc>
        <w:tc>
          <w:tcPr>
            <w:tcW w:type="dxa" w:w="1465"/>
          </w:tcPr>
          <w:p>
            <w:pPr>
              <w:spacing w:line="360" w:lineRule="exact" w:before="0" w:after="0"/>
              <w:jc w:val="left"/>
            </w:pPr>
            <w:r>
              <w:rPr>
                <w:rFonts w:ascii="Times New Roman" w:hAnsi="Times New Roman"/>
                <w:b w:val="0"/>
                <w:i w:val="0"/>
                <w:sz w:val="24"/>
              </w:rPr>
              <w:t>No</w:t>
            </w:r>
          </w:p>
        </w:tc>
        <w:tc>
          <w:tcPr>
            <w:tcW w:type="dxa" w:w="1465"/>
          </w:tcPr>
          <w:p>
            <w:pPr>
              <w:spacing w:line="360" w:lineRule="exact" w:before="0" w:after="0"/>
              <w:jc w:val="left"/>
            </w:pPr>
            <w:r>
              <w:rPr>
                <w:rFonts w:ascii="Times New Roman" w:hAnsi="Times New Roman"/>
                <w:b w:val="0"/>
                <w:i w:val="0"/>
                <w:sz w:val="24"/>
              </w:rPr>
              <w:t>No</w:t>
            </w:r>
          </w:p>
        </w:tc>
        <w:tc>
          <w:tcPr>
            <w:tcW w:type="dxa" w:w="1465"/>
          </w:tcPr>
          <w:p>
            <w:pPr>
              <w:spacing w:line="360" w:lineRule="exact" w:before="0" w:after="0"/>
              <w:jc w:val="left"/>
            </w:pPr>
            <w:r>
              <w:rPr>
                <w:rFonts w:ascii="Times New Roman" w:hAnsi="Times New Roman"/>
                <w:b w:val="0"/>
                <w:i w:val="0"/>
                <w:sz w:val="24"/>
              </w:rPr>
              <w:t>No</w:t>
            </w:r>
          </w:p>
        </w:tc>
        <w:tc>
          <w:tcPr>
            <w:tcW w:type="dxa" w:w="1465"/>
          </w:tcPr>
          <w:p>
            <w:pPr>
              <w:spacing w:line="360" w:lineRule="exact" w:before="0" w:after="0"/>
              <w:jc w:val="left"/>
            </w:pPr>
            <w:r>
              <w:rPr>
                <w:rFonts w:ascii="Times New Roman" w:hAnsi="Times New Roman"/>
                <w:b w:val="0"/>
                <w:i w:val="0"/>
                <w:sz w:val="24"/>
              </w:rPr>
              <w:t>No</w:t>
            </w:r>
          </w:p>
        </w:tc>
        <w:tc>
          <w:tcPr>
            <w:tcW w:type="dxa" w:w="1465"/>
          </w:tcPr>
          <w:p>
            <w:pPr>
              <w:spacing w:line="360" w:lineRule="exact" w:before="0" w:after="0"/>
              <w:jc w:val="left"/>
            </w:pPr>
            <w:r>
              <w:rPr>
                <w:rFonts w:ascii="Times New Roman" w:hAnsi="Times New Roman"/>
                <w:b w:val="0"/>
                <w:i w:val="0"/>
                <w:sz w:val="24"/>
              </w:rPr>
              <w:t>Yes (ChromaDB)</w:t>
            </w:r>
          </w:p>
        </w:tc>
      </w:tr>
      <w:tr>
        <w:tc>
          <w:tcPr>
            <w:tcW w:type="dxa" w:w="1465"/>
          </w:tcPr>
          <w:p>
            <w:pPr>
              <w:spacing w:line="360" w:lineRule="exact" w:before="0" w:after="0"/>
              <w:jc w:val="left"/>
            </w:pPr>
            <w:r>
              <w:rPr>
                <w:rFonts w:ascii="Times New Roman" w:hAnsi="Times New Roman"/>
                <w:b w:val="0"/>
                <w:i w:val="0"/>
                <w:sz w:val="24"/>
              </w:rPr>
              <w:t>Custom embedding pipeline</w:t>
            </w:r>
          </w:p>
        </w:tc>
        <w:tc>
          <w:tcPr>
            <w:tcW w:type="dxa" w:w="1465"/>
          </w:tcPr>
          <w:p>
            <w:pPr>
              <w:spacing w:line="360" w:lineRule="exact" w:before="0" w:after="0"/>
              <w:jc w:val="left"/>
            </w:pPr>
            <w:r>
              <w:rPr>
                <w:rFonts w:ascii="Times New Roman" w:hAnsi="Times New Roman"/>
                <w:b w:val="0"/>
                <w:i w:val="0"/>
                <w:sz w:val="24"/>
              </w:rPr>
              <w:t>Not exposed</w:t>
            </w:r>
          </w:p>
        </w:tc>
        <w:tc>
          <w:tcPr>
            <w:tcW w:type="dxa" w:w="1465"/>
          </w:tcPr>
          <w:p>
            <w:pPr>
              <w:spacing w:line="360" w:lineRule="exact" w:before="0" w:after="0"/>
              <w:jc w:val="left"/>
            </w:pPr>
            <w:r>
              <w:rPr>
                <w:rFonts w:ascii="Times New Roman" w:hAnsi="Times New Roman"/>
                <w:b w:val="0"/>
                <w:i w:val="0"/>
                <w:sz w:val="24"/>
              </w:rPr>
              <w:t>Not exposed</w:t>
            </w:r>
          </w:p>
        </w:tc>
        <w:tc>
          <w:tcPr>
            <w:tcW w:type="dxa" w:w="1465"/>
          </w:tcPr>
          <w:p>
            <w:pPr>
              <w:spacing w:line="360" w:lineRule="exact" w:before="0" w:after="0"/>
              <w:jc w:val="left"/>
            </w:pPr>
            <w:r>
              <w:rPr>
                <w:rFonts w:ascii="Times New Roman" w:hAnsi="Times New Roman"/>
                <w:b w:val="0"/>
                <w:i w:val="0"/>
                <w:sz w:val="24"/>
              </w:rPr>
              <w:t>Not exposed</w:t>
            </w:r>
          </w:p>
        </w:tc>
        <w:tc>
          <w:tcPr>
            <w:tcW w:type="dxa" w:w="1465"/>
          </w:tcPr>
          <w:p>
            <w:pPr>
              <w:spacing w:line="360" w:lineRule="exact" w:before="0" w:after="0"/>
              <w:jc w:val="left"/>
            </w:pPr>
            <w:r>
              <w:rPr>
                <w:rFonts w:ascii="Times New Roman" w:hAnsi="Times New Roman"/>
                <w:b w:val="0"/>
                <w:i w:val="0"/>
                <w:sz w:val="24"/>
              </w:rPr>
              <w:t>Not exposed</w:t>
            </w:r>
          </w:p>
        </w:tc>
        <w:tc>
          <w:tcPr>
            <w:tcW w:type="dxa" w:w="1465"/>
          </w:tcPr>
          <w:p>
            <w:pPr>
              <w:spacing w:line="360" w:lineRule="exact" w:before="0" w:after="0"/>
              <w:jc w:val="left"/>
            </w:pPr>
            <w:r>
              <w:rPr>
                <w:rFonts w:ascii="Times New Roman" w:hAnsi="Times New Roman"/>
                <w:b w:val="0"/>
                <w:i w:val="0"/>
                <w:sz w:val="24"/>
              </w:rPr>
              <w:t>Yes</w:t>
            </w:r>
          </w:p>
        </w:tc>
      </w:tr>
      <w:tr>
        <w:tc>
          <w:tcPr>
            <w:tcW w:type="dxa" w:w="1465"/>
          </w:tcPr>
          <w:p>
            <w:pPr>
              <w:spacing w:line="360" w:lineRule="exact" w:before="0" w:after="0"/>
              <w:jc w:val="left"/>
            </w:pPr>
            <w:r>
              <w:rPr>
                <w:rFonts w:ascii="Times New Roman" w:hAnsi="Times New Roman"/>
                <w:b w:val="0"/>
                <w:i w:val="0"/>
                <w:sz w:val="24"/>
              </w:rPr>
              <w:t>Free tier available</w:t>
            </w:r>
          </w:p>
        </w:tc>
        <w:tc>
          <w:tcPr>
            <w:tcW w:type="dxa" w:w="1465"/>
          </w:tcPr>
          <w:p>
            <w:pPr>
              <w:spacing w:line="360" w:lineRule="exact" w:before="0" w:after="0"/>
              <w:jc w:val="left"/>
            </w:pPr>
            <w:r>
              <w:rPr>
                <w:rFonts w:ascii="Times New Roman" w:hAnsi="Times New Roman"/>
                <w:b w:val="0"/>
                <w:i w:val="0"/>
                <w:sz w:val="24"/>
              </w:rPr>
              <w:t>Paid add-on</w:t>
            </w:r>
          </w:p>
        </w:tc>
        <w:tc>
          <w:tcPr>
            <w:tcW w:type="dxa" w:w="1465"/>
          </w:tcPr>
          <w:p>
            <w:pPr>
              <w:spacing w:line="360" w:lineRule="exact" w:before="0" w:after="0"/>
              <w:jc w:val="left"/>
            </w:pPr>
            <w:r>
              <w:rPr>
                <w:rFonts w:ascii="Times New Roman" w:hAnsi="Times New Roman"/>
                <w:b w:val="0"/>
                <w:i w:val="0"/>
                <w:sz w:val="24"/>
              </w:rPr>
              <w:t>Paid add-on</w:t>
            </w:r>
          </w:p>
        </w:tc>
        <w:tc>
          <w:tcPr>
            <w:tcW w:type="dxa" w:w="1465"/>
          </w:tcPr>
          <w:p>
            <w:pPr>
              <w:spacing w:line="360" w:lineRule="exact" w:before="0" w:after="0"/>
              <w:jc w:val="left"/>
            </w:pPr>
            <w:r>
              <w:rPr>
                <w:rFonts w:ascii="Times New Roman" w:hAnsi="Times New Roman"/>
                <w:b w:val="0"/>
                <w:i w:val="0"/>
                <w:sz w:val="24"/>
              </w:rPr>
              <w:t>Paid plans</w:t>
            </w:r>
          </w:p>
        </w:tc>
        <w:tc>
          <w:tcPr>
            <w:tcW w:type="dxa" w:w="1465"/>
          </w:tcPr>
          <w:p>
            <w:pPr>
              <w:spacing w:line="360" w:lineRule="exact" w:before="0" w:after="0"/>
              <w:jc w:val="left"/>
            </w:pPr>
            <w:r>
              <w:rPr>
                <w:rFonts w:ascii="Times New Roman" w:hAnsi="Times New Roman"/>
                <w:b w:val="0"/>
                <w:i w:val="0"/>
                <w:sz w:val="24"/>
              </w:rPr>
              <w:t>Paid add-on</w:t>
            </w:r>
          </w:p>
        </w:tc>
        <w:tc>
          <w:tcPr>
            <w:tcW w:type="dxa" w:w="1465"/>
          </w:tcPr>
          <w:p>
            <w:pPr>
              <w:spacing w:line="360" w:lineRule="exact" w:before="0" w:after="0"/>
              <w:jc w:val="left"/>
            </w:pPr>
            <w:r>
              <w:rPr>
                <w:rFonts w:ascii="Times New Roman" w:hAnsi="Times New Roman"/>
                <w:b w:val="0"/>
                <w:i w:val="0"/>
                <w:sz w:val="24"/>
              </w:rPr>
              <w:t>Self-hosted (infrastructure cost only)</w:t>
            </w:r>
          </w:p>
        </w:tc>
      </w:tr>
    </w:tbl>
    <w:p>
      <w:pPr>
        <w:spacing w:line="360" w:lineRule="exact" w:before="120" w:after="240"/>
        <w:jc w:val="center"/>
      </w:pPr>
      <w:r>
        <w:rPr>
          <w:rFonts w:ascii="Times New Roman" w:hAnsi="Times New Roman"/>
          <w:i/>
          <w:sz w:val="24"/>
        </w:rPr>
        <w:t>Table 1: Comparison of enterprise Q&amp;A solutions and Archon</w:t>
      </w:r>
    </w:p>
    <w:p>
      <w:pPr>
        <w:spacing w:line="360" w:lineRule="exact" w:before="0" w:after="240"/>
        <w:jc w:val="both"/>
      </w:pPr>
      <w:r>
        <w:rPr>
          <w:rFonts w:ascii="Times New Roman" w:hAnsi="Times New Roman"/>
          <w:b w:val="0"/>
          <w:i w:val="0"/>
          <w:sz w:val="24"/>
        </w:rPr>
        <w:t>Archon is positioned as a controllable alternative to vendor-managed platforms by providing organization-scoped isolation and a transparent retrieval workflow. The use of explicit query expansion and document-scoped retrieval supports precise answers for enterprise collections where relevance must be constrained to approved materials. These choices emphasize auditability and alignment with internal governance requirements.</w:t>
      </w:r>
    </w:p>
    <w:p>
      <w:pPr>
        <w:spacing w:line="360" w:lineRule="exact" w:before="0" w:after="240"/>
        <w:jc w:val="both"/>
      </w:pPr>
      <w:r>
        <w:rPr>
          <w:rFonts w:ascii="Times New Roman" w:hAnsi="Times New Roman"/>
          <w:b w:val="0"/>
          <w:i w:val="0"/>
          <w:sz w:val="24"/>
        </w:rPr>
        <w:t>The architecture further differentiates itself by enabling a self-hosted vector store and a custom embedding pipeline, which allow deployment in environments with strict data residency or compliance constraints. This positioning favors teams that require ownership of retrieval logic, model choices, and infrastructure while still benefiting from modern LLM-based question answering.</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