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exact" w:before="0" w:after="240"/>
        <w:jc w:val="left"/>
      </w:pPr>
      <w:r>
        <w:rPr>
          <w:rFonts w:ascii="Times New Roman" w:hAnsi="Times New Roman"/>
          <w:b/>
          <w:i w:val="0"/>
          <w:caps/>
          <w:sz w:val="28"/>
        </w:rPr>
        <w:t>THEORETICAL BACKGROUND</w:t>
      </w:r>
    </w:p>
    <w:p>
      <w:pPr>
        <w:pStyle w:val="Heading1"/>
        <w:spacing w:line="360" w:lineRule="exact" w:before="240" w:after="240"/>
        <w:jc w:val="left"/>
      </w:pPr>
      <w:r>
        <w:t>3.2 Software Architecture Patterns</w:t>
      </w:r>
    </w:p>
    <w:p>
      <w:pPr>
        <w:spacing w:line="360" w:lineRule="exact"/>
      </w:pPr>
      <w:r>
        <w:rPr>
          <w:rFonts w:ascii="Times New Roman" w:hAnsi="Times New Roman"/>
          <w:sz w:val="24"/>
        </w:rPr>
        <w:t>A multi-tier architecture separates a system into layers, and each layer has a clear responsibility. In Archon, the React and Vite frontend is the presentation layer, the Express API server is the application layer where business rules run, and MongoDB plus ChromaDB form the data layer. ChromaDB is a vector store, while MongoDB holds structured records. This separation lets the interface, logic, and storage evolve independently.</w:t>
      </w:r>
    </w:p>
    <w:p>
      <w:pPr>
        <w:spacing w:line="360" w:lineRule="exact"/>
      </w:pPr>
      <w:r>
        <w:rPr>
          <w:rFonts w:ascii="Times New Roman" w:hAnsi="Times New Roman"/>
          <w:sz w:val="24"/>
        </w:rPr>
        <w:t>RESTful API design organizes endpoints around resources such as documents, conversations, and users, and it uses standard HTTP verbs. Each request is stateless, meaning the server does not depend on prior requests to process the current one. The backend exposes routes for authentication, documents, conversations, organizations, and users, and it returns structured responses. It also uses middleware (shared request-processing steps) for cross-cutting tasks like security checks and usage limits.</w:t>
      </w:r>
    </w:p>
    <w:p>
      <w:pPr>
        <w:spacing w:line="360" w:lineRule="exact"/>
      </w:pPr>
      <w:r>
        <w:rPr>
          <w:rFonts w:ascii="Times New Roman" w:hAnsi="Times New Roman"/>
          <w:sz w:val="24"/>
        </w:rPr>
        <w:t>The multi-tenancy pattern keeps each organization's data separate while sharing the same application infrastructure. Archon scopes queries and access controls to the active organization so that documents, conversations, and user data are isolated. It enforces role-based access control (RBAC), which assigns permissions based on user roles. Join requests and invite codes help manage membership boundaries.</w:t>
      </w:r>
    </w:p>
    <w:p>
      <w:pPr>
        <w:spacing w:line="360" w:lineRule="exact"/>
      </w:pPr>
      <w:r>
        <w:rPr>
          <w:rFonts w:ascii="Times New Roman" w:hAnsi="Times New Roman"/>
          <w:sz w:val="24"/>
        </w:rPr>
        <w:t>The service layer pattern keeps controllers focused on HTTP handling and places core business logic in separate services. In Archon, services handle tasks like document indexing and retrieval logic, while controllers manage requests and responses. This improves testability and reuse and prevents low-level details from leaking into the request layer.</w:t>
      </w:r>
    </w:p>
    <w:p>
      <w:pPr>
        <w:spacing w:line="360" w:lineRule="exact"/>
      </w:pPr>
      <w:r>
        <w:rPr>
          <w:rFonts w:ascii="Times New Roman" w:hAnsi="Times New Roman"/>
          <w:sz w:val="24"/>
        </w:rPr>
        <w:t>Retrieval-Augmented Generation (RAG) combines information retrieval with a Large Language Model (LLM). Archon first expands a query into alternative phrasings, then converts each version into a text embedding (a numeric representation of meaning) for similarity search. It retrieves the most relevant document sections, adds them to the prompt, and then Gemini generates the final answer based only on that context. This reduces hallucination risk — the risk of the AI generating incorrect or made-up information — and keeps answers grounded in the source documents.</w:t>
      </w:r>
    </w:p>
    <w:p>
      <w:pPr>
        <w:pStyle w:val="Heading1"/>
        <w:spacing w:line="360" w:lineRule="exact" w:before="240" w:after="240"/>
        <w:jc w:val="left"/>
      </w:pPr>
      <w:r>
        <w:t>3.3 Technology Stack</w:t>
      </w:r>
    </w:p>
    <w:p>
      <w:pPr>
        <w:pStyle w:val="Heading2"/>
        <w:spacing w:line="360" w:lineRule="exact" w:before="240" w:after="240"/>
        <w:jc w:val="left"/>
      </w:pPr>
      <w:r>
        <w:t>3.3.1 Backend</w:t>
      </w:r>
    </w:p>
    <w:p>
      <w:pPr>
        <w:spacing w:line="360" w:lineRule="exact" w:before="0" w:after="240"/>
        <w:jc w:val="both"/>
      </w:pPr>
      <w:r>
        <w:rPr>
          <w:rFonts w:ascii="Times New Roman" w:hAnsi="Times New Roman"/>
          <w:b w:val="0"/>
          <w:i w:val="0"/>
          <w:sz w:val="24"/>
        </w:rPr>
        <w:t>Node.js provides a runtime environment that can handle multiple tasks simultaneously without waiting for each one to finish. This makes it well suited for document processing, external API calls, and serving multiple users at the same time. Express 5 was selected for its modern routing layer and simplified error handling, which makes it easier to build and maintain the API. MongoDB offers flexible document storage for user and document metadata, while Mongoose adds schema validation and query modeling to enforce consistency across collections.</w:t>
      </w:r>
    </w:p>
    <w:p>
      <w:pPr>
        <w:pStyle w:val="Heading2"/>
        <w:spacing w:line="360" w:lineRule="exact" w:before="240" w:after="240"/>
        <w:jc w:val="left"/>
      </w:pPr>
      <w:r>
        <w:t>3.3.2 Vector Database</w:t>
      </w:r>
    </w:p>
    <w:p>
      <w:pPr>
        <w:spacing w:line="360" w:lineRule="exact" w:before="0" w:after="240"/>
        <w:jc w:val="both"/>
      </w:pPr>
      <w:r>
        <w:rPr>
          <w:rFonts w:ascii="Times New Roman" w:hAnsi="Times New Roman"/>
          <w:b w:val="0"/>
          <w:i w:val="0"/>
          <w:sz w:val="24"/>
        </w:rPr>
        <w:t>ChromaDB is a specialized search database that stores numerical representations of text — known as embeddings — to enable meaning-based search rather than exact keyword matching. It finds document sections based on meaning and can filter results by document properties such as which file they belong to. It was chosen because it can be deployed as a separate service within the same infrastructure environment and supports search operations that can be restricted to a specific set of documents. This enables fast and accurate retrieval while keeping full control over the search database within the deployment environment.</w:t>
      </w:r>
    </w:p>
    <w:p/>
    <w:p>
      <w:pPr>
        <w:pStyle w:val="Heading2"/>
        <w:spacing w:line="360" w:lineRule="exact" w:before="240" w:after="240"/>
        <w:jc w:val="left"/>
      </w:pPr>
      <w:r>
        <w:t>3.3.3 AI/LLM Layer</w:t>
      </w:r>
    </w:p>
    <w:p>
      <w:pPr>
        <w:spacing w:line="360" w:lineRule="exact" w:before="0" w:after="240"/>
        <w:jc w:val="both"/>
      </w:pPr>
      <w:r>
        <w:rPr>
          <w:rFonts w:ascii="Times New Roman" w:hAnsi="Times New Roman"/>
          <w:b w:val="0"/>
          <w:i w:val="0"/>
          <w:sz w:val="24"/>
        </w:rPr>
        <w:t>Gemini 2.5 Flash provides low-latency chat generation suitable for interactive question answering. The gemini-embedding-001 model was selected to produce consistent embeddings compatible with the Google API used by the system. LangChain is employed for a text splitting component that breaks documents into 1500-character segments with 200-character overlap to preserve context while keeping sections small enough to search, and for a wrapper that manages how questions and context are structured before being sent to the AI.</w:t>
      </w:r>
    </w:p>
    <w:p>
      <w:pPr>
        <w:pStyle w:val="Heading2"/>
        <w:spacing w:line="360" w:lineRule="exact" w:before="240" w:after="240"/>
        <w:jc w:val="left"/>
      </w:pPr>
      <w:r>
        <w:t>3.3.4 Frontend</w:t>
      </w:r>
    </w:p>
    <w:p>
      <w:pPr>
        <w:spacing w:line="360" w:lineRule="exact" w:before="0" w:after="240"/>
        <w:jc w:val="both"/>
      </w:pPr>
      <w:r>
        <w:rPr>
          <w:rFonts w:ascii="Times New Roman" w:hAnsi="Times New Roman"/>
          <w:b w:val="0"/>
          <w:i w:val="0"/>
          <w:sz w:val="24"/>
        </w:rPr>
        <w:t>React 19 offers a component-based architecture that supports reusable UI composition and predictable state management. Vite was chosen for its fast development server and optimized builds, which shorten iteration cycles. Tailwind CSS v4 provides a styling approach that uses small reusable building blocks to create a consistent visual design, and React Router v7 manages page navigation and ensures that certain pages are only accessible to logged-in users.</w:t>
      </w:r>
    </w:p>
    <w:p>
      <w:pPr>
        <w:pStyle w:val="Heading2"/>
        <w:spacing w:line="360" w:lineRule="exact" w:before="240" w:after="240"/>
        <w:jc w:val="left"/>
      </w:pPr>
      <w:r>
        <w:t>3.3.5 Deployment</w:t>
      </w:r>
    </w:p>
    <w:p>
      <w:pPr>
        <w:spacing w:line="360" w:lineRule="exact" w:before="0" w:after="240"/>
        <w:jc w:val="both"/>
      </w:pPr>
      <w:r>
        <w:rPr>
          <w:rFonts w:ascii="Times New Roman" w:hAnsi="Times New Roman"/>
          <w:b w:val="0"/>
          <w:i w:val="0"/>
          <w:sz w:val="24"/>
        </w:rPr>
        <w:t>Render is used to host the backend API and ChromaDB services, providing managed infrastructure with straightforward deployment workflows. Vercel delivers the frontend with global edge distribution and rapid build pipelines. MongoDB Atlas supplies a managed database layer, reducing operational overhead while ensuring availability and backups.</w:t>
      </w:r>
    </w:p>
    <w:p>
      <w:pPr>
        <w:pStyle w:val="Heading2"/>
        <w:spacing w:line="360" w:lineRule="exact" w:before="240" w:after="240"/>
        <w:jc w:val="left"/>
      </w:pPr>
      <w:r>
        <w:t>3.3.6 Email Service</w:t>
      </w:r>
    </w:p>
    <w:p>
      <w:pPr>
        <w:spacing w:line="360" w:lineRule="exact" w:before="0" w:after="240"/>
        <w:jc w:val="both"/>
      </w:pPr>
      <w:r>
        <w:rPr>
          <w:rFonts w:ascii="Times New Roman" w:hAnsi="Times New Roman"/>
          <w:b w:val="0"/>
          <w:i w:val="0"/>
          <w:sz w:val="24"/>
        </w:rPr>
        <w:t>Resend is an email delivery service for transactional messages such as password reset workflows. It was chosen because it offers a developer-friendly API and reliable delivery, which are necessary for secure account recovery in production.</w:t>
      </w:r>
    </w:p>
    <w:p>
      <w:pPr>
        <w:pStyle w:val="Heading1"/>
        <w:spacing w:line="360" w:lineRule="exact" w:before="240" w:after="240"/>
        <w:jc w:val="left"/>
      </w:pPr>
      <w:r>
        <w:t>3.4 Related Work</w:t>
      </w:r>
    </w:p>
    <w:p>
      <w:pPr>
        <w:pStyle w:val="Heading2"/>
        <w:spacing w:line="360" w:lineRule="exact" w:before="240" w:after="240"/>
        <w:jc w:val="left"/>
      </w:pPr>
      <w:r>
        <w:t>3.4.1 Landscape of Existing Solutions</w:t>
      </w:r>
    </w:p>
    <w:p>
      <w:pPr>
        <w:spacing w:line="360" w:lineRule="exact" w:before="0" w:after="240"/>
        <w:jc w:val="both"/>
      </w:pPr>
      <w:r>
        <w:rPr>
          <w:rFonts w:ascii="Times New Roman" w:hAnsi="Times New Roman"/>
          <w:b w:val="0"/>
          <w:i w:val="0"/>
          <w:sz w:val="24"/>
        </w:rPr>
        <w:t>Microsoft Copilot for Enterprise integrates generative assistance across Microsoft 365 applications and organizational content. It targets large enterprises that are already invested in the Microsoft ecosystem and seek productivity gains within familiar tools. The service is delivered as a cloud subscription that leverages Microsoft-managed infrastructure.</w:t>
      </w:r>
    </w:p>
    <w:p>
      <w:pPr>
        <w:spacing w:line="360" w:lineRule="exact" w:before="0" w:after="240"/>
        <w:jc w:val="both"/>
      </w:pPr>
      <w:r>
        <w:rPr>
          <w:rFonts w:ascii="Times New Roman" w:hAnsi="Times New Roman"/>
          <w:b w:val="0"/>
          <w:i w:val="0"/>
          <w:sz w:val="24"/>
        </w:rPr>
        <w:t>Notion AI provides summarization, drafting, and question answering directly within Notion workspaces. Its target market is teams and organizations that centralize documentation in Notion and require lightweight knowledge assistance. The capability is offered as a managed SaaS add-on inside the Notion platform.</w:t>
      </w:r>
    </w:p>
    <w:p>
      <w:pPr>
        <w:spacing w:line="360" w:lineRule="exact" w:before="0" w:after="240"/>
        <w:jc w:val="both"/>
      </w:pPr>
      <w:r>
        <w:rPr>
          <w:rFonts w:ascii="Times New Roman" w:hAnsi="Times New Roman"/>
          <w:b w:val="0"/>
          <w:i w:val="0"/>
          <w:sz w:val="24"/>
        </w:rPr>
        <w:t>Guru combines a knowledge base with AI-assisted answers to support customer-facing and internal teams. It focuses on organizations that need curated knowledge cards, verification workflows, and browser-based access. The solution is delivered as a hosted SaaS product with integrations into common collaboration tools.</w:t>
      </w:r>
    </w:p>
    <w:p>
      <w:pPr>
        <w:spacing w:line="360" w:lineRule="exact" w:before="0" w:after="240"/>
        <w:jc w:val="both"/>
      </w:pPr>
      <w:r>
        <w:rPr>
          <w:rFonts w:ascii="Times New Roman" w:hAnsi="Times New Roman"/>
          <w:b w:val="0"/>
          <w:i w:val="0"/>
          <w:sz w:val="24"/>
        </w:rPr>
        <w:t>Confluence AI augments Atlassian Confluence with AI search, summarization, and content generation features. It primarily serves enterprises that manage documentation and project knowledge in the Atlassian stack. The service is delivered as a cloud offering within Confluence Cloud.</w:t>
      </w:r>
    </w:p>
    <w:p>
      <w:pPr>
        <w:pStyle w:val="Heading2"/>
        <w:spacing w:line="360" w:lineRule="exact" w:before="240" w:after="240"/>
        <w:jc w:val="left"/>
      </w:pPr>
      <w:r>
        <w:t>3.4.2 Gap Analysis &amp; Strategic Improvements</w:t>
      </w:r>
    </w:p>
    <w:p>
      <w:pPr>
        <w:spacing w:line="360" w:lineRule="exact" w:before="0" w:after="240"/>
        <w:jc w:val="both"/>
      </w:pPr>
      <w:r>
        <w:rPr>
          <w:rFonts w:ascii="Times New Roman" w:hAnsi="Times New Roman"/>
          <w:b w:val="0"/>
          <w:i w:val="0"/>
          <w:sz w:val="24"/>
        </w:rPr>
        <w:t>The table below compares key capabilities across representative enterprise Q&amp;A solutions and Archon.</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pPr>
              <w:spacing w:line="360" w:lineRule="exact" w:before="0" w:after="0"/>
              <w:jc w:val="left"/>
            </w:pPr>
            <w:r>
              <w:rPr>
                <w:rFonts w:ascii="Times New Roman" w:hAnsi="Times New Roman"/>
                <w:b/>
                <w:i w:val="0"/>
                <w:sz w:val="24"/>
              </w:rPr>
              <w:t>Feature</w:t>
            </w:r>
          </w:p>
        </w:tc>
        <w:tc>
          <w:tcPr>
            <w:tcW w:type="dxa" w:w="1465"/>
          </w:tcPr>
          <w:p>
            <w:pPr>
              <w:spacing w:line="360" w:lineRule="exact" w:before="0" w:after="0"/>
              <w:jc w:val="left"/>
            </w:pPr>
            <w:r>
              <w:rPr>
                <w:rFonts w:ascii="Times New Roman" w:hAnsi="Times New Roman"/>
                <w:b/>
                <w:i w:val="0"/>
                <w:sz w:val="24"/>
              </w:rPr>
              <w:t>Microsoft Copilot</w:t>
            </w:r>
          </w:p>
        </w:tc>
        <w:tc>
          <w:tcPr>
            <w:tcW w:type="dxa" w:w="1465"/>
          </w:tcPr>
          <w:p>
            <w:pPr>
              <w:spacing w:line="360" w:lineRule="exact" w:before="0" w:after="0"/>
              <w:jc w:val="left"/>
            </w:pPr>
            <w:r>
              <w:rPr>
                <w:rFonts w:ascii="Times New Roman" w:hAnsi="Times New Roman"/>
                <w:b/>
                <w:i w:val="0"/>
                <w:sz w:val="24"/>
              </w:rPr>
              <w:t>Notion AI</w:t>
            </w:r>
          </w:p>
        </w:tc>
        <w:tc>
          <w:tcPr>
            <w:tcW w:type="dxa" w:w="1465"/>
          </w:tcPr>
          <w:p>
            <w:pPr>
              <w:spacing w:line="360" w:lineRule="exact" w:before="0" w:after="0"/>
              <w:jc w:val="left"/>
            </w:pPr>
            <w:r>
              <w:rPr>
                <w:rFonts w:ascii="Times New Roman" w:hAnsi="Times New Roman"/>
                <w:b/>
                <w:i w:val="0"/>
                <w:sz w:val="24"/>
              </w:rPr>
              <w:t>Guru</w:t>
            </w:r>
          </w:p>
        </w:tc>
        <w:tc>
          <w:tcPr>
            <w:tcW w:type="dxa" w:w="1465"/>
          </w:tcPr>
          <w:p>
            <w:pPr>
              <w:spacing w:line="360" w:lineRule="exact" w:before="0" w:after="0"/>
              <w:jc w:val="left"/>
            </w:pPr>
            <w:r>
              <w:rPr>
                <w:rFonts w:ascii="Times New Roman" w:hAnsi="Times New Roman"/>
                <w:b/>
                <w:i w:val="0"/>
                <w:sz w:val="24"/>
              </w:rPr>
              <w:t>Confluence AI</w:t>
            </w:r>
          </w:p>
        </w:tc>
        <w:tc>
          <w:tcPr>
            <w:tcW w:type="dxa" w:w="1465"/>
          </w:tcPr>
          <w:p>
            <w:pPr>
              <w:spacing w:line="360" w:lineRule="exact" w:before="0" w:after="0"/>
              <w:jc w:val="left"/>
            </w:pPr>
            <w:r>
              <w:rPr>
                <w:rFonts w:ascii="Times New Roman" w:hAnsi="Times New Roman"/>
                <w:b/>
                <w:i w:val="0"/>
                <w:sz w:val="24"/>
              </w:rPr>
              <w:t>Archon</w:t>
            </w:r>
          </w:p>
        </w:tc>
      </w:tr>
      <w:tr>
        <w:tc>
          <w:tcPr>
            <w:tcW w:type="dxa" w:w="1465"/>
          </w:tcPr>
          <w:p>
            <w:pPr>
              <w:spacing w:line="360" w:lineRule="exact" w:before="0" w:after="0"/>
              <w:jc w:val="left"/>
            </w:pPr>
            <w:r>
              <w:rPr>
                <w:rFonts w:ascii="Times New Roman" w:hAnsi="Times New Roman"/>
                <w:b w:val="0"/>
                <w:i w:val="0"/>
                <w:sz w:val="24"/>
              </w:rPr>
              <w:t>Open source</w:t>
            </w:r>
          </w:p>
        </w:tc>
        <w:tc>
          <w:tcPr>
            <w:tcW w:type="dxa" w:w="1465"/>
          </w:tcPr>
          <w:p>
            <w:pPr>
              <w:spacing w:line="360" w:lineRule="exact" w:before="0" w:after="0"/>
              <w:jc w:val="left"/>
            </w:pPr>
            <w:r>
              <w:rPr>
                <w:rFonts w:ascii="Times New Roman" w:hAnsi="Times New Roman"/>
                <w:b w:val="0"/>
                <w:i w:val="0"/>
                <w:sz w:val="24"/>
              </w:rPr>
              <w:t>No (proprietary)</w:t>
            </w:r>
          </w:p>
        </w:tc>
        <w:tc>
          <w:tcPr>
            <w:tcW w:type="dxa" w:w="1465"/>
          </w:tcPr>
          <w:p>
            <w:pPr>
              <w:spacing w:line="360" w:lineRule="exact" w:before="0" w:after="0"/>
              <w:jc w:val="left"/>
            </w:pPr>
            <w:r>
              <w:rPr>
                <w:rFonts w:ascii="Times New Roman" w:hAnsi="Times New Roman"/>
                <w:b w:val="0"/>
                <w:i w:val="0"/>
                <w:sz w:val="24"/>
              </w:rPr>
              <w:t>No (proprietary)</w:t>
            </w:r>
          </w:p>
        </w:tc>
        <w:tc>
          <w:tcPr>
            <w:tcW w:type="dxa" w:w="1465"/>
          </w:tcPr>
          <w:p>
            <w:pPr>
              <w:spacing w:line="360" w:lineRule="exact" w:before="0" w:after="0"/>
              <w:jc w:val="left"/>
            </w:pPr>
            <w:r>
              <w:rPr>
                <w:rFonts w:ascii="Times New Roman" w:hAnsi="Times New Roman"/>
                <w:b w:val="0"/>
                <w:i w:val="0"/>
                <w:sz w:val="24"/>
              </w:rPr>
              <w:t>No (proprietary)</w:t>
            </w:r>
          </w:p>
        </w:tc>
        <w:tc>
          <w:tcPr>
            <w:tcW w:type="dxa" w:w="1465"/>
          </w:tcPr>
          <w:p>
            <w:pPr>
              <w:spacing w:line="360" w:lineRule="exact" w:before="0" w:after="0"/>
              <w:jc w:val="left"/>
            </w:pPr>
            <w:r>
              <w:rPr>
                <w:rFonts w:ascii="Times New Roman" w:hAnsi="Times New Roman"/>
                <w:b w:val="0"/>
                <w:i w:val="0"/>
                <w:sz w:val="24"/>
              </w:rPr>
              <w:t>No (proprietary)</w:t>
            </w:r>
          </w:p>
        </w:tc>
        <w:tc>
          <w:tcPr>
            <w:tcW w:type="dxa" w:w="1465"/>
          </w:tcPr>
          <w:p>
            <w:pPr>
              <w:spacing w:line="360" w:lineRule="exact" w:before="0" w:after="0"/>
              <w:jc w:val="left"/>
            </w:pPr>
            <w:r>
              <w:rPr>
                <w:rFonts w:ascii="Times New Roman" w:hAnsi="Times New Roman"/>
                <w:b w:val="0"/>
                <w:i w:val="0"/>
                <w:sz w:val="24"/>
              </w:rPr>
              <w:t>Yes (project-controlled)</w:t>
            </w:r>
          </w:p>
        </w:tc>
      </w:tr>
      <w:tr>
        <w:tc>
          <w:tcPr>
            <w:tcW w:type="dxa" w:w="1465"/>
          </w:tcPr>
          <w:p>
            <w:pPr>
              <w:spacing w:line="360" w:lineRule="exact" w:before="0" w:after="0"/>
              <w:jc w:val="left"/>
            </w:pPr>
            <w:r>
              <w:rPr>
                <w:rFonts w:ascii="Times New Roman" w:hAnsi="Times New Roman"/>
                <w:b w:val="0"/>
                <w:i w:val="0"/>
                <w:sz w:val="24"/>
              </w:rPr>
              <w:t>Multi-tenant isolation</w:t>
            </w:r>
          </w:p>
        </w:tc>
        <w:tc>
          <w:tcPr>
            <w:tcW w:type="dxa" w:w="1465"/>
          </w:tcPr>
          <w:p>
            <w:pPr>
              <w:spacing w:line="360" w:lineRule="exact" w:before="0" w:after="0"/>
              <w:jc w:val="left"/>
            </w:pPr>
            <w:r>
              <w:rPr>
                <w:rFonts w:ascii="Times New Roman" w:hAnsi="Times New Roman"/>
                <w:b w:val="0"/>
                <w:i w:val="0"/>
                <w:sz w:val="24"/>
              </w:rPr>
              <w:t>Vendor-managed tenant isolation</w:t>
            </w:r>
          </w:p>
        </w:tc>
        <w:tc>
          <w:tcPr>
            <w:tcW w:type="dxa" w:w="1465"/>
          </w:tcPr>
          <w:p>
            <w:pPr>
              <w:spacing w:line="360" w:lineRule="exact" w:before="0" w:after="0"/>
              <w:jc w:val="left"/>
            </w:pPr>
            <w:r>
              <w:rPr>
                <w:rFonts w:ascii="Times New Roman" w:hAnsi="Times New Roman"/>
                <w:b w:val="0"/>
                <w:i w:val="0"/>
                <w:sz w:val="24"/>
              </w:rPr>
              <w:t>Workspace-level isolation</w:t>
            </w:r>
          </w:p>
        </w:tc>
        <w:tc>
          <w:tcPr>
            <w:tcW w:type="dxa" w:w="1465"/>
          </w:tcPr>
          <w:p>
            <w:pPr>
              <w:spacing w:line="360" w:lineRule="exact" w:before="0" w:after="0"/>
              <w:jc w:val="left"/>
            </w:pPr>
            <w:r>
              <w:rPr>
                <w:rFonts w:ascii="Times New Roman" w:hAnsi="Times New Roman"/>
                <w:b w:val="0"/>
                <w:i w:val="0"/>
                <w:sz w:val="24"/>
              </w:rPr>
              <w:t>Workspace-level isolation</w:t>
            </w:r>
          </w:p>
        </w:tc>
        <w:tc>
          <w:tcPr>
            <w:tcW w:type="dxa" w:w="1465"/>
          </w:tcPr>
          <w:p>
            <w:pPr>
              <w:spacing w:line="360" w:lineRule="exact" w:before="0" w:after="0"/>
              <w:jc w:val="left"/>
            </w:pPr>
            <w:r>
              <w:rPr>
                <w:rFonts w:ascii="Times New Roman" w:hAnsi="Times New Roman"/>
                <w:b w:val="0"/>
                <w:i w:val="0"/>
                <w:sz w:val="24"/>
              </w:rPr>
              <w:t>Space/site isolation</w:t>
            </w:r>
          </w:p>
        </w:tc>
        <w:tc>
          <w:tcPr>
            <w:tcW w:type="dxa" w:w="1465"/>
          </w:tcPr>
          <w:p>
            <w:pPr>
              <w:spacing w:line="360" w:lineRule="exact" w:before="0" w:after="0"/>
              <w:jc w:val="left"/>
            </w:pPr>
            <w:r>
              <w:rPr>
                <w:rFonts w:ascii="Times New Roman" w:hAnsi="Times New Roman"/>
                <w:b w:val="0"/>
                <w:i w:val="0"/>
                <w:sz w:val="24"/>
              </w:rPr>
              <w:t>Organization-scoped isolation</w:t>
            </w:r>
          </w:p>
        </w:tc>
      </w:tr>
      <w:tr>
        <w:tc>
          <w:tcPr>
            <w:tcW w:type="dxa" w:w="1465"/>
          </w:tcPr>
          <w:p>
            <w:pPr>
              <w:spacing w:line="360" w:lineRule="exact" w:before="0" w:after="0"/>
              <w:jc w:val="left"/>
            </w:pPr>
            <w:r>
              <w:rPr>
                <w:rFonts w:ascii="Times New Roman" w:hAnsi="Times New Roman"/>
                <w:b w:val="0"/>
                <w:i w:val="0"/>
                <w:sz w:val="24"/>
              </w:rPr>
              <w:t>Query expansion</w:t>
            </w:r>
          </w:p>
        </w:tc>
        <w:tc>
          <w:tcPr>
            <w:tcW w:type="dxa" w:w="1465"/>
          </w:tcPr>
          <w:p>
            <w:pPr>
              <w:spacing w:line="360" w:lineRule="exact" w:before="0" w:after="0"/>
              <w:jc w:val="left"/>
            </w:pPr>
            <w:r>
              <w:rPr>
                <w:rFonts w:ascii="Times New Roman" w:hAnsi="Times New Roman"/>
                <w:b w:val="0"/>
                <w:i w:val="0"/>
                <w:sz w:val="24"/>
              </w:rPr>
              <w:t>Not publicly specified</w:t>
            </w:r>
          </w:p>
        </w:tc>
        <w:tc>
          <w:tcPr>
            <w:tcW w:type="dxa" w:w="1465"/>
          </w:tcPr>
          <w:p>
            <w:pPr>
              <w:spacing w:line="360" w:lineRule="exact" w:before="0" w:after="0"/>
              <w:jc w:val="left"/>
            </w:pPr>
            <w:r>
              <w:rPr>
                <w:rFonts w:ascii="Times New Roman" w:hAnsi="Times New Roman"/>
                <w:b w:val="0"/>
                <w:i w:val="0"/>
                <w:sz w:val="24"/>
              </w:rPr>
              <w:t>Not publicly specified</w:t>
            </w:r>
          </w:p>
        </w:tc>
        <w:tc>
          <w:tcPr>
            <w:tcW w:type="dxa" w:w="1465"/>
          </w:tcPr>
          <w:p>
            <w:pPr>
              <w:spacing w:line="360" w:lineRule="exact" w:before="0" w:after="0"/>
              <w:jc w:val="left"/>
            </w:pPr>
            <w:r>
              <w:rPr>
                <w:rFonts w:ascii="Times New Roman" w:hAnsi="Times New Roman"/>
                <w:b w:val="0"/>
                <w:i w:val="0"/>
                <w:sz w:val="24"/>
              </w:rPr>
              <w:t>Not publicly specified</w:t>
            </w:r>
          </w:p>
        </w:tc>
        <w:tc>
          <w:tcPr>
            <w:tcW w:type="dxa" w:w="1465"/>
          </w:tcPr>
          <w:p>
            <w:pPr>
              <w:spacing w:line="360" w:lineRule="exact" w:before="0" w:after="0"/>
              <w:jc w:val="left"/>
            </w:pPr>
            <w:r>
              <w:rPr>
                <w:rFonts w:ascii="Times New Roman" w:hAnsi="Times New Roman"/>
                <w:b w:val="0"/>
                <w:i w:val="0"/>
                <w:sz w:val="24"/>
              </w:rPr>
              <w:t>Not publicly specified</w:t>
            </w:r>
          </w:p>
        </w:tc>
        <w:tc>
          <w:tcPr>
            <w:tcW w:type="dxa" w:w="1465"/>
          </w:tcPr>
          <w:p>
            <w:pPr>
              <w:spacing w:line="360" w:lineRule="exact" w:before="0" w:after="0"/>
              <w:jc w:val="left"/>
            </w:pPr>
            <w:r>
              <w:rPr>
                <w:rFonts w:ascii="Times New Roman" w:hAnsi="Times New Roman"/>
                <w:b w:val="0"/>
                <w:i w:val="0"/>
                <w:sz w:val="24"/>
              </w:rPr>
              <w:t>Yes</w:t>
            </w:r>
          </w:p>
        </w:tc>
      </w:tr>
      <w:tr>
        <w:tc>
          <w:tcPr>
            <w:tcW w:type="dxa" w:w="1465"/>
          </w:tcPr>
          <w:p>
            <w:pPr>
              <w:spacing w:line="360" w:lineRule="exact" w:before="0" w:after="0"/>
              <w:jc w:val="left"/>
            </w:pPr>
            <w:r>
              <w:rPr>
                <w:rFonts w:ascii="Times New Roman" w:hAnsi="Times New Roman"/>
                <w:b w:val="0"/>
                <w:i w:val="0"/>
                <w:sz w:val="24"/>
              </w:rPr>
              <w:t>Document-scoped retrieval</w:t>
            </w:r>
          </w:p>
        </w:tc>
        <w:tc>
          <w:tcPr>
            <w:tcW w:type="dxa" w:w="1465"/>
          </w:tcPr>
          <w:p>
            <w:pPr>
              <w:spacing w:line="360" w:lineRule="exact" w:before="0" w:after="0"/>
              <w:jc w:val="left"/>
            </w:pPr>
            <w:r>
              <w:rPr>
                <w:rFonts w:ascii="Times New Roman" w:hAnsi="Times New Roman"/>
                <w:b w:val="0"/>
                <w:i w:val="0"/>
                <w:sz w:val="24"/>
              </w:rPr>
              <w:t>Tenant/workspace scoped</w:t>
            </w:r>
          </w:p>
        </w:tc>
        <w:tc>
          <w:tcPr>
            <w:tcW w:type="dxa" w:w="1465"/>
          </w:tcPr>
          <w:p>
            <w:pPr>
              <w:spacing w:line="360" w:lineRule="exact" w:before="0" w:after="0"/>
              <w:jc w:val="left"/>
            </w:pPr>
            <w:r>
              <w:rPr>
                <w:rFonts w:ascii="Times New Roman" w:hAnsi="Times New Roman"/>
                <w:b w:val="0"/>
                <w:i w:val="0"/>
                <w:sz w:val="24"/>
              </w:rPr>
              <w:t>Workspace scoped</w:t>
            </w:r>
          </w:p>
        </w:tc>
        <w:tc>
          <w:tcPr>
            <w:tcW w:type="dxa" w:w="1465"/>
          </w:tcPr>
          <w:p>
            <w:pPr>
              <w:spacing w:line="360" w:lineRule="exact" w:before="0" w:after="0"/>
              <w:jc w:val="left"/>
            </w:pPr>
            <w:r>
              <w:rPr>
                <w:rFonts w:ascii="Times New Roman" w:hAnsi="Times New Roman"/>
                <w:b w:val="0"/>
                <w:i w:val="0"/>
                <w:sz w:val="24"/>
              </w:rPr>
              <w:t>Knowledge-base scoped</w:t>
            </w:r>
          </w:p>
        </w:tc>
        <w:tc>
          <w:tcPr>
            <w:tcW w:type="dxa" w:w="1465"/>
          </w:tcPr>
          <w:p>
            <w:pPr>
              <w:spacing w:line="360" w:lineRule="exact" w:before="0" w:after="0"/>
              <w:jc w:val="left"/>
            </w:pPr>
            <w:r>
              <w:rPr>
                <w:rFonts w:ascii="Times New Roman" w:hAnsi="Times New Roman"/>
                <w:b w:val="0"/>
                <w:i w:val="0"/>
                <w:sz w:val="24"/>
              </w:rPr>
              <w:t>Space/site scoped</w:t>
            </w:r>
          </w:p>
        </w:tc>
        <w:tc>
          <w:tcPr>
            <w:tcW w:type="dxa" w:w="1465"/>
          </w:tcPr>
          <w:p>
            <w:pPr>
              <w:spacing w:line="360" w:lineRule="exact" w:before="0" w:after="0"/>
              <w:jc w:val="left"/>
            </w:pPr>
            <w:r>
              <w:rPr>
                <w:rFonts w:ascii="Times New Roman" w:hAnsi="Times New Roman"/>
                <w:b w:val="0"/>
                <w:i w:val="0"/>
                <w:sz w:val="24"/>
              </w:rPr>
              <w:t>Document-scoped</w:t>
            </w:r>
          </w:p>
        </w:tc>
      </w:tr>
      <w:tr>
        <w:tc>
          <w:tcPr>
            <w:tcW w:type="dxa" w:w="1465"/>
          </w:tcPr>
          <w:p>
            <w:pPr>
              <w:spacing w:line="360" w:lineRule="exact" w:before="0" w:after="0"/>
              <w:jc w:val="left"/>
            </w:pPr>
            <w:r>
              <w:rPr>
                <w:rFonts w:ascii="Times New Roman" w:hAnsi="Times New Roman"/>
                <w:b w:val="0"/>
                <w:i w:val="0"/>
                <w:sz w:val="24"/>
              </w:rPr>
              <w:t>Self-hosted vector store</w:t>
            </w:r>
          </w:p>
        </w:tc>
        <w:tc>
          <w:tcPr>
            <w:tcW w:type="dxa" w:w="1465"/>
          </w:tcPr>
          <w:p>
            <w:pPr>
              <w:spacing w:line="360" w:lineRule="exact" w:before="0" w:after="0"/>
              <w:jc w:val="left"/>
            </w:pPr>
            <w:r>
              <w:rPr>
                <w:rFonts w:ascii="Times New Roman" w:hAnsi="Times New Roman"/>
                <w:b w:val="0"/>
                <w:i w:val="0"/>
                <w:sz w:val="24"/>
              </w:rPr>
              <w:t>No</w:t>
            </w:r>
          </w:p>
        </w:tc>
        <w:tc>
          <w:tcPr>
            <w:tcW w:type="dxa" w:w="1465"/>
          </w:tcPr>
          <w:p>
            <w:pPr>
              <w:spacing w:line="360" w:lineRule="exact" w:before="0" w:after="0"/>
              <w:jc w:val="left"/>
            </w:pPr>
            <w:r>
              <w:rPr>
                <w:rFonts w:ascii="Times New Roman" w:hAnsi="Times New Roman"/>
                <w:b w:val="0"/>
                <w:i w:val="0"/>
                <w:sz w:val="24"/>
              </w:rPr>
              <w:t>No</w:t>
            </w:r>
          </w:p>
        </w:tc>
        <w:tc>
          <w:tcPr>
            <w:tcW w:type="dxa" w:w="1465"/>
          </w:tcPr>
          <w:p>
            <w:pPr>
              <w:spacing w:line="360" w:lineRule="exact" w:before="0" w:after="0"/>
              <w:jc w:val="left"/>
            </w:pPr>
            <w:r>
              <w:rPr>
                <w:rFonts w:ascii="Times New Roman" w:hAnsi="Times New Roman"/>
                <w:b w:val="0"/>
                <w:i w:val="0"/>
                <w:sz w:val="24"/>
              </w:rPr>
              <w:t>No</w:t>
            </w:r>
          </w:p>
        </w:tc>
        <w:tc>
          <w:tcPr>
            <w:tcW w:type="dxa" w:w="1465"/>
          </w:tcPr>
          <w:p>
            <w:pPr>
              <w:spacing w:line="360" w:lineRule="exact" w:before="0" w:after="0"/>
              <w:jc w:val="left"/>
            </w:pPr>
            <w:r>
              <w:rPr>
                <w:rFonts w:ascii="Times New Roman" w:hAnsi="Times New Roman"/>
                <w:b w:val="0"/>
                <w:i w:val="0"/>
                <w:sz w:val="24"/>
              </w:rPr>
              <w:t>No</w:t>
            </w:r>
          </w:p>
        </w:tc>
        <w:tc>
          <w:tcPr>
            <w:tcW w:type="dxa" w:w="1465"/>
          </w:tcPr>
          <w:p>
            <w:pPr>
              <w:spacing w:line="360" w:lineRule="exact" w:before="0" w:after="0"/>
              <w:jc w:val="left"/>
            </w:pPr>
            <w:r>
              <w:rPr>
                <w:rFonts w:ascii="Times New Roman" w:hAnsi="Times New Roman"/>
                <w:b w:val="0"/>
                <w:i w:val="0"/>
                <w:sz w:val="24"/>
              </w:rPr>
              <w:t>Yes (ChromaDB)</w:t>
            </w:r>
          </w:p>
        </w:tc>
      </w:tr>
      <w:tr>
        <w:tc>
          <w:tcPr>
            <w:tcW w:type="dxa" w:w="1465"/>
          </w:tcPr>
          <w:p>
            <w:pPr>
              <w:spacing w:line="360" w:lineRule="exact" w:before="0" w:after="0"/>
              <w:jc w:val="left"/>
            </w:pPr>
            <w:r>
              <w:rPr>
                <w:rFonts w:ascii="Times New Roman" w:hAnsi="Times New Roman"/>
                <w:b w:val="0"/>
                <w:i w:val="0"/>
                <w:sz w:val="24"/>
              </w:rPr>
              <w:t>Custom embedding pipeline</w:t>
            </w:r>
          </w:p>
        </w:tc>
        <w:tc>
          <w:tcPr>
            <w:tcW w:type="dxa" w:w="1465"/>
          </w:tcPr>
          <w:p>
            <w:pPr>
              <w:spacing w:line="360" w:lineRule="exact" w:before="0" w:after="0"/>
              <w:jc w:val="left"/>
            </w:pPr>
            <w:r>
              <w:rPr>
                <w:rFonts w:ascii="Times New Roman" w:hAnsi="Times New Roman"/>
                <w:b w:val="0"/>
                <w:i w:val="0"/>
                <w:sz w:val="24"/>
              </w:rPr>
              <w:t>Not exposed</w:t>
            </w:r>
          </w:p>
        </w:tc>
        <w:tc>
          <w:tcPr>
            <w:tcW w:type="dxa" w:w="1465"/>
          </w:tcPr>
          <w:p>
            <w:pPr>
              <w:spacing w:line="360" w:lineRule="exact" w:before="0" w:after="0"/>
              <w:jc w:val="left"/>
            </w:pPr>
            <w:r>
              <w:rPr>
                <w:rFonts w:ascii="Times New Roman" w:hAnsi="Times New Roman"/>
                <w:b w:val="0"/>
                <w:i w:val="0"/>
                <w:sz w:val="24"/>
              </w:rPr>
              <w:t>Not exposed</w:t>
            </w:r>
          </w:p>
        </w:tc>
        <w:tc>
          <w:tcPr>
            <w:tcW w:type="dxa" w:w="1465"/>
          </w:tcPr>
          <w:p>
            <w:pPr>
              <w:spacing w:line="360" w:lineRule="exact" w:before="0" w:after="0"/>
              <w:jc w:val="left"/>
            </w:pPr>
            <w:r>
              <w:rPr>
                <w:rFonts w:ascii="Times New Roman" w:hAnsi="Times New Roman"/>
                <w:b w:val="0"/>
                <w:i w:val="0"/>
                <w:sz w:val="24"/>
              </w:rPr>
              <w:t>Not exposed</w:t>
            </w:r>
          </w:p>
        </w:tc>
        <w:tc>
          <w:tcPr>
            <w:tcW w:type="dxa" w:w="1465"/>
          </w:tcPr>
          <w:p>
            <w:pPr>
              <w:spacing w:line="360" w:lineRule="exact" w:before="0" w:after="0"/>
              <w:jc w:val="left"/>
            </w:pPr>
            <w:r>
              <w:rPr>
                <w:rFonts w:ascii="Times New Roman" w:hAnsi="Times New Roman"/>
                <w:b w:val="0"/>
                <w:i w:val="0"/>
                <w:sz w:val="24"/>
              </w:rPr>
              <w:t>Not exposed</w:t>
            </w:r>
          </w:p>
        </w:tc>
        <w:tc>
          <w:tcPr>
            <w:tcW w:type="dxa" w:w="1465"/>
          </w:tcPr>
          <w:p>
            <w:pPr>
              <w:spacing w:line="360" w:lineRule="exact" w:before="0" w:after="0"/>
              <w:jc w:val="left"/>
            </w:pPr>
            <w:r>
              <w:rPr>
                <w:rFonts w:ascii="Times New Roman" w:hAnsi="Times New Roman"/>
                <w:b w:val="0"/>
                <w:i w:val="0"/>
                <w:sz w:val="24"/>
              </w:rPr>
              <w:t>Yes</w:t>
            </w:r>
          </w:p>
        </w:tc>
      </w:tr>
      <w:tr>
        <w:tc>
          <w:tcPr>
            <w:tcW w:type="dxa" w:w="1465"/>
          </w:tcPr>
          <w:p>
            <w:pPr>
              <w:spacing w:line="360" w:lineRule="exact" w:before="0" w:after="0"/>
              <w:jc w:val="left"/>
            </w:pPr>
            <w:r>
              <w:rPr>
                <w:rFonts w:ascii="Times New Roman" w:hAnsi="Times New Roman"/>
                <w:b w:val="0"/>
                <w:i w:val="0"/>
                <w:sz w:val="24"/>
              </w:rPr>
              <w:t>Free tier available</w:t>
            </w:r>
          </w:p>
        </w:tc>
        <w:tc>
          <w:tcPr>
            <w:tcW w:type="dxa" w:w="1465"/>
          </w:tcPr>
          <w:p>
            <w:pPr>
              <w:spacing w:line="360" w:lineRule="exact" w:before="0" w:after="0"/>
              <w:jc w:val="left"/>
            </w:pPr>
            <w:r>
              <w:rPr>
                <w:rFonts w:ascii="Times New Roman" w:hAnsi="Times New Roman"/>
                <w:b w:val="0"/>
                <w:i w:val="0"/>
                <w:sz w:val="24"/>
              </w:rPr>
              <w:t>Paid add-on</w:t>
            </w:r>
          </w:p>
        </w:tc>
        <w:tc>
          <w:tcPr>
            <w:tcW w:type="dxa" w:w="1465"/>
          </w:tcPr>
          <w:p>
            <w:pPr>
              <w:spacing w:line="360" w:lineRule="exact" w:before="0" w:after="0"/>
              <w:jc w:val="left"/>
            </w:pPr>
            <w:r>
              <w:rPr>
                <w:rFonts w:ascii="Times New Roman" w:hAnsi="Times New Roman"/>
                <w:b w:val="0"/>
                <w:i w:val="0"/>
                <w:sz w:val="24"/>
              </w:rPr>
              <w:t>Paid add-on</w:t>
            </w:r>
          </w:p>
        </w:tc>
        <w:tc>
          <w:tcPr>
            <w:tcW w:type="dxa" w:w="1465"/>
          </w:tcPr>
          <w:p>
            <w:pPr>
              <w:spacing w:line="360" w:lineRule="exact" w:before="0" w:after="0"/>
              <w:jc w:val="left"/>
            </w:pPr>
            <w:r>
              <w:rPr>
                <w:rFonts w:ascii="Times New Roman" w:hAnsi="Times New Roman"/>
                <w:b w:val="0"/>
                <w:i w:val="0"/>
                <w:sz w:val="24"/>
              </w:rPr>
              <w:t>Paid plans</w:t>
            </w:r>
          </w:p>
        </w:tc>
        <w:tc>
          <w:tcPr>
            <w:tcW w:type="dxa" w:w="1465"/>
          </w:tcPr>
          <w:p>
            <w:pPr>
              <w:spacing w:line="360" w:lineRule="exact" w:before="0" w:after="0"/>
              <w:jc w:val="left"/>
            </w:pPr>
            <w:r>
              <w:rPr>
                <w:rFonts w:ascii="Times New Roman" w:hAnsi="Times New Roman"/>
                <w:b w:val="0"/>
                <w:i w:val="0"/>
                <w:sz w:val="24"/>
              </w:rPr>
              <w:t>Paid add-on</w:t>
            </w:r>
          </w:p>
        </w:tc>
        <w:tc>
          <w:tcPr>
            <w:tcW w:type="dxa" w:w="1465"/>
          </w:tcPr>
          <w:p>
            <w:pPr>
              <w:spacing w:line="360" w:lineRule="exact" w:before="0" w:after="0"/>
              <w:jc w:val="left"/>
            </w:pPr>
            <w:r>
              <w:rPr>
                <w:rFonts w:ascii="Times New Roman" w:hAnsi="Times New Roman"/>
                <w:b w:val="0"/>
                <w:i w:val="0"/>
                <w:sz w:val="24"/>
              </w:rPr>
              <w:t>Self-hosted (infrastructure cost only)</w:t>
            </w:r>
          </w:p>
        </w:tc>
      </w:tr>
    </w:tbl>
    <w:p>
      <w:pPr>
        <w:spacing w:line="360" w:lineRule="exact" w:before="120" w:after="240"/>
        <w:jc w:val="center"/>
      </w:pPr>
      <w:r>
        <w:rPr>
          <w:rFonts w:ascii="Times New Roman" w:hAnsi="Times New Roman"/>
          <w:b w:val="0"/>
          <w:i/>
          <w:sz w:val="24"/>
        </w:rPr>
        <w:t>Table 1: Comparison of enterprise Q&amp;A solutions and Archon</w:t>
      </w:r>
    </w:p>
    <w:p>
      <w:pPr>
        <w:spacing w:line="360" w:lineRule="exact" w:before="0" w:after="240"/>
        <w:jc w:val="both"/>
      </w:pPr>
      <w:r>
        <w:t>Archon is positioned as a controllable alternative to vendor-managed platforms by providing organization-level isolation and a transparent retrieval workflow. It uses explicit query expansion and restricts search to chosen documents, which helps keep answers precise and aligned with approved materials. These choices make it easier to verify where answers come from and to follow internal policies.</w:t>
      </w:r>
    </w:p>
    <w:p>
      <w:pPr>
        <w:spacing w:line="360" w:lineRule="exact" w:before="0" w:after="240"/>
        <w:jc w:val="both"/>
      </w:pPr>
      <w:r>
        <w:rPr>
          <w:rFonts w:ascii="Times New Roman" w:hAnsi="Times New Roman"/>
          <w:b w:val="0"/>
          <w:i w:val="0"/>
          <w:sz w:val="24"/>
        </w:rPr>
        <w:t>The architecture also enables a self-hosted vector store and a custom embedding pipeline. These choices allow deployment in environments with data residency or compliance constraints (requirements that data must be stored and processed within a specific location or under specific rules).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