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360" w:lineRule="exact" w:before="0" w:after="240"/>
        <w:jc w:val="left"/>
      </w:pPr>
      <w:r>
        <w:rPr>
          <w:rFonts w:ascii="Times New Roman" w:hAnsi="Times New Roman"/>
          <w:b/>
          <w:i w:val="0"/>
          <w:caps/>
          <w:sz w:val="28"/>
        </w:rPr>
        <w:t>CONCLUSION AND FUTURE WORK</w:t>
      </w:r>
    </w:p>
    <w:p>
      <w:pPr>
        <w:pStyle w:val="Heading1"/>
        <w:spacing w:line="360" w:lineRule="exact" w:before="240" w:after="240"/>
        <w:jc w:val="left"/>
      </w:pPr>
      <w:r>
        <w:rPr>
          <w:rFonts w:ascii="Times New Roman" w:hAnsi="Times New Roman"/>
          <w:b/>
          <w:i w:val="0"/>
          <w:sz w:val="26"/>
        </w:rPr>
        <w:t>7.1 Conclusion</w:t>
      </w:r>
    </w:p>
    <w:p>
      <w:pPr>
        <w:spacing w:line="360" w:lineRule="exact" w:before="0" w:after="240"/>
        <w:jc w:val="both"/>
      </w:pPr>
      <w:r>
        <w:rPr>
          <w:rFonts w:ascii="Times New Roman" w:hAnsi="Times New Roman"/>
          <w:b w:val="0"/>
          <w:i w:val="0"/>
          <w:sz w:val="24"/>
        </w:rPr>
        <w:t>Enterprise knowledge fragmentation remains a persistent challenge, with critical information distributed across policies, manuals, and operational documentation. Traditional keyword-based retrieval is sensitive to phrasing and often fails to surface relevant context, which slows decision-making and weakens knowledge reuse across teams.</w:t>
      </w:r>
    </w:p>
    <w:p>
      <w:pPr>
        <w:spacing w:line="360" w:lineRule="exact" w:before="0" w:after="240"/>
        <w:jc w:val="both"/>
      </w:pPr>
      <w:r>
        <w:rPr>
          <w:rFonts w:ascii="Times New Roman" w:hAnsi="Times New Roman"/>
          <w:b w:val="0"/>
          <w:i w:val="0"/>
          <w:sz w:val="24"/>
        </w:rPr>
        <w:t>The Archon project delivers an AI-powered enterprise retrieval and question-answering system that grounds responses in document context. Its Retrieval-Augmented Generation (RAG) pipeline combines query expansion, vector retrieval, and LLM generation, while the multi-tenant organization model enforces role-based access control (RBAC) and scoped data isolation. The full-stack application is deployed with a React frontend, an Express API, and data services on MongoDB and ChromaDB to provide a practical, accessible interface for enterprise users.</w:t>
      </w:r>
    </w:p>
    <w:p>
      <w:pPr>
        <w:spacing w:line="360" w:lineRule="exact" w:before="0" w:after="240"/>
        <w:jc w:val="both"/>
      </w:pPr>
      <w:r>
        <w:rPr>
          <w:rFonts w:ascii="Times New Roman" w:hAnsi="Times New Roman"/>
          <w:b w:val="0"/>
          <w:i w:val="0"/>
          <w:sz w:val="24"/>
        </w:rPr>
        <w:t>The business objectives defined in Chapter 1 are met through a single access point to organizational knowledge, grounded answers with traceable sources, and improved knowledge retention across roles. The technical objectives are also satisfied: the RAG pipeline includes query expansion, the embedding pipeline achieves a 99 percent success rate, multi-tenant RBAC is implemented, the interface is responsive across devices, and the system is deployed on cloud infrastructure.</w:t>
      </w:r>
    </w:p>
    <w:p>
      <w:pPr>
        <w:spacing w:line="360" w:lineRule="exact" w:before="0" w:after="240"/>
        <w:jc w:val="both"/>
      </w:pPr>
      <w:r>
        <w:rPr>
          <w:rFonts w:ascii="Times New Roman" w:hAnsi="Times New Roman"/>
          <w:b w:val="0"/>
          <w:i w:val="0"/>
          <w:sz w:val="24"/>
        </w:rPr>
        <w:t>Overall, the project demonstrates a successful application of RAG in an enterprise setting and establishes a solid foundation for continued refinement in reliability, scalability, and user experience.</w:t>
      </w:r>
    </w:p>
    <w:p>
      <w:pPr>
        <w:pStyle w:val="Heading1"/>
        <w:spacing w:line="360" w:lineRule="exact" w:before="240" w:after="240"/>
        <w:jc w:val="left"/>
      </w:pPr>
      <w:r>
        <w:rPr>
          <w:rFonts w:ascii="Times New Roman" w:hAnsi="Times New Roman"/>
          <w:b/>
          <w:i w:val="0"/>
          <w:sz w:val="26"/>
        </w:rPr>
        <w:t>7.2 Future Work</w:t>
      </w:r>
    </w:p>
    <w:p>
      <w:pPr>
        <w:pStyle w:val="Heading2"/>
        <w:spacing w:line="360" w:lineRule="exact" w:before="240" w:after="240"/>
        <w:jc w:val="left"/>
      </w:pPr>
      <w:r>
        <w:rPr>
          <w:rFonts w:ascii="Times New Roman" w:hAnsi="Times New Roman"/>
          <w:b/>
          <w:i w:val="0"/>
          <w:sz w:val="24"/>
        </w:rPr>
        <w:t>7.2.1 Streaming Response Support</w:t>
      </w:r>
    </w:p>
    <w:p>
      <w:pPr>
        <w:spacing w:line="360" w:lineRule="exact" w:before="0" w:after="240"/>
        <w:jc w:val="both"/>
      </w:pPr>
      <w:r>
        <w:rPr>
          <w:rFonts w:ascii="Times New Roman" w:hAnsi="Times New Roman"/>
          <w:b w:val="0"/>
          <w:i w:val="0"/>
          <w:sz w:val="24"/>
        </w:rPr>
        <w:t>Streaming responses using Server-Sent Events (SSE) or WebSocket transport would allow tokens to appear progressively, reducing perceived latency for end users. This change would also enable better handling of long responses and improve the interactive feel of the chat experience.</w:t>
      </w:r>
    </w:p>
    <w:p>
      <w:pPr>
        <w:pStyle w:val="Heading2"/>
        <w:spacing w:line="360" w:lineRule="exact" w:before="240" w:after="240"/>
        <w:jc w:val="left"/>
      </w:pPr>
      <w:r>
        <w:rPr>
          <w:rFonts w:ascii="Times New Roman" w:hAnsi="Times New Roman"/>
          <w:b/>
          <w:i w:val="0"/>
          <w:sz w:val="24"/>
        </w:rPr>
        <w:t>7.2.2 Persistent File Storage</w:t>
      </w:r>
    </w:p>
    <w:p>
      <w:pPr>
        <w:spacing w:line="360" w:lineRule="exact" w:before="0" w:after="240"/>
        <w:jc w:val="both"/>
      </w:pPr>
      <w:r>
        <w:rPr>
          <w:rFonts w:ascii="Times New Roman" w:hAnsi="Times New Roman"/>
          <w:b w:val="0"/>
          <w:i w:val="0"/>
          <w:sz w:val="24"/>
        </w:rPr>
        <w:t>Uploaded documents should be migrated from ephemeral disk storage to a cloud object store such as AWS S3 or Cloudflare R2. This would prevent data loss on service restart and provide stronger durability guarantees for enterprise documents.</w:t>
      </w:r>
    </w:p>
    <w:p>
      <w:pPr>
        <w:pStyle w:val="Heading2"/>
        <w:spacing w:line="360" w:lineRule="exact" w:before="240" w:after="240"/>
        <w:jc w:val="left"/>
      </w:pPr>
      <w:r>
        <w:rPr>
          <w:rFonts w:ascii="Times New Roman" w:hAnsi="Times New Roman"/>
          <w:b/>
          <w:i w:val="0"/>
          <w:sz w:val="24"/>
        </w:rPr>
        <w:t>7.2.3 OCR Support for Image-Heavy Documents</w:t>
      </w:r>
    </w:p>
    <w:p>
      <w:pPr>
        <w:spacing w:line="360" w:lineRule="exact" w:before="0" w:after="240"/>
        <w:jc w:val="both"/>
      </w:pPr>
      <w:r>
        <w:rPr>
          <w:rFonts w:ascii="Times New Roman" w:hAnsi="Times New Roman"/>
          <w:b w:val="0"/>
          <w:i w:val="0"/>
          <w:sz w:val="24"/>
        </w:rPr>
        <w:t>Integrating an OCR layer such as Tesseract or Google Document AI would extract text from scanned PDFs and image-embedded content. This enhancement would expand retrieval coverage to non-text documents that currently bypass the embedding pipeline.</w:t>
      </w:r>
    </w:p>
    <w:p>
      <w:pPr>
        <w:pStyle w:val="Heading2"/>
        <w:spacing w:line="360" w:lineRule="exact" w:before="240" w:after="240"/>
        <w:jc w:val="left"/>
      </w:pPr>
      <w:r>
        <w:rPr>
          <w:rFonts w:ascii="Times New Roman" w:hAnsi="Times New Roman"/>
          <w:b/>
          <w:i w:val="0"/>
          <w:sz w:val="24"/>
        </w:rPr>
        <w:t>7.2.4 Automated Testing Infrastructure</w:t>
      </w:r>
    </w:p>
    <w:p>
      <w:pPr>
        <w:spacing w:line="360" w:lineRule="exact" w:before="0" w:after="240"/>
        <w:jc w:val="both"/>
      </w:pPr>
      <w:r>
        <w:rPr>
          <w:rFonts w:ascii="Times New Roman" w:hAnsi="Times New Roman"/>
          <w:b w:val="0"/>
          <w:i w:val="0"/>
          <w:sz w:val="24"/>
        </w:rPr>
        <w:t>A testing stack with Jest for unit tests and Supertest for API integration tests would improve regression detection and reduce risk during refactoring. Automated coverage would also support faster iteration with higher confidence in stability.</w:t>
      </w:r>
    </w:p>
    <w:p>
      <w:pPr>
        <w:pStyle w:val="Heading2"/>
        <w:spacing w:line="360" w:lineRule="exact" w:before="240" w:after="240"/>
        <w:jc w:val="left"/>
      </w:pPr>
      <w:r>
        <w:rPr>
          <w:rFonts w:ascii="Times New Roman" w:hAnsi="Times New Roman"/>
          <w:b/>
          <w:i w:val="0"/>
          <w:sz w:val="24"/>
        </w:rPr>
        <w:t>7.2.5 Reranking Layer</w:t>
      </w:r>
    </w:p>
    <w:p>
      <w:pPr>
        <w:spacing w:line="360" w:lineRule="exact" w:before="0" w:after="240"/>
        <w:jc w:val="both"/>
      </w:pPr>
      <w:r>
        <w:rPr>
          <w:rFonts w:ascii="Times New Roman" w:hAnsi="Times New Roman"/>
          <w:b w:val="0"/>
          <w:i w:val="0"/>
          <w:sz w:val="24"/>
        </w:rPr>
        <w:t>Introducing a cross-encoder reranking step after initial vector retrieval would improve the ordering of candidate chunks before context injection. This refinement would increase answer precision, especially for dense or overlapping documents.</w:t>
      </w:r>
    </w:p>
    <w:sectPr w:rsidR="00FC693F" w:rsidRPr="0006063C" w:rsidSect="00034616">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