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 Changhua,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 Ohio,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This study investigates gradient routing in SR-GNN, a temporal model combining event encoding, recurrent node memory, deterministic pair-history signals and a hierarchical readout.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study this distinction in SR-GNN, the implementation provided by the accompanying research repository [10]. Its temporal representation combines an event encoder, recurrent node memory and a bank of pair-history signals. A hierarchical readout produces the scored link output.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SR-GNN; extending it to other architectures or candidate populations requires further experiments.</w:t>
      </w:r>
    </w:p>
    <w:bookmarkEnd w:id="18"/>
    <w:bookmarkStart w:id="22" w:name="_c402fc6a47ec8bb5e751ab4b29e0fc7601a51bb"/>
    <w:p>
      <w:pPr>
        <w:pStyle w:val="Heading1"/>
        <w:widowControl/>
        <w:spacing w:before="240" w:after="120" w:line="270" w:lineRule="atLeast"/>
        <w:ind w:firstLine="0"/>
        <w:jc w:val="center"/>
      </w:pPr>
      <w:r>
        <w:rPr>
          <w:b/>
          <w:sz w:val="22"/>
        </w:rPr>
        <w:t>II. Related Work</w:t>
      </w:r>
    </w:p>
    <w:bookmarkStart w:id="19" w:name="_a10e243be91bee555ae5eac586400bd3e61c1b8"/>
    <w:p>
      <w:pPr>
        <w:pStyle w:val="Heading2"/>
        <w:widowControl/>
        <w:spacing w:before="160" w:after="6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160" w:after="6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160" w:after="6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240" w:after="120" w:line="270" w:lineRule="atLeast"/>
        <w:ind w:firstLine="0"/>
        <w:jc w:val="center"/>
      </w:pPr>
      <w:r>
        <w:rPr>
          <w:b/>
          <w:sz w:val="22"/>
        </w:rPr>
        <w:t>III. Problem and Model Specification</w:t>
      </w:r>
    </w:p>
    <w:bookmarkStart w:id="23"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240" w:after="120" w:line="270" w:lineRule="atLeast"/>
        <w:ind w:firstLine="0"/>
        <w:jc w:val="center"/>
      </w:pPr>
      <w:r>
        <w:rPr>
          <w:b/>
          <w:sz w:val="22"/>
        </w:rPr>
        <w:t>IV. Data and Experimental Protocol</w:t>
      </w:r>
    </w:p>
    <w:bookmarkStart w:id="30"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240" w:after="120" w:line="270" w:lineRule="atLeast"/>
        <w:ind w:firstLine="0"/>
        <w:jc w:val="center"/>
      </w:pPr>
      <w:r>
        <w:rPr>
          <w:b/>
          <w:sz w:val="22"/>
        </w:rPr>
        <w:t>V. Results</w:t>
      </w:r>
    </w:p>
    <w:bookmarkStart w:id="36"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SR-GNN arm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160" w:after="6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160" w:after="6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120" w:after="10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rPr>
        <w:tc>
          <w:tcPr>
            <w:tcW w:type="dxa" w:w="1191"/>
          </w:tcPr>
          <w:p>
            <w:pPr>
              <w:keepNext/>
              <w:spacing w:line="288" w:lineRule="auto" w:after="40" w:before="40"/>
            </w:pPr>
            <w:r>
              <w:rPr>
                <w:rFonts w:ascii="Times New Roman" w:hAnsi="Times New Roman"/>
                <w:sz w:val="16"/>
              </w:rPr>
              <w:t>Configuration</w:t>
            </w:r>
          </w:p>
        </w:tc>
        <w:tc>
          <w:tcPr>
            <w:tcW w:type="dxa" w:w="1474"/>
          </w:tcPr>
          <w:p>
            <w:pPr>
              <w:keepNext/>
              <w:spacing w:line="288" w:lineRule="auto" w:after="40" w:before="40"/>
            </w:pPr>
            <w:r>
              <w:rPr>
                <w:rFonts w:ascii="Times New Roman" w:hAnsi="Times New Roman"/>
                <w:sz w:val="16"/>
              </w:rPr>
              <w:t>Inductive AP</w:t>
            </w:r>
          </w:p>
        </w:tc>
        <w:tc>
          <w:tcPr>
            <w:tcW w:type="dxa" w:w="1474"/>
          </w:tcPr>
          <w:p>
            <w:pPr>
              <w:keepNext/>
              <w:spacing w:line="288" w:lineRule="auto" w:after="40" w:before="40"/>
            </w:pPr>
            <w:r>
              <w:rPr>
                <w:rFonts w:ascii="Times New Roman" w:hAnsi="Times New Roman"/>
                <w:sz w:val="16"/>
              </w:rPr>
              <w:t>Transductive AP</w:t>
            </w:r>
          </w:p>
        </w:tc>
      </w:tr>
      <w:tr>
        <w:trPr>
          <w:cantSplit/>
        </w:trPr>
        <w:tc>
          <w:tcPr>
            <w:tcW w:type="dxa" w:w="1191"/>
          </w:tcPr>
          <w:p>
            <w:pPr>
              <w:keepNext/>
              <w:spacing w:line="288" w:lineRule="auto" w:after="40" w:before="40"/>
            </w:pPr>
            <w:r>
              <w:rPr>
                <w:rFonts w:ascii="Times New Roman" w:hAnsi="Times New Roman"/>
                <w:sz w:val="16"/>
              </w:rPr>
              <w:t>B preset</w:t>
            </w:r>
          </w:p>
        </w:tc>
        <w:tc>
          <w:tcPr>
            <w:tcW w:type="dxa" w:w="1474"/>
          </w:tcPr>
          <w:p>
            <w:pPr>
              <w:keepNext/>
              <w:spacing w:line="288" w:lineRule="auto" w:after="40" w:before="40"/>
            </w:pPr>
            <w:r>
              <w:rPr>
                <w:rFonts w:ascii="Times New Roman" w:hAnsi="Times New Roman"/>
                <w:sz w:val="16"/>
              </w:rPr>
              <w:t>0.9876±0.0030</w:t>
            </w:r>
          </w:p>
        </w:tc>
        <w:tc>
          <w:tcPr>
            <w:tcW w:type="dxa" w:w="1474"/>
          </w:tcPr>
          <w:p>
            <w:pPr>
              <w:keepNext/>
              <w:spacing w:line="288" w:lineRule="auto" w:after="40" w:before="40"/>
            </w:pPr>
            <w:r>
              <w:rPr>
                <w:rFonts w:ascii="Times New Roman" w:hAnsi="Times New Roman"/>
                <w:sz w:val="16"/>
              </w:rPr>
              <w:t>0.9985±0.0003</w:t>
            </w:r>
          </w:p>
        </w:tc>
      </w:tr>
      <w:tr>
        <w:trPr>
          <w:cantSplit/>
        </w:trPr>
        <w:tc>
          <w:tcPr>
            <w:tcW w:type="dxa" w:w="1191"/>
          </w:tcPr>
          <w:p>
            <w:pPr>
              <w:keepNext/>
              <w:spacing w:line="288" w:lineRule="auto" w:after="40" w:before="40"/>
            </w:pPr>
            <w:r>
              <w:rPr>
                <w:rFonts w:ascii="Times New Roman" w:hAnsi="Times New Roman"/>
                <w:sz w:val="16"/>
              </w:rPr>
              <w:t>C preset</w:t>
            </w:r>
          </w:p>
        </w:tc>
        <w:tc>
          <w:tcPr>
            <w:tcW w:type="dxa" w:w="1474"/>
          </w:tcPr>
          <w:p>
            <w:pPr>
              <w:keepNext/>
              <w:spacing w:line="288" w:lineRule="auto" w:after="40" w:before="40"/>
            </w:pPr>
            <w:r>
              <w:rPr>
                <w:rFonts w:ascii="Times New Roman" w:hAnsi="Times New Roman"/>
                <w:sz w:val="16"/>
              </w:rPr>
              <w:t>0.7593±0.0140</w:t>
            </w:r>
          </w:p>
        </w:tc>
        <w:tc>
          <w:tcPr>
            <w:tcW w:type="dxa" w:w="1474"/>
          </w:tcPr>
          <w:p>
            <w:pPr>
              <w:keepNext/>
              <w:spacing w:line="288" w:lineRule="auto" w:after="40" w:before="40"/>
            </w:pPr>
            <w:r>
              <w:rPr>
                <w:rFonts w:ascii="Times New Roman" w:hAnsi="Times New Roman"/>
                <w:sz w:val="16"/>
              </w:rPr>
              <w:t>0.9600±0.0044</w:t>
            </w:r>
          </w:p>
        </w:tc>
      </w:tr>
      <w:tr>
        <w:trPr>
          <w:cantSplit/>
        </w:trPr>
        <w:tc>
          <w:tcPr>
            <w:tcW w:type="dxa" w:w="1191"/>
          </w:tcPr>
          <w:p>
            <w:pPr>
              <w:keepNext w:val="0"/>
              <w:spacing w:line="288" w:lineRule="auto" w:after="40" w:before="40"/>
            </w:pPr>
            <w:r>
              <w:rPr>
                <w:rFonts w:ascii="Times New Roman" w:hAnsi="Times New Roman"/>
                <w:sz w:val="16"/>
              </w:rPr>
              <w:t>TGAT proxy</w:t>
            </w:r>
          </w:p>
        </w:tc>
        <w:tc>
          <w:tcPr>
            <w:tcW w:type="dxa" w:w="1474"/>
          </w:tcPr>
          <w:p>
            <w:pPr>
              <w:keepNext w:val="0"/>
              <w:spacing w:line="288" w:lineRule="auto" w:after="40" w:before="40"/>
            </w:pPr>
            <w:r>
              <w:rPr>
                <w:rFonts w:ascii="Times New Roman" w:hAnsi="Times New Roman"/>
                <w:sz w:val="16"/>
              </w:rPr>
              <w:t>0.8466±0.0133</w:t>
            </w:r>
          </w:p>
        </w:tc>
        <w:tc>
          <w:tcPr>
            <w:tcW w:type="dxa" w:w="1474"/>
          </w:tcPr>
          <w:p>
            <w:pPr>
              <w:keepNext w:val="0"/>
              <w:spacing w:line="288" w:lineRule="auto" w:after="40" w:before="4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120" w:after="10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Configuration</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0.9899±0.0016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0.7788±0.0193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hard gate</w:t>
            </w:r>
          </w:p>
        </w:tc>
        <w:tc>
          <w:tcPr>
            <w:tcW w:type="dxa" w:w="1757"/>
          </w:tcPr>
          <w:p>
            <w:pPr>
              <w:keepNext/>
              <w:spacing w:line="288" w:lineRule="auto" w:after="40" w:before="40"/>
            </w:pPr>
            <w:r>
              <w:rPr>
                <w:rFonts w:ascii="Times New Roman" w:hAnsi="Times New Roman"/>
                <w:sz w:val="16"/>
              </w:rPr>
              <w:t>0.9868±0.0014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K3: zero floor</w:t>
            </w:r>
          </w:p>
        </w:tc>
        <w:tc>
          <w:tcPr>
            <w:tcW w:type="dxa" w:w="1757"/>
          </w:tcPr>
          <w:p>
            <w:pPr>
              <w:keepNext/>
              <w:spacing w:line="288" w:lineRule="auto" w:after="40" w:before="40"/>
            </w:pPr>
            <w:r>
              <w:rPr>
                <w:rFonts w:ascii="Times New Roman" w:hAnsi="Times New Roman"/>
                <w:sz w:val="16"/>
              </w:rPr>
              <w:t>0.9889±0.0018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 K3</w:t>
            </w:r>
          </w:p>
        </w:tc>
        <w:tc>
          <w:tcPr>
            <w:tcW w:type="dxa" w:w="1757"/>
          </w:tcPr>
          <w:p>
            <w:pPr>
              <w:keepNext/>
              <w:spacing w:line="288" w:lineRule="auto" w:after="40" w:before="40"/>
            </w:pPr>
            <w:r>
              <w:rPr>
                <w:rFonts w:ascii="Times New Roman" w:hAnsi="Times New Roman"/>
                <w:sz w:val="16"/>
              </w:rPr>
              <w:t>0.9870±0.0021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C: K1 + K2 + K3</w:t>
            </w:r>
          </w:p>
        </w:tc>
        <w:tc>
          <w:tcPr>
            <w:tcW w:type="dxa" w:w="1757"/>
          </w:tcPr>
          <w:p>
            <w:pPr>
              <w:keepNext/>
              <w:spacing w:line="288" w:lineRule="auto" w:after="40" w:before="40"/>
            </w:pPr>
            <w:r>
              <w:rPr>
                <w:rFonts w:ascii="Times New Roman" w:hAnsi="Times New Roman"/>
                <w:sz w:val="16"/>
              </w:rPr>
              <w:t>0.7798±0.0221</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0.9981±0.0002</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0.9490±0.0072</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0.9935±0.0008</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K1: predictor</w:t>
            </w:r>
          </w:p>
        </w:tc>
        <w:tc>
          <w:tcPr>
            <w:tcW w:type="dxa" w:w="1757"/>
          </w:tcPr>
          <w:p>
            <w:pPr>
              <w:keepNext w:val="0"/>
              <w:spacing w:line="288" w:lineRule="auto" w:after="40" w:before="4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160" w:after="6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120" w:after="10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35"/>
        <w:gridCol w:w="935"/>
        <w:gridCol w:w="1304"/>
        <w:gridCol w:w="1304"/>
      </w:tblGrid>
      <w:tr>
        <w:trPr>
          <w:cantSplit/>
        </w:trPr>
        <w:tc>
          <w:tcPr>
            <w:tcW w:type="dxa" w:w="935"/>
          </w:tcPr>
          <w:p>
            <w:pPr>
              <w:keepNext/>
              <w:spacing w:line="288" w:lineRule="auto" w:after="40" w:before="40"/>
            </w:pPr>
            <w:r>
              <w:rPr>
                <w:rFonts w:ascii="Times New Roman" w:hAnsi="Times New Roman"/>
                <w:sz w:val="16"/>
              </w:rPr>
              <w:t>Corpus</w:t>
            </w:r>
          </w:p>
        </w:tc>
        <w:tc>
          <w:tcPr>
            <w:tcW w:type="dxa" w:w="935"/>
          </w:tcPr>
          <w:p>
            <w:pPr>
              <w:keepNext/>
              <w:spacing w:line="288" w:lineRule="auto" w:after="40" w:before="40"/>
            </w:pPr>
            <w:r>
              <w:rPr>
                <w:rFonts w:ascii="Times New Roman" w:hAnsi="Times New Roman"/>
                <w:sz w:val="16"/>
              </w:rPr>
              <w:t>Pool</w:t>
            </w:r>
          </w:p>
        </w:tc>
        <w:tc>
          <w:tcPr>
            <w:tcW w:type="dxa" w:w="1304"/>
          </w:tcPr>
          <w:p>
            <w:pPr>
              <w:keepNext/>
              <w:spacing w:line="288" w:lineRule="auto" w:after="40" w:before="40"/>
            </w:pPr>
            <w:r>
              <w:rPr>
                <w:rFonts w:ascii="Times New Roman" w:hAnsi="Times New Roman"/>
                <w:sz w:val="16"/>
              </w:rPr>
              <w:t>B</w:t>
            </w:r>
          </w:p>
        </w:tc>
        <w:tc>
          <w:tcPr>
            <w:tcW w:type="dxa" w:w="1304"/>
          </w:tcPr>
          <w:p>
            <w:pPr>
              <w:keepNext/>
              <w:spacing w:line="288" w:lineRule="auto" w:after="40" w:before="40"/>
            </w:pPr>
            <w:r>
              <w:rPr>
                <w:rFonts w:ascii="Times New Roman" w:hAnsi="Times New Roman"/>
                <w:sz w:val="16"/>
              </w:rPr>
              <w:t>K1</w:t>
            </w:r>
          </w:p>
        </w:tc>
      </w:tr>
      <w:tr>
        <w:trPr>
          <w:cantSplit/>
        </w:trPr>
        <w:tc>
          <w:tcPr>
            <w:tcW w:type="dxa" w:w="935"/>
          </w:tcPr>
          <w:p>
            <w:pPr>
              <w:keepNext/>
              <w:spacing w:line="288" w:lineRule="auto" w:after="40" w:before="40"/>
            </w:pPr>
            <w:r>
              <w:rPr>
                <w:rFonts w:ascii="Times New Roman" w:hAnsi="Times New Roman"/>
                <w:sz w:val="16"/>
              </w:rPr>
              <w:t>CoEdit</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0.9898±0.0012</w:t>
            </w:r>
          </w:p>
        </w:tc>
        <w:tc>
          <w:tcPr>
            <w:tcW w:type="dxa" w:w="1304"/>
          </w:tcPr>
          <w:p>
            <w:pPr>
              <w:keepNext/>
              <w:spacing w:line="288" w:lineRule="auto" w:after="40" w:before="40"/>
            </w:pPr>
            <w:r>
              <w:rPr>
                <w:rFonts w:ascii="Times New Roman" w:hAnsi="Times New Roman"/>
                <w:sz w:val="16"/>
              </w:rPr>
              <w:t>0.7899±0.0545</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0.9573±0.0031</w:t>
            </w:r>
          </w:p>
        </w:tc>
        <w:tc>
          <w:tcPr>
            <w:tcW w:type="dxa" w:w="1304"/>
          </w:tcPr>
          <w:p>
            <w:pPr>
              <w:keepNext/>
              <w:spacing w:line="288" w:lineRule="auto" w:after="40" w:before="40"/>
            </w:pPr>
            <w:r>
              <w:rPr>
                <w:rFonts w:ascii="Times New Roman" w:hAnsi="Times New Roman"/>
                <w:sz w:val="16"/>
              </w:rPr>
              <w:t>0.5294±0.0276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Inductive</w:t>
            </w:r>
          </w:p>
        </w:tc>
        <w:tc>
          <w:tcPr>
            <w:tcW w:type="dxa" w:w="1304"/>
          </w:tcPr>
          <w:p>
            <w:pPr>
              <w:keepNext/>
              <w:spacing w:line="288" w:lineRule="auto" w:after="40" w:before="40"/>
            </w:pPr>
            <w:r>
              <w:rPr>
                <w:rFonts w:ascii="Times New Roman" w:hAnsi="Times New Roman"/>
                <w:sz w:val="16"/>
              </w:rPr>
              <w:t>0.9625±0.0024</w:t>
            </w:r>
          </w:p>
        </w:tc>
        <w:tc>
          <w:tcPr>
            <w:tcW w:type="dxa" w:w="1304"/>
          </w:tcPr>
          <w:p>
            <w:pPr>
              <w:keepNext/>
              <w:spacing w:line="288" w:lineRule="auto" w:after="40" w:before="40"/>
            </w:pPr>
            <w:r>
              <w:rPr>
                <w:rFonts w:ascii="Times New Roman" w:hAnsi="Times New Roman"/>
                <w:sz w:val="16"/>
              </w:rPr>
              <w:t>0.5579±0.0215</w:t>
            </w:r>
          </w:p>
        </w:tc>
      </w:tr>
      <w:tr>
        <w:trPr>
          <w:cantSplit/>
        </w:trPr>
        <w:tc>
          <w:tcPr>
            <w:tcW w:type="dxa" w:w="935"/>
          </w:tcPr>
          <w:p>
            <w:pPr>
              <w:keepNext/>
              <w:spacing w:line="288" w:lineRule="auto" w:after="40" w:before="40"/>
            </w:pPr>
            <w:r>
              <w:rPr>
                <w:rFonts w:ascii="Times New Roman" w:hAnsi="Times New Roman"/>
                <w:sz w:val="16"/>
              </w:rPr>
              <w:t>Wikipedia</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0.9968±0.0005</w:t>
            </w:r>
          </w:p>
        </w:tc>
        <w:tc>
          <w:tcPr>
            <w:tcW w:type="dxa" w:w="1304"/>
          </w:tcPr>
          <w:p>
            <w:pPr>
              <w:keepNext/>
              <w:spacing w:line="288" w:lineRule="auto" w:after="40" w:before="40"/>
            </w:pPr>
            <w:r>
              <w:rPr>
                <w:rFonts w:ascii="Times New Roman" w:hAnsi="Times New Roman"/>
                <w:sz w:val="16"/>
              </w:rPr>
              <w:t>0.9011±0.0106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0.9744±0.0047</w:t>
            </w:r>
          </w:p>
        </w:tc>
        <w:tc>
          <w:tcPr>
            <w:tcW w:type="dxa" w:w="1304"/>
          </w:tcPr>
          <w:p>
            <w:pPr>
              <w:keepNext/>
              <w:spacing w:line="288" w:lineRule="auto" w:after="40" w:before="40"/>
            </w:pPr>
            <w:r>
              <w:rPr>
                <w:rFonts w:ascii="Times New Roman" w:hAnsi="Times New Roman"/>
                <w:sz w:val="16"/>
              </w:rPr>
              <w:t>0.5585±0.0147</w:t>
            </w:r>
          </w:p>
        </w:tc>
      </w:tr>
      <w:tr>
        <w:trPr>
          <w:cantSplit/>
        </w:trPr>
        <w:tc>
          <w:tcPr>
            <w:tcW w:type="dxa" w:w="935"/>
          </w:tcPr>
          <w:p>
            <w:pPr>
              <w:keepNext w:val="0"/>
              <w:spacing w:line="288" w:lineRule="auto" w:after="40" w:before="40"/>
            </w:pPr>
            <w:r>
              <w:rPr>
                <w:rFonts w:ascii="Times New Roman" w:hAnsi="Times New Roman"/>
                <w:sz w:val="16"/>
              </w:rPr>
            </w:r>
          </w:p>
        </w:tc>
        <w:tc>
          <w:tcPr>
            <w:tcW w:type="dxa" w:w="935"/>
          </w:tcPr>
          <w:p>
            <w:pPr>
              <w:keepNext w:val="0"/>
              <w:spacing w:line="288" w:lineRule="auto" w:after="40" w:before="40"/>
            </w:pPr>
            <w:r>
              <w:rPr>
                <w:rFonts w:ascii="Times New Roman" w:hAnsi="Times New Roman"/>
                <w:sz w:val="16"/>
              </w:rPr>
              <w:t>Inductive</w:t>
            </w:r>
          </w:p>
        </w:tc>
        <w:tc>
          <w:tcPr>
            <w:tcW w:type="dxa" w:w="1304"/>
          </w:tcPr>
          <w:p>
            <w:pPr>
              <w:keepNext w:val="0"/>
              <w:spacing w:line="288" w:lineRule="auto" w:after="40" w:before="40"/>
            </w:pPr>
            <w:r>
              <w:rPr>
                <w:rFonts w:ascii="Times New Roman" w:hAnsi="Times New Roman"/>
                <w:sz w:val="16"/>
              </w:rPr>
              <w:t>0.9682±0.0035</w:t>
            </w:r>
          </w:p>
        </w:tc>
        <w:tc>
          <w:tcPr>
            <w:tcW w:type="dxa" w:w="1304"/>
          </w:tcPr>
          <w:p>
            <w:pPr>
              <w:keepNext w:val="0"/>
              <w:spacing w:line="288" w:lineRule="auto" w:after="40" w:before="4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160" w:after="6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120" w:after="10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Representation</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0.988326±0.002338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Pair statistics</w:t>
            </w:r>
          </w:p>
        </w:tc>
        <w:tc>
          <w:tcPr>
            <w:tcW w:type="dxa" w:w="1757"/>
          </w:tcPr>
          <w:p>
            <w:pPr>
              <w:keepNext/>
              <w:spacing w:line="288" w:lineRule="auto" w:after="40" w:before="40"/>
            </w:pPr>
            <w:r>
              <w:rPr>
                <w:rFonts w:ascii="Times New Roman" w:hAnsi="Times New Roman"/>
                <w:sz w:val="16"/>
              </w:rPr>
              <w:t>0.920500±0.001668</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0.996296±0.000872</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Pair statistics</w:t>
            </w:r>
          </w:p>
        </w:tc>
        <w:tc>
          <w:tcPr>
            <w:tcW w:type="dxa" w:w="1757"/>
          </w:tcPr>
          <w:p>
            <w:pPr>
              <w:keepNext w:val="0"/>
              <w:spacing w:line="288" w:lineRule="auto" w:after="40" w:before="4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160" w:after="6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120" w:after="10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Procedure</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0.9883±0.0028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0.7684±0.0064</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0.9961±0.0014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0.9027±0.0177</w:t>
            </w:r>
          </w:p>
        </w:tc>
      </w:tr>
      <w:tr>
        <w:trPr>
          <w:cantSplit/>
        </w:trPr>
        <w:tc>
          <w:tcPr>
            <w:tcW w:type="dxa" w:w="964"/>
          </w:tcPr>
          <w:p>
            <w:pPr>
              <w:keepNext w:val="0"/>
              <w:spacing w:line="288" w:lineRule="auto" w:after="40" w:before="40"/>
            </w:pPr>
            <w:r>
              <w:rPr>
                <w:rFonts w:ascii="Times New Roman" w:hAnsi="Times New Roman"/>
                <w:sz w:val="16"/>
              </w:rPr>
              <w:t>Wikipedia</w:t>
            </w:r>
          </w:p>
        </w:tc>
        <w:tc>
          <w:tcPr>
            <w:tcW w:type="dxa" w:w="1417"/>
          </w:tcPr>
          <w:p>
            <w:pPr>
              <w:keepNext w:val="0"/>
              <w:spacing w:line="288" w:lineRule="auto" w:after="40" w:before="40"/>
            </w:pPr>
            <w:r>
              <w:rPr>
                <w:rFonts w:ascii="Times New Roman" w:hAnsi="Times New Roman"/>
                <w:sz w:val="16"/>
              </w:rPr>
              <w:t>Probe, ID-corrected</w:t>
            </w:r>
          </w:p>
        </w:tc>
        <w:tc>
          <w:tcPr>
            <w:tcW w:type="dxa" w:w="1757"/>
          </w:tcPr>
          <w:p>
            <w:pPr>
              <w:keepNext w:val="0"/>
              <w:spacing w:line="288" w:lineRule="auto" w:after="40" w:before="4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240" w:after="120" w:line="270" w:lineRule="atLeast"/>
        <w:ind w:firstLine="0"/>
        <w:jc w:val="center"/>
      </w:pPr>
      <w:r>
        <w:rPr>
          <w:b/>
          <w:sz w:val="22"/>
        </w:rPr>
        <w:t>VI. Discussion</w:t>
      </w:r>
    </w:p>
    <w:bookmarkStart w:id="43"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160" w:after="6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160" w:after="6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compares connected and detached scored-feature paths in a registered SR-GNN implementation for inductive temporal link prediction.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15. Guo, C., G. Pleiss, Y. Sun and K. Q. Weinberger (2017) On Calibration of Modern Neural Networks. arXiv:1706.04599.</w:t>
      </w:r>
    </w:p>
    <w:p>
      <w:pPr>
        <w:pStyle w:val="Normal"/>
        <w:widowControl/>
        <w:spacing w:before="0" w:after="60" w:line="270" w:lineRule="atLeast"/>
        <w:ind w:left="283" w:hanging="283"/>
        <w:jc w:val="left"/>
      </w:pPr>
      <w:r>
        <w:rPr>
          <w:sz w:val="18"/>
        </w:rPr>
        <w:t>16. Hamilton, W. L., R. Ying and J. Leskovec (2017) Inductive Representation Learning on Large Graphs. arXiv:1706.02216.</w:t>
      </w:r>
    </w:p>
    <w:p>
      <w:pPr>
        <w:pStyle w:val="Normal"/>
        <w:widowControl/>
        <w:spacing w:before="0" w:after="60" w:line="270" w:lineRule="atLeast"/>
        <w:ind w:left="283" w:hanging="283"/>
        <w:jc w:val="left"/>
      </w:pPr>
      <w:r>
        <w:rPr>
          <w:sz w:val="18"/>
        </w:rPr>
        <w:t>17. Hawkes, A. G. (1971) Spectra of some self-exciting and mutually exciting point processes. Biometrika, 58(1), 83–90.</w:t>
      </w:r>
    </w:p>
    <w:p>
      <w:pPr>
        <w:pStyle w:val="Normal"/>
        <w:widowControl/>
        <w:spacing w:before="0" w:after="60" w:line="270" w:lineRule="atLeast"/>
        <w:ind w:left="283" w:hanging="283"/>
        <w:jc w:val="left"/>
      </w:pPr>
      <w:r>
        <w:rPr>
          <w:sz w:val="18"/>
        </w:rPr>
        <w:t>18. Holme, P. and J. Saramäki (2012) Temporal Networks. Physics Reports, 519(3), 97–125. doi:10.1016/j.physrep.2012.03.001.</w:t>
      </w:r>
    </w:p>
    <w:p>
      <w:pPr>
        <w:pStyle w:val="Normal"/>
        <w:widowControl/>
        <w:spacing w:before="0" w:after="6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21. Kapoor, S. and A. Narayanan (2022) Leakage and the Reproducibility Crisis in ML-based Science. arXiv:2207.07048.</w:t>
      </w:r>
    </w:p>
    <w:p>
      <w:pPr>
        <w:pStyle w:val="Normal"/>
        <w:widowControl/>
        <w:spacing w:before="0" w:after="6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27. Loshchilov, I. and F. Hutter (2017) Decoupled Weight Decay Regularization. arXiv:1711.05101.</w:t>
      </w:r>
    </w:p>
    <w:p>
      <w:pPr>
        <w:pStyle w:val="Normal"/>
        <w:widowControl/>
        <w:spacing w:before="0" w:after="6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40. Zhang, M. and Y. Chen (2018) Link Prediction Based on Graph Neural Networks. arXiv:1802.09691.</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大葉大學，臺灣彰化</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肯特州立大學，美國俄亥俄州</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歸納式時序連結預測需要處理先前觀測中未出現的節點。本研究以結合事件編碼、循環節點記憶、確定性節點對歷史訊號與階層讀出器的</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SR-GNN，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2026-10-02T14:30:09Z</dcterms:created>
  <dcterms:modified xsi:type="dcterms:W3CDTF">2026-10-02T14:30:09Z</dcterms:modified>
  <dc:description/>
</cp:coreProperties>
</file>

<file path=docProps/custom.xml><?xml version="1.0" encoding="utf-8"?>
<Properties xmlns="http://schemas.openxmlformats.org/officeDocument/2006/custom-properties" xmlns:vt="http://schemas.openxmlformats.org/officeDocument/2006/docPropsVTypes"/>
</file>