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media/image1.gif" ContentType="image/gif"/>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360" w:before="0" w:after="180"/>
        <w:jc w:val="center"/>
        <w:widowControl/>
        <w:keepNext w:val="1"/>
        <w:keepLines w:val="1"/>
        <w:ind w:left="0" w:right="0" w:firstLine="0"/>
      </w:pPr>
      <w:r>
        <w:rPr>
          <w:rFonts w:ascii="Times New Roman" w:hAnsi="Times New Roman" w:eastAsia="MingLiU" w:cs="Times New Roman"/>
          <w:color w:val="000000"/>
          <w:sz w:val="36"/>
          <w:szCs w:val="36"/>
          <w:b/>
        </w:rPr>
        <w:t xml:space="preserve">A Controlled Comparison of Gradient Decoupling for Inductive Temporal Link Prediction</w:t>
      </w:r>
    </w:p>
    <w:p>
      <w:pPr>
        <w:pStyle w:val="Normal"/>
        <w:spacing w:lineRule="auto" w:line="360" w:before="0" w:after="0"/>
        <w:jc w:val="center"/>
        <w:widowControl/>
        <w:keepNext w:val="1"/>
        <w:keepLines w:val="1"/>
        <w:ind w:left="0" w:right="0" w:firstLine="0"/>
      </w:pPr>
      <w:r>
        <w:rPr>
          <w:rFonts w:ascii="Times New Roman" w:hAnsi="Times New Roman" w:eastAsia="MingLiU" w:cs="Times New Roman"/>
          <w:color w:val="000000"/>
          <w:sz w:val="20"/>
          <w:szCs w:val="20"/>
        </w:rPr>
        <w:t xml:space="preserve">Duong Viet Hoangᵃ*, Duong Viet Huyᵇ, Lun-Min Shihᵃ</w:t>
      </w:r>
    </w:p>
    <w:p>
      <w:pPr>
        <w:pStyle w:val="Normal"/>
        <w:spacing w:lineRule="auto" w:line="360" w:before="0" w:after="0"/>
        <w:jc w:val="center"/>
        <w:widowControl/>
        <w:keepNext w:val="1"/>
        <w:keepLines w:val="1"/>
        <w:ind w:left="0" w:right="0" w:firstLine="0"/>
      </w:pPr>
      <w:r>
        <w:rPr>
          <w:rFonts w:ascii="Times New Roman" w:hAnsi="Times New Roman" w:eastAsia="MingLiU" w:cs="Times New Roman"/>
          <w:color w:val="000000"/>
          <w:sz w:val="18"/>
          <w:szCs w:val="18"/>
          <w:i/>
        </w:rPr>
        <w:t xml:space="preserve">ᵃ Department of Computer Science, Da-Yeh University, Changhua, Taiwan</w:t>
      </w:r>
    </w:p>
    <w:p>
      <w:pPr>
        <w:pStyle w:val="Normal"/>
        <w:spacing w:lineRule="auto" w:line="360" w:before="0" w:after="0"/>
        <w:jc w:val="center"/>
        <w:widowControl/>
        <w:keepNext w:val="1"/>
        <w:keepLines w:val="1"/>
        <w:ind w:left="0" w:right="0" w:firstLine="0"/>
      </w:pPr>
      <w:r>
        <w:rPr>
          <w:rFonts w:ascii="Times New Roman" w:hAnsi="Times New Roman" w:eastAsia="MingLiU" w:cs="Times New Roman"/>
          <w:color w:val="000000"/>
          <w:sz w:val="18"/>
          <w:szCs w:val="18"/>
          <w:i/>
        </w:rPr>
        <w:t xml:space="preserve">ᵇ Department of Computer Science, Kent State University, Ohio, United States</w:t>
      </w:r>
    </w:p>
    <w:p>
      <w:pPr>
        <w:pStyle w:val="Normal"/>
        <w:spacing w:lineRule="auto" w:line="360" w:before="0" w:after="0"/>
        <w:jc w:val="center"/>
        <w:widowControl/>
        <w:keepNext w:val="1"/>
        <w:keepLines w:val="1"/>
        <w:ind w:left="0" w:right="0" w:firstLine="0"/>
      </w:pPr>
      <w:r>
        <w:rPr>
          <w:rFonts w:ascii="Times New Roman" w:hAnsi="Times New Roman" w:eastAsia="MingLiU" w:cs="Times New Roman"/>
          <w:color w:val="000000"/>
          <w:sz w:val="18"/>
          <w:szCs w:val="18"/>
          <w:i/>
        </w:rPr>
        <w:t xml:space="preserve">* Corresponding author: Hoangduong4316@icloud.com</w:t>
      </w:r>
    </w:p>
    <w:p>
      <w:pPr>
        <w:pStyle w:val="Normal"/>
        <w:spacing w:lineRule="auto" w:line="360" w:before="180" w:after="100"/>
        <w:jc w:val="center"/>
        <w:widowControl/>
        <w:keepNext w:val="1"/>
        <w:keepLines w:val="1"/>
        <w:ind w:left="0" w:right="0" w:firstLine="0"/>
      </w:pPr>
      <w:r>
        <w:rPr>
          <w:rFonts w:ascii="Times New Roman" w:hAnsi="Times New Roman" w:eastAsia="MingLiU" w:cs="Times New Roman"/>
          <w:color w:val="000000"/>
          <w:sz w:val="22"/>
          <w:szCs w:val="22"/>
          <w:b/>
        </w:rPr>
        <w:t xml:space="preserve">Abstract</w:t>
      </w:r>
    </w:p>
    <w:p>
      <w:pPr>
        <w:pStyle w:val="Normal"/>
        <w:spacing w:lineRule="auto" w:line="360" w:before="0" w:after="0"/>
        <w:ind w:start="1134" w:end="1134" w:left="1134" w:right="1134" w:firstLine="0"/>
        <w:jc w:val="both"/>
        <w:widowControl/>
        <w:keepNext w:val="0"/>
        <w:keepLines w:val="1"/>
      </w:pPr>
      <w:r>
        <w:rPr>
          <w:rFonts w:ascii="Times New Roman" w:hAnsi="Times New Roman" w:eastAsia="MingLiU" w:cs="Times New Roman"/>
          <w:color w:val="000000"/>
          <w:sz w:val="18"/>
          <w:szCs w:val="18"/>
        </w:rPr>
        <w:t xml:space="preserve">Inductive temporal link prediction requires a model to score interactions involving nodes absent from earlier observations. This study examines whether the link-scoring loss should update the temporal representation used by a registered SR-GNN implementation. We compare coupled end-to-end training, decoupling by construction, and a freeze-then-probe procedure on CoEdit, Wikipedia, and MOOC. The evaluation uses chronological partitions, a fixed random-negative protocol, and checksum-bound results with average precision summarized by the mean and sample standard deviation across selected random seeds. Under the registered current-corpus protocol, the observed decoupled arm has higher mean inductive average precision than the coupled arm on each corpus. The freeze-then-probe measurements characterize a particular training procedure and do not establish irreversible representation damage. The interpretation is further limited by the shared data origin of CoEdit and Wikipedia, the absence of admitted faithful external baselines, and the restricted negative-sampling regime. The contribution is a controlled and auditable comparison of gradient routing within the specified model and evaluation procedure. The results motivate testing decoupling as a design option while leaving generalization to other architectures, candidate populations, and application settings open.</w:t>
      </w:r>
    </w:p>
    <w:p>
      <w:pPr>
        <w:pStyle w:val="Normal"/>
        <w:spacing w:lineRule="auto" w:line="360" w:before="0" w:after="0"/>
        <w:ind w:start="1134" w:end="1134" w:left="1134" w:right="1134" w:firstLine="0"/>
        <w:widowControl/>
        <w:keepNext w:val="0"/>
        <w:keepLines w:val="1"/>
      </w:pPr>
      <w:r>
        <w:rPr>
          <w:rFonts w:ascii="Times New Roman" w:hAnsi="Times New Roman" w:eastAsia="MingLiU" w:cs="Times New Roman"/>
          <w:color w:val="000000"/>
          <w:sz w:val="18"/>
          <w:szCs w:val="18"/>
        </w:rPr>
        <w:t xml:space="preserve">Key words: temporal graphs, inductive link prediction, gradient decoupling, frozen probing, reproducible evaluation</w:t>
      </w:r>
    </w:p>
    <w:p>
      <w:pPr>
        <w:spacing w:before="0" w:after="0" w:line="20" w:lineRule="exact"/>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851" w:top="1985" w:footer="992" w:bottom="1134"/>
          <w:formProt w:val="false"/>
          <w:textDirection w:val="lrTb"/>
          <w:docGrid w:type="default" w:linePitch="360" w:charSpace="0"/>
          <w:cols w:num="1" w:space="424" w:equalWidth="true" w:sep="false"/>
        </w:sectPr>
      </w:pPr>
    </w:p>
    <w:p>
      <w:pPr>
        <w:pStyle w:val="Normal"/>
        <w:spacing w:lineRule="auto" w:line="360" w:before="180" w:after="90"/>
        <w:jc w:val="center"/>
        <w:widowControl/>
        <w:keepNext w:val="1"/>
        <w:keepLines w:val="1"/>
        <w:ind w:left="0" w:right="0" w:firstLine="0"/>
      </w:pPr>
      <w:r>
        <w:rPr>
          <w:rFonts w:ascii="Times New Roman" w:hAnsi="Times New Roman" w:eastAsia="MingLiU" w:cs="Times New Roman"/>
          <w:color w:val="000000"/>
          <w:sz w:val="22"/>
          <w:szCs w:val="22"/>
          <w:b/>
        </w:rPr>
        <w:t xml:space="preserve">I. Introduction</w:t>
      </w:r>
    </w:p>
    <w:p>
      <w:pPr>
        <w:pStyle w:val="Normal"/>
        <w:spacing w:lineRule="auto" w:line="360" w:before="0" w:after="0"/>
        <w:jc w:val="both"/>
        <w:widowControl/>
        <w:keepNext w:val="0"/>
        <w:keepLines w:val="0"/>
        <w:ind w:left="0" w:right="0" w:firstLine="240"/>
      </w:pPr>
      <w:r>
        <w:rPr>
          <w:rFonts w:ascii="Times New Roman" w:hAnsi="Times New Roman" w:eastAsia="MingLiU" w:cs="Times New Roman"/>
          <w:color w:val="000000"/>
          <w:sz w:val="18"/>
          <w:szCs w:val="18"/>
        </w:rPr>
        <w:t xml:space="preserve">Temporal interaction graphs represent relationships as timestamped events. Examples include contributions to an online document and interactions with a learning platform. A link predictor uses the available observations to assign a score to a candidate interaction. When the candidate includes a node absent from the earlier training and validation periods, performance depends on how the representation handles a new entity. This setting makes the relationship between representation learning and the prediction objective an important design question.</w:t>
      </w:r>
    </w:p>
    <w:p>
      <w:pPr>
        <w:pStyle w:val="Normal"/>
        <w:spacing w:lineRule="auto" w:line="360" w:before="0" w:after="0"/>
        <w:jc w:val="both"/>
        <w:widowControl/>
        <w:keepNext w:val="0"/>
        <w:keepLines w:val="0"/>
        <w:ind w:left="0" w:right="0" w:firstLine="240"/>
      </w:pPr>
      <w:r>
        <w:rPr>
          <w:rFonts w:ascii="Times New Roman" w:hAnsi="Times New Roman" w:eastAsia="MingLiU" w:cs="Times New Roman"/>
          <w:color w:val="000000"/>
          <w:sz w:val="18"/>
          <w:szCs w:val="18"/>
        </w:rPr>
        <w:t xml:space="preserve">Training a representation and its prediction head jointly allows the task loss to shape the features used for scoring. That flexibility can be useful, but it also means that the learned representation is optimized for the particular training population and sampled candidates. Detaching the representation at the scoring boundary changes this optimization process while retaining the forward features. Whether that change improves inductive performance is an empirical question. It cannot be answered solely from the presence of a stop-gradient operator or from the performance of an unrelated model.</w:t>
      </w:r>
    </w:p>
    <w:p>
      <w:pPr>
        <w:pStyle w:val="Normal"/>
        <w:spacing w:lineRule="auto" w:line="360" w:before="0" w:after="0"/>
        <w:jc w:val="both"/>
        <w:widowControl/>
        <w:keepNext w:val="0"/>
        <w:keepLines w:val="0"/>
        <w:ind w:left="0" w:right="0" w:firstLine="240"/>
      </w:pPr>
      <w:r>
        <w:rPr>
          <w:rFonts w:ascii="Times New Roman" w:hAnsi="Times New Roman" w:eastAsia="MingLiU" w:cs="Times New Roman"/>
          <w:color w:val="000000"/>
          <w:sz w:val="18"/>
          <w:szCs w:val="18"/>
        </w:rPr>
        <w:t xml:space="preserve">Prior temporal graph methods offer different ways to encode evolving interactions. JODIE models dynamic embedding trajectories [5], temporal graph attention learns time-dependent representations from temporal neighborhoods [8], and temporal graph networks combine memory with graph-based computation [7]. These contributions establish relevant modeling choices but do not determine the behavior of a gradient-routing change in the implementation examined here. We therefore focus on an internal comparison whose data identities and training profiles are explicitly recorded.</w:t>
      </w:r>
    </w:p>
    <w:p>
      <w:pPr>
        <w:pStyle w:val="Normal"/>
        <w:spacing w:lineRule="auto" w:line="360" w:before="0" w:after="0"/>
        <w:jc w:val="both"/>
        <w:widowControl/>
        <w:keepNext w:val="0"/>
        <w:keepLines w:val="0"/>
        <w:ind w:left="0" w:right="0" w:firstLine="240"/>
      </w:pPr>
      <w:r>
        <w:rPr>
          <w:rFonts w:ascii="Times New Roman" w:hAnsi="Times New Roman" w:eastAsia="MingLiU" w:cs="Times New Roman"/>
          <w:color w:val="000000"/>
          <w:sz w:val="18"/>
          <w:szCs w:val="18"/>
        </w:rPr>
        <w:t xml:space="preserve">This paper studies coupled and decoupled scoring paths in SR-GNN, the implementation name used by the accompanying research repository [3]. The primary comparison preserves the registered data, chronological split, model settings, training configuration, and evaluation sampling procedure while changing whether the scored readout receives detached backbone features. A freeze-then-probe arm provides an additional observed training condition. Because that arm includes separate pretraining and a newly initialized prediction head, it is interpreted as a distinct procedure rather than a definitive test of an irreversible mechanism.</w:t>
      </w:r>
    </w:p>
    <w:p>
      <w:pPr>
        <w:pStyle w:val="Normal"/>
        <w:spacing w:lineRule="auto" w:line="360" w:before="0" w:after="0"/>
        <w:jc w:val="both"/>
        <w:widowControl/>
        <w:keepNext w:val="0"/>
        <w:keepLines w:val="0"/>
        <w:ind w:left="0" w:right="0" w:firstLine="240"/>
      </w:pPr>
      <w:r>
        <w:rPr>
          <w:rFonts w:ascii="Times New Roman" w:hAnsi="Times New Roman" w:eastAsia="MingLiU" w:cs="Times New Roman"/>
          <w:color w:val="000000"/>
          <w:sz w:val="18"/>
          <w:szCs w:val="18"/>
        </w:rPr>
        <w:t xml:space="preserve">The contribution has a methodological and an empirical component. The methodological component makes the gradient boundary, temporal state updates, candidate sampling, and evidence provenance explicit. The empirical component reports the admitted current-corpus comparison: the decoupled arm has higher mean inductive average precision than the coupled arm on each registered corpus. The claim concerns the observed protocol arms. It does not assert superiority to published temporal baselines, a causal account of feature distortion, or a universal recommendation against end-to-end training.</w:t>
      </w:r>
    </w:p>
    <w:p>
      <w:pPr>
        <w:pStyle w:val="Normal"/>
        <w:spacing w:lineRule="auto" w:line="360" w:before="180" w:after="90"/>
        <w:jc w:val="center"/>
        <w:widowControl/>
        <w:keepNext w:val="1"/>
        <w:keepLines w:val="1"/>
        <w:ind w:left="0" w:right="0" w:firstLine="0"/>
      </w:pPr>
      <w:r>
        <w:rPr>
          <w:rFonts w:ascii="Times New Roman" w:hAnsi="Times New Roman" w:eastAsia="MingLiU" w:cs="Times New Roman"/>
          <w:color w:val="000000"/>
          <w:sz w:val="22"/>
          <w:szCs w:val="22"/>
          <w:b/>
        </w:rPr>
        <w:t xml:space="preserve">II. Related Work</w:t>
      </w:r>
    </w:p>
    <w:p>
      <w:pPr>
        <w:pStyle w:val="Normal"/>
        <w:spacing w:lineRule="auto" w:line="360" w:before="120" w:after="30"/>
        <w:jc w:val="both"/>
        <w:widowControl/>
        <w:keepNext w:val="1"/>
        <w:keepLines w:val="1"/>
        <w:ind w:left="0" w:right="0" w:firstLine="0"/>
      </w:pPr>
      <w:r>
        <w:rPr>
          <w:rFonts w:ascii="Times New Roman" w:hAnsi="Times New Roman" w:eastAsia="MingLiU" w:cs="Times New Roman"/>
          <w:color w:val="000000"/>
          <w:sz w:val="18"/>
          <w:szCs w:val="18"/>
          <w:b/>
        </w:rPr>
        <w:t xml:space="preserve">1. Temporal representation learning</w:t>
      </w:r>
    </w:p>
    <w:p>
      <w:pPr>
        <w:pStyle w:val="Normal"/>
        <w:spacing w:lineRule="auto" w:line="360" w:before="0" w:after="0"/>
        <w:jc w:val="both"/>
        <w:widowControl/>
        <w:keepNext w:val="0"/>
        <w:keepLines w:val="0"/>
        <w:ind w:left="0" w:right="0" w:firstLine="240"/>
      </w:pPr>
      <w:r>
        <w:rPr>
          <w:rFonts w:ascii="Times New Roman" w:hAnsi="Times New Roman" w:eastAsia="MingLiU" w:cs="Times New Roman"/>
          <w:color w:val="000000"/>
          <w:sz w:val="18"/>
          <w:szCs w:val="18"/>
        </w:rPr>
        <w:t xml:space="preserve">Dynamic embeddings, temporal attention, and memory-based models address different aspects of temporal graph learning. JODIE jointly models the evolution of interacting users and items and supplies the upstream interaction data used here [5]. TGAT aggregates temporal neighborhood information to construct representations that can be applied inductively [8]. TGN presents a framework combining persistent memory and temporal graph operations [7]. These methods provide context for studying how temporal representations are trained; their published results are not comparison rows in the present experiment.</w:t>
      </w:r>
    </w:p>
    <w:p>
      <w:pPr>
        <w:pStyle w:val="Normal"/>
        <w:spacing w:lineRule="auto" w:line="360" w:before="0" w:after="0"/>
        <w:jc w:val="both"/>
        <w:widowControl/>
        <w:keepNext w:val="0"/>
        <w:keepLines w:val="0"/>
        <w:ind w:left="0" w:right="0" w:firstLine="240"/>
      </w:pPr>
      <w:r>
        <w:rPr>
          <w:rFonts w:ascii="Times New Roman" w:hAnsi="Times New Roman" w:eastAsia="MingLiU" w:cs="Times New Roman"/>
          <w:color w:val="000000"/>
          <w:sz w:val="18"/>
          <w:szCs w:val="18"/>
        </w:rPr>
        <w:t xml:space="preserve">Implementation fidelity matters when comparing architectures. Yu et al. introduce DyGFormer together with DyGLib and emphasize unified training and evaluation procedures [9]. Merely assigning a published model name to a simplified local implementation does not establish equivalent behavior. The current study consequently excludes the repository's quarantined simplified temporal proxies from its empirical comparison. An external ranking would require faithful implementations and a separate audit of data processing, model capacity, optimization, and evaluation parity.</w:t>
      </w:r>
    </w:p>
    <w:p>
      <w:pPr>
        <w:pStyle w:val="Normal"/>
        <w:spacing w:lineRule="auto" w:line="360" w:before="120" w:after="30"/>
        <w:jc w:val="both"/>
        <w:widowControl/>
        <w:keepNext w:val="1"/>
        <w:keepLines w:val="1"/>
        <w:ind w:left="0" w:right="0" w:firstLine="0"/>
      </w:pPr>
      <w:r>
        <w:rPr>
          <w:rFonts w:ascii="Times New Roman" w:hAnsi="Times New Roman" w:eastAsia="MingLiU" w:cs="Times New Roman"/>
          <w:color w:val="000000"/>
          <w:sz w:val="18"/>
          <w:szCs w:val="18"/>
          <w:b/>
        </w:rPr>
        <w:t xml:space="preserve">2. Gradient separation and frozen representations</w:t>
      </w:r>
    </w:p>
    <w:p>
      <w:pPr>
        <w:pStyle w:val="Normal"/>
        <w:spacing w:lineRule="auto" w:line="360" w:before="0" w:after="0"/>
        <w:jc w:val="both"/>
        <w:widowControl/>
        <w:keepNext w:val="0"/>
        <w:keepLines w:val="0"/>
        <w:ind w:left="0" w:right="0" w:firstLine="240"/>
      </w:pPr>
      <w:r>
        <w:rPr>
          <w:rFonts w:ascii="Times New Roman" w:hAnsi="Times New Roman" w:eastAsia="MingLiU" w:cs="Times New Roman"/>
          <w:color w:val="000000"/>
          <w:sz w:val="18"/>
          <w:szCs w:val="18"/>
        </w:rPr>
        <w:t xml:space="preserve">Gradient separation is an established technique. Alain and Bengio use independently trained probes to examine intermediate representations [1]. Chen and He show an important role for stop-gradient in a self-supervised visual representation setting [2]. Kumar et al. analyze settings where fine-tuning can distort pretrained features and reduce out-of-distribution performance relative to linear probing [4]. These studies motivate separating the prediction objective from the representation update, but their conclusions do not directly transfer to stateful temporal link prediction.</w:t>
      </w:r>
    </w:p>
    <w:p>
      <w:pPr>
        <w:pStyle w:val="Normal"/>
        <w:spacing w:lineRule="auto" w:line="360" w:before="0" w:after="0"/>
        <w:jc w:val="both"/>
        <w:widowControl/>
        <w:keepNext w:val="0"/>
        <w:keepLines w:val="0"/>
        <w:ind w:left="0" w:right="0" w:firstLine="240"/>
      </w:pPr>
      <w:r>
        <w:rPr>
          <w:rFonts w:ascii="Times New Roman" w:hAnsi="Times New Roman" w:eastAsia="MingLiU" w:cs="Times New Roman"/>
          <w:color w:val="000000"/>
          <w:sz w:val="18"/>
          <w:szCs w:val="18"/>
        </w:rPr>
        <w:t xml:space="preserve">A temporal representation may change even when its parameters receive no gradient from the scored readout. Event histories continue to evolve, deterministic accumulators continue to update, and other enabled objectives can still act on trainable modules. Decoupling by construction therefore differs from taking a fixed feature matrix and fitting a classifier to it. Likewise, freezing parameters after pretraining does not freeze the temporal event state. These distinctions are essential for interpreting the experimental arms.</w:t>
      </w:r>
    </w:p>
    <w:p>
      <w:pPr>
        <w:pStyle w:val="Normal"/>
        <w:spacing w:lineRule="auto" w:line="360" w:before="120" w:after="30"/>
        <w:jc w:val="both"/>
        <w:widowControl/>
        <w:keepNext w:val="1"/>
        <w:keepLines w:val="1"/>
        <w:ind w:left="0" w:right="0" w:firstLine="0"/>
      </w:pPr>
      <w:r>
        <w:rPr>
          <w:rFonts w:ascii="Times New Roman" w:hAnsi="Times New Roman" w:eastAsia="MingLiU" w:cs="Times New Roman"/>
          <w:color w:val="000000"/>
          <w:sz w:val="18"/>
          <w:szCs w:val="18"/>
          <w:b/>
        </w:rPr>
        <w:t xml:space="preserve">3. Evaluation and negative candidates</w:t>
      </w:r>
    </w:p>
    <w:p>
      <w:pPr>
        <w:pStyle w:val="Normal"/>
        <w:spacing w:lineRule="auto" w:line="360" w:before="0" w:after="0"/>
        <w:jc w:val="both"/>
        <w:widowControl/>
        <w:keepNext w:val="0"/>
        <w:keepLines w:val="0"/>
        <w:ind w:left="0" w:right="0" w:firstLine="240"/>
      </w:pPr>
      <w:r>
        <w:rPr>
          <w:rFonts w:ascii="Times New Roman" w:hAnsi="Times New Roman" w:eastAsia="MingLiU" w:cs="Times New Roman"/>
          <w:color w:val="000000"/>
          <w:sz w:val="18"/>
          <w:szCs w:val="18"/>
        </w:rPr>
        <w:t xml:space="preserve">Poursafaei et al. show that recurring edges and the choice of negative candidates can strongly affect dynamic link prediction evaluation [6]. Their work motivates caution when interpreting high scores under random sampling. The present study reports only the registered fair-random-destination regime. Historical and inductive hard-negative experiments retained in earlier project material are not part of the current admitted evidence.</w:t>
      </w:r>
    </w:p>
    <w:p>
      <w:pPr>
        <w:pStyle w:val="Normal"/>
        <w:spacing w:lineRule="auto" w:line="360" w:before="0" w:after="0"/>
        <w:jc w:val="both"/>
        <w:widowControl/>
        <w:keepNext w:val="0"/>
        <w:keepLines w:val="0"/>
        <w:ind w:left="0" w:right="0" w:firstLine="240"/>
      </w:pPr>
      <w:r>
        <w:rPr>
          <w:rFonts w:ascii="Times New Roman" w:hAnsi="Times New Roman" w:eastAsia="MingLiU" w:cs="Times New Roman"/>
          <w:color w:val="000000"/>
          <w:sz w:val="18"/>
          <w:szCs w:val="18"/>
        </w:rPr>
        <w:t xml:space="preserve">Average precision is conditional on the evaluated candidate set and label balance. It describes ranking performance for the sampled positives and negatives, rather than a deployment-wide probability of an interaction. Matching the evaluator across arms supports a bounded comparison, but does not by itself establish that the candidate population matches a particular application. We therefore state the sampler behavior and retain its limitations in the interpretation.</w:t>
      </w:r>
    </w:p>
    <w:p>
      <w:pPr>
        <w:pStyle w:val="Normal"/>
        <w:spacing w:lineRule="auto" w:line="360" w:before="180" w:after="90"/>
        <w:jc w:val="center"/>
        <w:widowControl/>
        <w:keepNext w:val="1"/>
        <w:keepLines w:val="1"/>
        <w:ind w:left="0" w:right="0" w:firstLine="0"/>
      </w:pPr>
      <w:r>
        <w:rPr>
          <w:rFonts w:ascii="Times New Roman" w:hAnsi="Times New Roman" w:eastAsia="MingLiU" w:cs="Times New Roman"/>
          <w:color w:val="000000"/>
          <w:sz w:val="22"/>
          <w:szCs w:val="22"/>
          <w:b/>
        </w:rPr>
        <w:t xml:space="preserve">III. Model and Training Procedures</w:t>
      </w:r>
    </w:p>
    <w:p>
      <w:pPr>
        <w:pStyle w:val="Normal"/>
        <w:spacing w:lineRule="auto" w:line="360" w:before="120" w:after="30"/>
        <w:jc w:val="both"/>
        <w:widowControl/>
        <w:keepNext w:val="1"/>
        <w:keepLines w:val="1"/>
        <w:ind w:left="0" w:right="0" w:firstLine="0"/>
      </w:pPr>
      <w:r>
        <w:rPr>
          <w:rFonts w:ascii="Times New Roman" w:hAnsi="Times New Roman" w:eastAsia="MingLiU" w:cs="Times New Roman"/>
          <w:color w:val="000000"/>
          <w:sz w:val="18"/>
          <w:szCs w:val="18"/>
          <w:b/>
        </w:rPr>
        <w:t xml:space="preserve">1. Prediction setting and temporal state</w:t>
      </w:r>
    </w:p>
    <w:p>
      <w:pPr>
        <w:pStyle w:val="Normal"/>
        <w:spacing w:lineRule="auto" w:line="360" w:before="0" w:after="0"/>
        <w:jc w:val="both"/>
        <w:widowControl/>
        <w:keepNext w:val="0"/>
        <w:keepLines w:val="0"/>
        <w:ind w:left="0" w:right="0" w:firstLine="240"/>
      </w:pPr>
      <w:r>
        <w:rPr>
          <w:rFonts w:ascii="Times New Roman" w:hAnsi="Times New Roman" w:eastAsia="MingLiU" w:cs="Times New Roman"/>
          <w:color w:val="000000"/>
          <w:sz w:val="18"/>
          <w:szCs w:val="18"/>
        </w:rPr>
        <w:t xml:space="preserve">Let an event be described by a source u, destination v, timestamp t, and feature vector x. Let </w:t>
      </w:r>
      <w:r>
        <w:rPr>
          <w:rFonts w:ascii="Times New Roman" w:hAnsi="Times New Roman" w:eastAsia="MingLiU" w:cs="Times New Roman"/>
          <w:color w:val="000000"/>
          <w:sz w:val="18"/>
          <w:szCs w:val="18"/>
        </w:rPr>
        <w:t xml:space="preserve">H</w:t>
      </w:r>
      <w:r>
        <w:rPr>
          <w:rFonts w:ascii="Times New Roman" w:hAnsi="Times New Roman" w:eastAsia="MingLiU" w:cs="Times New Roman"/>
          <w:color w:val="000000"/>
          <w:sz w:val="18"/>
          <w:szCs w:val="18"/>
          <w:vertAlign w:val="subscript"/>
        </w:rPr>
        <w:t xml:space="preserve">t</w:t>
      </w:r>
      <w:r>
        <w:rPr>
          <w:rFonts w:ascii="Times New Roman" w:hAnsi="Times New Roman" w:eastAsia="MingLiU" w:cs="Times New Roman"/>
          <w:color w:val="000000"/>
          <w:sz w:val="18"/>
          <w:szCs w:val="18"/>
        </w:rPr>
        <w:t xml:space="preserve"> denote the retained history available to the evaluation procedure. The temporal backbone constructs a candidate representation h from node memories, encoded event information, and pair-history context. A readout maps this representation and the available pair-history signals to a link score. The following notation describes the relevant computation rather than introducing a new architecture:</w:t>
      </w:r>
    </w:p>
    <w:p>
      <w:pPr>
        <w:pStyle w:val="Normal"/>
        <w:spacing w:lineRule="auto" w:line="360" w:before="180" w:after="180"/>
        <w:widowControl/>
        <w:keepNext w:val="0"/>
        <w:keepLines w:val="1"/>
        <w:ind w:left="0" w:right="0" w:firstLine="0"/>
        <w:jc w:val="left"/>
        <w:tabs>
          <w:tab w:val="right" w:pos="4550"/>
        </w:tabs>
      </w:pPr>
      <w:r>
        <w:rPr>
          <w:rFonts w:ascii="Times New Roman" w:hAnsi="Times New Roman" w:eastAsia="MingLiU" w:cs="Times New Roman"/>
          <w:color w:val="000000"/>
          <w:sz w:val="18"/>
          <w:szCs w:val="18"/>
        </w:rPr>
        <w:t xml:space="preserve">h = </w:t>
      </w:r>
      <w:r>
        <w:rPr>
          <w:rFonts w:ascii="Times New Roman" w:hAnsi="Times New Roman" w:eastAsia="MingLiU" w:cs="Times New Roman"/>
          <w:color w:val="000000"/>
          <w:sz w:val="18"/>
          <w:szCs w:val="18"/>
        </w:rPr>
        <w:t xml:space="preserve">F</w:t>
      </w:r>
      <w:r>
        <w:rPr>
          <w:rFonts w:ascii="Times New Roman" w:hAnsi="Times New Roman" w:eastAsia="MingLiU" w:cs="Times New Roman"/>
          <w:color w:val="000000"/>
          <w:sz w:val="18"/>
          <w:szCs w:val="18"/>
          <w:vertAlign w:val="subscript"/>
        </w:rPr>
        <w:t xml:space="preserve">θ</w:t>
      </w:r>
      <w:r>
        <w:rPr>
          <w:rFonts w:ascii="Times New Roman" w:hAnsi="Times New Roman" w:eastAsia="MingLiU" w:cs="Times New Roman"/>
          <w:color w:val="000000"/>
          <w:sz w:val="18"/>
          <w:szCs w:val="18"/>
        </w:rPr>
        <w:t xml:space="preserve">(u, v, t, x, </w:t>
      </w:r>
      <w:r>
        <w:rPr>
          <w:rFonts w:ascii="Times New Roman" w:hAnsi="Times New Roman" w:eastAsia="MingLiU" w:cs="Times New Roman"/>
          <w:color w:val="000000"/>
          <w:sz w:val="18"/>
          <w:szCs w:val="18"/>
        </w:rPr>
        <w:t xml:space="preserve">H</w:t>
      </w:r>
      <w:r>
        <w:rPr>
          <w:rFonts w:ascii="Times New Roman" w:hAnsi="Times New Roman" w:eastAsia="MingLiU" w:cs="Times New Roman"/>
          <w:color w:val="000000"/>
          <w:sz w:val="18"/>
          <w:szCs w:val="18"/>
          <w:vertAlign w:val="subscript"/>
        </w:rPr>
        <w:t xml:space="preserve">t</w:t>
      </w:r>
      <w:r>
        <w:rPr>
          <w:rFonts w:ascii="Times New Roman" w:hAnsi="Times New Roman" w:eastAsia="MingLiU" w:cs="Times New Roman"/>
          <w:color w:val="000000"/>
          <w:sz w:val="18"/>
          <w:szCs w:val="18"/>
        </w:rPr>
        <w:t xml:space="preserve">)</w:t>
      </w:r>
      <w:r>
        <w:tab/>
      </w:r>
      <w:r>
        <w:rPr>
          <w:rFonts w:ascii="Times New Roman" w:hAnsi="Times New Roman" w:eastAsia="MingLiU" w:cs="Times New Roman"/>
          <w:color w:val="000000"/>
          <w:sz w:val="18"/>
          <w:szCs w:val="18"/>
        </w:rPr>
        <w:t xml:space="preserve">(1)</w:t>
      </w:r>
    </w:p>
    <w:p>
      <w:pPr>
        <w:pStyle w:val="Normal"/>
        <w:spacing w:lineRule="auto" w:line="360" w:before="180" w:after="180"/>
        <w:widowControl/>
        <w:keepNext w:val="0"/>
        <w:keepLines w:val="1"/>
        <w:ind w:left="0" w:right="0" w:firstLine="0"/>
        <w:jc w:val="left"/>
        <w:tabs>
          <w:tab w:val="right" w:pos="4550"/>
        </w:tabs>
      </w:pPr>
      <w:r>
        <w:rPr>
          <w:rFonts w:ascii="Times New Roman" w:hAnsi="Times New Roman" w:eastAsia="MingLiU" w:cs="Times New Roman"/>
          <w:color w:val="000000"/>
          <w:sz w:val="18"/>
          <w:szCs w:val="18"/>
        </w:rPr>
        <w:t xml:space="preserve">p = sigmoid(</w:t>
      </w:r>
      <w:r>
        <w:rPr>
          <w:rFonts w:ascii="Times New Roman" w:hAnsi="Times New Roman" w:eastAsia="MingLiU" w:cs="Times New Roman"/>
          <w:color w:val="000000"/>
          <w:sz w:val="18"/>
          <w:szCs w:val="18"/>
        </w:rPr>
        <w:t xml:space="preserve">G</w:t>
      </w:r>
      <w:r>
        <w:rPr>
          <w:rFonts w:ascii="Times New Roman" w:hAnsi="Times New Roman" w:eastAsia="MingLiU" w:cs="Times New Roman"/>
          <w:color w:val="000000"/>
          <w:sz w:val="18"/>
          <w:szCs w:val="18"/>
          <w:vertAlign w:val="subscript"/>
        </w:rPr>
        <w:t xml:space="preserve">ψ</w:t>
      </w:r>
      <w:r>
        <w:rPr>
          <w:rFonts w:ascii="Times New Roman" w:hAnsi="Times New Roman" w:eastAsia="MingLiU" w:cs="Times New Roman"/>
          <w:color w:val="000000"/>
          <w:sz w:val="18"/>
          <w:szCs w:val="18"/>
        </w:rPr>
        <w:t xml:space="preserve">(h, </w:t>
      </w:r>
      <w:r>
        <w:rPr>
          <w:rFonts w:ascii="Times New Roman" w:hAnsi="Times New Roman" w:eastAsia="MingLiU" w:cs="Times New Roman"/>
          <w:color w:val="000000"/>
          <w:sz w:val="18"/>
          <w:szCs w:val="18"/>
        </w:rPr>
        <w:t xml:space="preserve">φ</w:t>
      </w:r>
      <w:r>
        <w:rPr>
          <w:rFonts w:ascii="Times New Roman" w:hAnsi="Times New Roman" w:eastAsia="MingLiU" w:cs="Times New Roman"/>
          <w:color w:val="000000"/>
          <w:sz w:val="18"/>
          <w:szCs w:val="18"/>
          <w:vertAlign w:val="subscript"/>
        </w:rPr>
        <w:t xml:space="preserve">uv</w:t>
      </w:r>
      <w:r>
        <w:rPr>
          <w:rFonts w:ascii="Times New Roman" w:hAnsi="Times New Roman" w:eastAsia="MingLiU" w:cs="Times New Roman"/>
          <w:color w:val="000000"/>
          <w:sz w:val="18"/>
          <w:szCs w:val="18"/>
        </w:rPr>
        <w:t xml:space="preserve">))</w:t>
      </w:r>
      <w:r>
        <w:tab/>
      </w:r>
      <w:r>
        <w:rPr>
          <w:rFonts w:ascii="Times New Roman" w:hAnsi="Times New Roman" w:eastAsia="MingLiU" w:cs="Times New Roman"/>
          <w:color w:val="000000"/>
          <w:sz w:val="18"/>
          <w:szCs w:val="18"/>
        </w:rPr>
        <w:t xml:space="preserve">(2)</w:t>
      </w:r>
    </w:p>
    <w:p>
      <w:pPr>
        <w:pStyle w:val="Normal"/>
        <w:spacing w:lineRule="auto" w:line="360" w:before="0" w:after="0"/>
        <w:jc w:val="both"/>
        <w:widowControl/>
        <w:keepNext w:val="0"/>
        <w:keepLines w:val="0"/>
        <w:ind w:left="0" w:right="0" w:firstLine="240"/>
      </w:pPr>
      <w:r>
        <w:rPr>
          <w:rFonts w:ascii="Times New Roman" w:hAnsi="Times New Roman" w:eastAsia="MingLiU" w:cs="Times New Roman"/>
          <w:color w:val="000000"/>
          <w:sz w:val="18"/>
          <w:szCs w:val="18"/>
        </w:rPr>
        <w:t xml:space="preserve">Here θ denotes backbone parameters, ψ denotes readout parameters, and </w:t>
      </w:r>
      <w:r>
        <w:rPr>
          <w:rFonts w:ascii="Times New Roman" w:hAnsi="Times New Roman" w:eastAsia="MingLiU" w:cs="Times New Roman"/>
          <w:color w:val="000000"/>
          <w:sz w:val="18"/>
          <w:szCs w:val="18"/>
        </w:rPr>
        <w:t xml:space="preserve">φ</w:t>
      </w:r>
      <w:r>
        <w:rPr>
          <w:rFonts w:ascii="Times New Roman" w:hAnsi="Times New Roman" w:eastAsia="MingLiU" w:cs="Times New Roman"/>
          <w:color w:val="000000"/>
          <w:sz w:val="18"/>
          <w:szCs w:val="18"/>
          <w:vertAlign w:val="subscript"/>
        </w:rPr>
        <w:t xml:space="preserve">uv</w:t>
      </w:r>
      <w:r>
        <w:rPr>
          <w:rFonts w:ascii="Times New Roman" w:hAnsi="Times New Roman" w:eastAsia="MingLiU" w:cs="Times New Roman"/>
          <w:color w:val="000000"/>
          <w:sz w:val="18"/>
          <w:szCs w:val="18"/>
        </w:rPr>
        <w:t xml:space="preserve"> denotes deterministic pair-history features. The implementation includes an event encoder, a pair-state operator, and recurrent node-memory updates. The pair-state context retains quantities such as recurrence, elapsed time, and intensity-related history. These channels summarize observed events; their availability and timing are part of the implemented protocol.</w:t>
      </w:r>
    </w:p>
    <w:p>
      <w:pPr>
        <w:pStyle w:val="Normal"/>
        <w:spacing w:lineRule="auto" w:line="360" w:before="0" w:after="0"/>
        <w:jc w:val="both"/>
        <w:widowControl/>
        <w:keepNext w:val="0"/>
        <w:keepLines w:val="0"/>
        <w:ind w:left="0" w:right="0" w:firstLine="240"/>
      </w:pPr>
      <w:r>
        <w:rPr>
          <w:rFonts w:ascii="Times New Roman" w:hAnsi="Times New Roman" w:eastAsia="MingLiU" w:cs="Times New Roman"/>
          <w:color w:val="000000"/>
          <w:sz w:val="18"/>
          <w:szCs w:val="18"/>
        </w:rPr>
        <w:t xml:space="preserve">The event feature vector is supplied by the evaluation harness when constructing scores. Accordingly, the experiment is conditional on that input convention. A deployment in which such attributes become known only after an interaction occurs would require an additional feature-availability assessment and a correspondingly revised evaluation. The present result should not be read as evidence for unrestricted future-event forecasting.</w:t>
      </w:r>
    </w:p>
    <w:p>
      <w:pPr>
        <w:pStyle w:val="Normal"/>
        <w:spacing w:lineRule="auto" w:line="360" w:before="120" w:after="30"/>
        <w:jc w:val="both"/>
        <w:widowControl/>
        <w:keepNext w:val="1"/>
        <w:keepLines w:val="1"/>
        <w:ind w:left="0" w:right="0" w:firstLine="0"/>
      </w:pPr>
      <w:r>
        <w:rPr>
          <w:rFonts w:ascii="Times New Roman" w:hAnsi="Times New Roman" w:eastAsia="MingLiU" w:cs="Times New Roman"/>
          <w:color w:val="000000"/>
          <w:sz w:val="18"/>
          <w:szCs w:val="18"/>
          <w:b/>
        </w:rPr>
        <w:t xml:space="preserve">2. Coupled and decoupled scoring paths</w:t>
      </w:r>
    </w:p>
    <w:p>
      <w:pPr>
        <w:pStyle w:val="Normal"/>
        <w:spacing w:lineRule="auto" w:line="360" w:before="0" w:after="0"/>
        <w:jc w:val="both"/>
        <w:widowControl/>
        <w:keepNext w:val="0"/>
        <w:keepLines w:val="0"/>
        <w:ind w:left="0" w:right="0" w:firstLine="240"/>
      </w:pPr>
      <w:r>
        <w:rPr>
          <w:rFonts w:ascii="Times New Roman" w:hAnsi="Times New Roman" w:eastAsia="MingLiU" w:cs="Times New Roman"/>
          <w:color w:val="000000"/>
          <w:sz w:val="18"/>
          <w:szCs w:val="18"/>
        </w:rPr>
        <w:t xml:space="preserve">In the coupled arm, the scored readout receives h directly, allowing derivatives of the link objective to reach the backbone through this path. In the decoupled arm, it receives sg(h), where sg preserves the forward value and stops the backward derivative at the boundary. This gives the decoupled scoring expression</w:t>
      </w:r>
    </w:p>
    <w:p>
      <w:pPr>
        <w:pStyle w:val="Normal"/>
        <w:spacing w:lineRule="auto" w:line="360" w:before="180" w:after="180"/>
        <w:widowControl/>
        <w:keepNext w:val="0"/>
        <w:keepLines w:val="1"/>
        <w:ind w:left="0" w:right="0" w:firstLine="0"/>
        <w:jc w:val="left"/>
        <w:tabs>
          <w:tab w:val="right" w:pos="4550"/>
        </w:tabs>
      </w:pPr>
      <w:r>
        <w:rPr>
          <w:rFonts w:ascii="Times New Roman" w:hAnsi="Times New Roman" w:eastAsia="MingLiU" w:cs="Times New Roman"/>
          <w:color w:val="000000"/>
          <w:sz w:val="18"/>
          <w:szCs w:val="18"/>
        </w:rPr>
        <w:t xml:space="preserve">p</w:t>
      </w:r>
      <w:r>
        <w:rPr>
          <w:rFonts w:ascii="Times New Roman" w:hAnsi="Times New Roman" w:eastAsia="MingLiU" w:cs="Times New Roman"/>
          <w:color w:val="000000"/>
          <w:sz w:val="18"/>
          <w:szCs w:val="18"/>
          <w:vertAlign w:val="subscript"/>
        </w:rPr>
        <w:t xml:space="preserve">dec</w:t>
      </w:r>
      <w:r>
        <w:rPr>
          <w:rFonts w:ascii="Times New Roman" w:hAnsi="Times New Roman" w:eastAsia="MingLiU" w:cs="Times New Roman"/>
          <w:color w:val="000000"/>
          <w:sz w:val="18"/>
          <w:szCs w:val="18"/>
        </w:rPr>
        <w:t xml:space="preserve"> = sigmoid(</w:t>
      </w:r>
      <w:r>
        <w:rPr>
          <w:rFonts w:ascii="Times New Roman" w:hAnsi="Times New Roman" w:eastAsia="MingLiU" w:cs="Times New Roman"/>
          <w:color w:val="000000"/>
          <w:sz w:val="18"/>
          <w:szCs w:val="18"/>
        </w:rPr>
        <w:t xml:space="preserve">G</w:t>
      </w:r>
      <w:r>
        <w:rPr>
          <w:rFonts w:ascii="Times New Roman" w:hAnsi="Times New Roman" w:eastAsia="MingLiU" w:cs="Times New Roman"/>
          <w:color w:val="000000"/>
          <w:sz w:val="18"/>
          <w:szCs w:val="18"/>
          <w:vertAlign w:val="subscript"/>
        </w:rPr>
        <w:t xml:space="preserve">ψ</w:t>
      </w:r>
      <w:r>
        <w:rPr>
          <w:rFonts w:ascii="Times New Roman" w:hAnsi="Times New Roman" w:eastAsia="MingLiU" w:cs="Times New Roman"/>
          <w:color w:val="000000"/>
          <w:sz w:val="18"/>
          <w:szCs w:val="18"/>
        </w:rPr>
        <w:t xml:space="preserve">(sg(h), </w:t>
      </w:r>
      <w:r>
        <w:rPr>
          <w:rFonts w:ascii="Times New Roman" w:hAnsi="Times New Roman" w:eastAsia="MingLiU" w:cs="Times New Roman"/>
          <w:color w:val="000000"/>
          <w:sz w:val="18"/>
          <w:szCs w:val="18"/>
        </w:rPr>
        <w:t xml:space="preserve">φ</w:t>
      </w:r>
      <w:r>
        <w:rPr>
          <w:rFonts w:ascii="Times New Roman" w:hAnsi="Times New Roman" w:eastAsia="MingLiU" w:cs="Times New Roman"/>
          <w:color w:val="000000"/>
          <w:sz w:val="18"/>
          <w:szCs w:val="18"/>
          <w:vertAlign w:val="subscript"/>
        </w:rPr>
        <w:t xml:space="preserve">uv</w:t>
      </w:r>
      <w:r>
        <w:rPr>
          <w:rFonts w:ascii="Times New Roman" w:hAnsi="Times New Roman" w:eastAsia="MingLiU" w:cs="Times New Roman"/>
          <w:color w:val="000000"/>
          <w:sz w:val="18"/>
          <w:szCs w:val="18"/>
        </w:rPr>
        <w:t xml:space="preserve">))</w:t>
      </w:r>
      <w:r>
        <w:tab/>
      </w:r>
      <w:r>
        <w:rPr>
          <w:rFonts w:ascii="Times New Roman" w:hAnsi="Times New Roman" w:eastAsia="MingLiU" w:cs="Times New Roman"/>
          <w:color w:val="000000"/>
          <w:sz w:val="18"/>
          <w:szCs w:val="18"/>
        </w:rPr>
        <w:t xml:space="preserve">(3)</w:t>
      </w:r>
    </w:p>
    <w:p>
      <w:pPr>
        <w:pStyle w:val="Normal"/>
        <w:spacing w:lineRule="auto" w:line="360" w:before="0" w:after="0"/>
        <w:jc w:val="both"/>
        <w:widowControl/>
        <w:keepNext w:val="0"/>
        <w:keepLines w:val="0"/>
        <w:ind w:left="0" w:right="0" w:firstLine="240"/>
      </w:pPr>
      <w:r>
        <w:rPr>
          <w:rFonts w:ascii="Times New Roman" w:hAnsi="Times New Roman" w:eastAsia="MingLiU" w:cs="Times New Roman"/>
          <w:color w:val="000000"/>
          <w:sz w:val="18"/>
          <w:szCs w:val="18"/>
        </w:rPr>
        <w:t xml:space="preserve">The positive and negative scoring paths apply the boundary symmetrically. Detaching only the positive representation would leave a second route by which the negative-example loss could train the backbone. The comparison therefore concerns the complete scored path, not a one-sided change in the treatment of observed edges.</w:t>
      </w:r>
    </w:p>
    <w:p>
      <w:pPr>
        <w:pStyle w:val="Normal"/>
        <w:spacing w:lineRule="auto" w:line="360" w:before="0" w:after="0"/>
        <w:jc w:val="both"/>
        <w:widowControl/>
        <w:keepNext w:val="0"/>
        <w:keepLines w:val="0"/>
        <w:ind w:left="0" w:right="0" w:firstLine="240"/>
      </w:pPr>
      <w:r>
        <w:rPr>
          <w:rFonts w:ascii="Times New Roman" w:hAnsi="Times New Roman" w:eastAsia="MingLiU" w:cs="Times New Roman"/>
          <w:color w:val="000000"/>
          <w:sz w:val="18"/>
          <w:szCs w:val="18"/>
        </w:rPr>
        <w:t xml:space="preserve">Both primary arms use the registered hierarchical readout configuration. In the protocol, the p0_fix setting is off for both, and the detach_scorepath setting distinguishes them. Thus, the current coupled arm is the connected version of the shared scored readout; it is not the separate main-predictor configuration used by an earlier manuscript comparison. This distinction prevents an architectural head replacement from being silently described as the primary gradient-routing contrast.</w:t>
      </w:r>
    </w:p>
    <w:p>
      <w:pPr>
        <w:pStyle w:val="Normal"/>
        <w:spacing w:lineRule="auto" w:line="360" w:before="0" w:after="0"/>
        <w:jc w:val="both"/>
        <w:widowControl/>
        <w:keepNext w:val="0"/>
        <w:keepLines w:val="0"/>
        <w:ind w:left="0" w:right="0" w:firstLine="240"/>
      </w:pPr>
      <w:r>
        <w:rPr>
          <w:rFonts w:ascii="Times New Roman" w:hAnsi="Times New Roman" w:eastAsia="MingLiU" w:cs="Times New Roman"/>
          <w:color w:val="000000"/>
          <w:sz w:val="18"/>
          <w:szCs w:val="18"/>
        </w:rPr>
        <w:t xml:space="preserve">The prediction term is a per-event binary cross-entropy loss with the registered soft compliance weighting. The total objective also contains the enabled variational, violation, transition, edge-state, and entropy regularization terms specified by the model and resolved configuration. Decoupling removes the scored loss path across the stated boundary; it does not imply that every model parameter is fixed or that all auxiliary gradients are absent. In particular, history stores are updated by forward execution and must be distinguished from gradient-trained weights. The source and protocol provide the operational definition of the comparison [3].</w:t>
      </w:r>
    </w:p>
    <w:p>
      <w:pPr>
        <w:pStyle w:val="Normal"/>
        <w:spacing w:lineRule="auto" w:line="360" w:before="120" w:after="30"/>
        <w:jc w:val="both"/>
        <w:widowControl/>
        <w:keepNext w:val="1"/>
        <w:keepLines w:val="1"/>
        <w:ind w:left="0" w:right="0" w:firstLine="0"/>
      </w:pPr>
      <w:r>
        <w:rPr>
          <w:rFonts w:ascii="Times New Roman" w:hAnsi="Times New Roman" w:eastAsia="MingLiU" w:cs="Times New Roman"/>
          <w:color w:val="000000"/>
          <w:sz w:val="18"/>
          <w:szCs w:val="18"/>
          <w:b/>
        </w:rPr>
        <w:t xml:space="preserve">3. Freeze then probe</w:t>
      </w:r>
    </w:p>
    <w:p>
      <w:pPr>
        <w:pStyle w:val="Normal"/>
        <w:spacing w:lineRule="auto" w:line="360" w:before="0" w:after="0"/>
        <w:jc w:val="both"/>
        <w:widowControl/>
        <w:keepNext w:val="0"/>
        <w:keepLines w:val="0"/>
        <w:ind w:left="0" w:right="0" w:firstLine="240"/>
      </w:pPr>
      <w:r>
        <w:rPr>
          <w:rFonts w:ascii="Times New Roman" w:hAnsi="Times New Roman" w:eastAsia="MingLiU" w:cs="Times New Roman"/>
          <w:color w:val="000000"/>
          <w:sz w:val="18"/>
          <w:szCs w:val="18"/>
        </w:rPr>
        <w:t xml:space="preserve">The freeze-then-probe arm first trains with the separate main prediction head enabled. It selects the best validation checkpoint from this phase, freezes the representation parameters, reinitializes the main prediction head, and trains that head while the representation parameters remain frozen. The probe phase selects its own validation checkpoint. Temporal stores continue to evolve during forward passes even though the frozen parameters do not receive optimizer updates.</w:t>
      </w:r>
    </w:p>
    <w:p>
      <w:pPr>
        <w:pStyle w:val="Normal"/>
        <w:spacing w:lineRule="auto" w:line="360" w:before="0" w:after="0"/>
        <w:jc w:val="both"/>
        <w:widowControl/>
        <w:keepNext w:val="0"/>
        <w:keepLines w:val="0"/>
        <w:ind w:left="0" w:right="0" w:firstLine="240"/>
      </w:pPr>
      <w:r>
        <w:rPr>
          <w:rFonts w:ascii="Times New Roman" w:hAnsi="Times New Roman" w:eastAsia="MingLiU" w:cs="Times New Roman"/>
          <w:color w:val="000000"/>
          <w:sz w:val="18"/>
          <w:szCs w:val="18"/>
        </w:rPr>
        <w:t xml:space="preserve">This procedure tests the performance of the specified pretrained representation and fresh head under the registered probe training budget. It differs from the coupled-versus-decoupled comparison in training history and head usage. Its result cannot identify whether a representation could recover under another head, a different optimization schedule, additional training, or another intervention. We therefore use the term freeze-then-probe without treating the implementation as a pure linear probe or treating its observed performance as proof of irreversibility.</w:t>
      </w:r>
    </w:p>
    <w:p>
      <w:pPr>
        <w:pStyle w:val="Normal"/>
        <w:spacing w:lineRule="auto" w:line="360" w:before="120" w:after="30"/>
        <w:jc w:val="both"/>
        <w:widowControl/>
        <w:keepNext w:val="1"/>
        <w:keepLines w:val="1"/>
        <w:ind w:left="0" w:right="0" w:firstLine="0"/>
      </w:pPr>
      <w:r>
        <w:rPr>
          <w:rFonts w:ascii="Times New Roman" w:hAnsi="Times New Roman" w:eastAsia="MingLiU" w:cs="Times New Roman"/>
          <w:color w:val="000000"/>
          <w:sz w:val="18"/>
          <w:szCs w:val="18"/>
          <w:b/>
        </w:rPr>
        <w:t xml:space="preserve">4. Ordering and state updates</w:t>
      </w:r>
    </w:p>
    <w:p>
      <w:pPr>
        <w:pStyle w:val="Normal"/>
        <w:spacing w:lineRule="auto" w:line="360" w:before="0" w:after="0"/>
        <w:jc w:val="both"/>
        <w:widowControl/>
        <w:keepNext w:val="0"/>
        <w:keepLines w:val="0"/>
        <w:ind w:left="0" w:right="0" w:firstLine="240"/>
      </w:pPr>
      <w:r>
        <w:rPr>
          <w:rFonts w:ascii="Times New Roman" w:hAnsi="Times New Roman" w:eastAsia="MingLiU" w:cs="Times New Roman"/>
          <w:color w:val="000000"/>
          <w:sz w:val="18"/>
          <w:szCs w:val="18"/>
        </w:rPr>
        <w:t xml:space="preserve">Pair-history signals used for scoring are read from pre-update state. A negative candidate obtains its own available pair history through read-only access; scoring a negative does not insert it as an observed event. Positive observations subsequently update the relevant stores. This separation prevents the simple error of giving a positive candidate its post-event recurrence information while forcing a negative candidate to have an empty history.</w:t>
      </w:r>
    </w:p>
    <w:p>
      <w:pPr>
        <w:pStyle w:val="Normal"/>
        <w:spacing w:lineRule="auto" w:line="360" w:before="0" w:after="0"/>
        <w:jc w:val="both"/>
        <w:widowControl/>
        <w:keepNext w:val="0"/>
        <w:keepLines w:val="0"/>
        <w:ind w:left="0" w:right="0" w:firstLine="240"/>
      </w:pPr>
      <w:r>
        <w:rPr>
          <w:rFonts w:ascii="Times New Roman" w:hAnsi="Times New Roman" w:eastAsia="MingLiU" w:cs="Times New Roman"/>
          <w:color w:val="000000"/>
          <w:sz w:val="18"/>
          <w:szCs w:val="18"/>
        </w:rPr>
        <w:t xml:space="preserve">The registered causal-batch setting has a narrower meaning than full sequential replay of every model operation. Pair accumulators follow the recorded deterministic ordering, while recurrent node memory uses a batch snapshot with stable last-row commit semantics for collisions. The experiment holds these semantics fixed across the primary arms. It does not establish equivalence to an evaluator that updates every component after every individual event.</w:t>
      </w:r>
    </w:p>
    <w:p>
      <w:pPr>
        <w:pStyle w:val="Normal"/>
        <w:spacing w:lineRule="auto" w:line="360" w:before="180" w:after="90"/>
        <w:jc w:val="center"/>
        <w:widowControl/>
        <w:keepNext w:val="1"/>
        <w:keepLines w:val="1"/>
        <w:ind w:left="0" w:right="0" w:firstLine="0"/>
      </w:pPr>
      <w:r>
        <w:rPr>
          <w:rFonts w:ascii="Times New Roman" w:hAnsi="Times New Roman" w:eastAsia="MingLiU" w:cs="Times New Roman"/>
          <w:color w:val="000000"/>
          <w:sz w:val="22"/>
          <w:szCs w:val="22"/>
          <w:b/>
        </w:rPr>
        <w:t xml:space="preserve">IV. Data and Experimental Protocol</w:t>
      </w:r>
    </w:p>
    <w:p>
      <w:pPr>
        <w:pStyle w:val="Normal"/>
        <w:spacing w:lineRule="auto" w:line="360" w:before="120" w:after="30"/>
        <w:jc w:val="both"/>
        <w:widowControl/>
        <w:keepNext w:val="1"/>
        <w:keepLines w:val="1"/>
        <w:ind w:left="0" w:right="0" w:firstLine="0"/>
      </w:pPr>
      <w:r>
        <w:rPr>
          <w:rFonts w:ascii="Times New Roman" w:hAnsi="Times New Roman" w:eastAsia="MingLiU" w:cs="Times New Roman"/>
          <w:color w:val="000000"/>
          <w:sz w:val="18"/>
          <w:szCs w:val="18"/>
          <w:b/>
        </w:rPr>
        <w:t xml:space="preserve">1. Corpus identities</w:t>
      </w:r>
    </w:p>
    <w:p>
      <w:pPr>
        <w:pStyle w:val="Normal"/>
        <w:spacing w:lineRule="auto" w:line="360" w:before="0" w:after="0"/>
        <w:jc w:val="both"/>
        <w:widowControl/>
        <w:keepNext w:val="0"/>
        <w:keepLines w:val="0"/>
        <w:ind w:left="0" w:right="0" w:firstLine="240"/>
      </w:pPr>
      <w:r>
        <w:rPr>
          <w:rFonts w:ascii="Times New Roman" w:hAnsi="Times New Roman" w:eastAsia="MingLiU" w:cs="Times New Roman"/>
          <w:color w:val="000000"/>
          <w:sz w:val="18"/>
          <w:szCs w:val="18"/>
        </w:rPr>
        <w:t xml:space="preserve">Wikipedia and MOOC are acquired from the public JODIE data sources [5]. They represent bipartite interaction streams. The current preprocessing assigns disjoint stored node namespaces to their source and destination roles, uses stable chronological ordering, and handles non-finite feature values according to the registered builder. CoEdit is constructed from the registered Wikipedia stream and represents contributor-to-contributor co-edit events in a shared node namespace [3].</w:t>
      </w:r>
    </w:p>
    <w:p>
      <w:pPr>
        <w:pStyle w:val="Normal"/>
        <w:spacing w:lineRule="auto" w:line="360" w:before="0" w:after="0"/>
        <w:jc w:val="both"/>
        <w:widowControl/>
        <w:keepNext w:val="0"/>
        <w:keepLines w:val="0"/>
        <w:ind w:left="0" w:right="0" w:firstLine="240"/>
      </w:pPr>
      <w:r>
        <w:rPr>
          <w:rFonts w:ascii="Times New Roman" w:hAnsi="Times New Roman" w:eastAsia="MingLiU" w:cs="Times New Roman"/>
          <w:color w:val="000000"/>
          <w:sz w:val="18"/>
          <w:szCs w:val="18"/>
        </w:rPr>
        <w:t xml:space="preserve">These topologies require different checks. Enforcing disjoint endpoint namespaces on CoEdit would reject its intended shared contributor space; allowing namespace collisions in a bipartite corpus would conflate different entity roles. The current evidence binds each corpus to its registered topology and processed checksum. Results associated with earlier identities are excluded rather than combined with the current matrix.</w:t>
      </w:r>
    </w:p>
    <w:p>
      <w:pPr>
        <w:pStyle w:val="Normal"/>
        <w:spacing w:lineRule="auto" w:line="360" w:before="0" w:after="0"/>
        <w:jc w:val="both"/>
        <w:widowControl/>
        <w:keepNext w:val="0"/>
        <w:keepLines w:val="0"/>
        <w:ind w:left="0" w:right="0" w:firstLine="240"/>
      </w:pPr>
      <w:r>
        <w:rPr>
          <w:rFonts w:ascii="Times New Roman" w:hAnsi="Times New Roman" w:eastAsia="MingLiU" w:cs="Times New Roman"/>
          <w:color w:val="000000"/>
          <w:sz w:val="18"/>
          <w:szCs w:val="18"/>
        </w:rPr>
        <w:t xml:space="preserve">CoEdit and Wikipedia are not independent data sources. They provide different graph constructions from related observations. MOOC extends the comparison to another source, but the available corpora still cover a limited range of interaction settings. Agreement in the observed mean ordering should therefore be described across the registered corpora, rather than as independent confirmation across unrelated domains.</w:t>
      </w:r>
    </w:p>
    <w:p>
      <w:pPr>
        <w:pStyle w:val="Normal"/>
        <w:spacing w:lineRule="auto" w:line="360" w:before="120" w:after="30"/>
        <w:jc w:val="both"/>
        <w:widowControl/>
        <w:keepNext w:val="1"/>
        <w:keepLines w:val="1"/>
        <w:ind w:left="0" w:right="0" w:firstLine="0"/>
      </w:pPr>
      <w:r>
        <w:rPr>
          <w:rFonts w:ascii="Times New Roman" w:hAnsi="Times New Roman" w:eastAsia="MingLiU" w:cs="Times New Roman"/>
          <w:color w:val="000000"/>
          <w:sz w:val="18"/>
          <w:szCs w:val="18"/>
          <w:b/>
        </w:rPr>
        <w:t xml:space="preserve">2. Chronological partitions and inductive population</w:t>
      </w:r>
    </w:p>
    <w:p>
      <w:pPr>
        <w:pStyle w:val="Normal"/>
        <w:spacing w:lineRule="auto" w:line="360" w:before="0" w:after="0"/>
        <w:jc w:val="both"/>
        <w:widowControl/>
        <w:keepNext w:val="0"/>
        <w:keepLines w:val="0"/>
        <w:ind w:left="0" w:right="0" w:firstLine="240"/>
      </w:pPr>
      <w:r>
        <w:rPr>
          <w:rFonts w:ascii="Times New Roman" w:hAnsi="Times New Roman" w:eastAsia="MingLiU" w:cs="Times New Roman"/>
          <w:color w:val="000000"/>
          <w:sz w:val="18"/>
          <w:szCs w:val="18"/>
        </w:rPr>
        <w:t xml:space="preserve">Events are partitioned chronologically into training, validation, and test segments using the configuration in Table 1. The inductive node set contains nodes occurring in the test segment but in neither earlier segment. An inductive test edge is an event touching at least one such node. Thus, novelty is defined relative to both training and validation, and the reported endpoint is not computed over the entire test stream.</w:t>
      </w:r>
    </w:p>
    <w:p>
      <w:pPr>
        <w:pStyle w:val="Normal"/>
        <w:spacing w:lineRule="auto" w:line="360" w:before="0" w:after="0"/>
        <w:jc w:val="both"/>
        <w:widowControl/>
        <w:keepNext w:val="0"/>
        <w:keepLines w:val="0"/>
        <w:ind w:left="0" w:right="0" w:firstLine="240"/>
      </w:pPr>
      <w:r>
        <w:rPr>
          <w:rFonts w:ascii="Times New Roman" w:hAnsi="Times New Roman" w:eastAsia="MingLiU" w:cs="Times New Roman"/>
          <w:color w:val="000000"/>
          <w:sz w:val="18"/>
          <w:szCs w:val="18"/>
        </w:rPr>
        <w:t xml:space="preserve">Before inductive scoring, the selected checkpoint is restored, temporal stores are reset, and the training and validation segments are replayed without optimizer updates to reconstruct history. The evaluator then processes the filtered inductive test stream in chronological order. Because this filtering occurs before the test pass, omitted test events do not contribute updates during that pass. This history convention is part of the result and should be retained in a reproduction.</w:t>
      </w:r>
    </w:p>
    <w:p>
      <w:pPr>
        <w:pStyle w:val="Normal"/>
        <w:spacing w:lineRule="auto" w:line="360" w:before="100" w:after="60"/>
        <w:jc w:val="center"/>
        <w:widowControl/>
        <w:keepNext w:val="1"/>
        <w:keepLines w:val="1"/>
        <w:ind w:left="0" w:right="0" w:firstLine="0"/>
      </w:pPr>
      <w:r>
        <w:rPr>
          <w:rFonts w:ascii="Times New Roman" w:hAnsi="Times New Roman" w:eastAsia="MingLiU" w:cs="Times New Roman"/>
          <w:color w:val="000000"/>
          <w:sz w:val="18"/>
          <w:szCs w:val="18"/>
          <w:b/>
        </w:rPr>
        <w:t xml:space="preserve">Table 1. Registered training configuration</w:t>
      </w:r>
    </w:p>
    <w:tbl>
      <w:tblPr>
        <w:tblW w:w="4600" w:type="dxa"/>
        <w:jc w:val="center"/>
        <w:tblLayout w:type="fixed"/>
        <w:tblBorders>
          <w:top w:val="single" w:sz="4" w:color="000000"/>
          <w:left w:val="single" w:sz="4" w:color="000000"/>
          <w:bottom w:val="single" w:sz="4" w:color="000000"/>
          <w:right w:val="single" w:sz="4" w:color="000000"/>
          <w:insideH w:val="single" w:sz="4" w:color="000000"/>
          <w:insideV w:val="single" w:sz="4" w:color="000000"/>
        </w:tblBorders>
        <w:tblCellMar>
          <w:top w:w="55" w:type="dxa"/>
          <w:bottom w:w="55" w:type="dxa"/>
          <w:left w:w="55" w:type="dxa"/>
          <w:right w:w="55" w:type="dxa"/>
        </w:tblCellMar>
      </w:tblPr>
      <w:tblGrid>
        <w:gridCol w:w="1980"/>
        <w:gridCol w:w="2620"/>
      </w:tblGrid>
      <w:tr>
        <w:trPr>
          <w:cantSplit/>
          <w:tblHeader/>
        </w:trPr>
        <w:tc>
          <w:tcPr>
            <w:tcW w:w="1980" w:type="dxa"/>
            <w:vAlign w:val="center"/>
          </w:tcPr>
          <w:p>
            <w:pPr>
              <w:pStyle w:val="Normal"/>
              <w:spacing w:lineRule="auto" w:line="270" w:before="0" w:after="0"/>
              <w:jc w:val="left"/>
              <w:widowControl/>
              <w:keepNext w:val="1"/>
              <w:keepLines w:val="0"/>
              <w:ind w:left="0" w:right="0" w:firstLine="0"/>
            </w:pPr>
            <w:r>
              <w:rPr>
                <w:rFonts w:ascii="Times New Roman" w:hAnsi="Times New Roman" w:eastAsia="MingLiU" w:cs="Times New Roman"/>
                <w:color w:val="000000"/>
                <w:sz w:val="16"/>
                <w:szCs w:val="16"/>
                <w:b/>
              </w:rPr>
              <w:t xml:space="preserve">Setting</w:t>
            </w:r>
          </w:p>
        </w:tc>
        <w:tc>
          <w:tcPr>
            <w:tcW w:w="2620" w:type="dxa"/>
            <w:vAlign w:val="center"/>
          </w:tcPr>
          <w:p>
            <w:pPr>
              <w:pStyle w:val="Normal"/>
              <w:spacing w:lineRule="auto" w:line="270" w:before="0" w:after="0"/>
              <w:jc w:val="center"/>
              <w:widowControl/>
              <w:keepNext w:val="1"/>
              <w:keepLines w:val="0"/>
              <w:ind w:left="0" w:right="0" w:firstLine="0"/>
            </w:pPr>
            <w:r>
              <w:rPr>
                <w:rFonts w:ascii="Times New Roman" w:hAnsi="Times New Roman" w:eastAsia="MingLiU" w:cs="Times New Roman"/>
                <w:color w:val="000000"/>
                <w:sz w:val="16"/>
                <w:szCs w:val="16"/>
                <w:b/>
              </w:rPr>
              <w:t xml:space="preserve">Value</w:t>
            </w:r>
          </w:p>
        </w:tc>
      </w:tr>
      <w:tr>
        <w:trPr>
          <w:cantSplit/>
        </w:trPr>
        <w:tc>
          <w:tcPr>
            <w:tcW w:w="1980" w:type="dxa"/>
            <w:vAlign w:val="center"/>
          </w:tcPr>
          <w:p>
            <w:pPr>
              <w:pStyle w:val="Normal"/>
              <w:spacing w:lineRule="auto" w:line="270" w:before="0" w:after="0"/>
              <w:jc w:val="left"/>
              <w:widowControl/>
              <w:keepNext w:val="1"/>
              <w:keepLines w:val="0"/>
              <w:ind w:left="0" w:right="0" w:firstLine="0"/>
            </w:pPr>
            <w:r>
              <w:rPr>
                <w:rFonts w:ascii="Times New Roman" w:hAnsi="Times New Roman" w:eastAsia="MingLiU" w:cs="Times New Roman"/>
                <w:color w:val="000000"/>
                <w:sz w:val="16"/>
                <w:szCs w:val="16"/>
              </w:rPr>
              <w:t xml:space="preserve">Train / validation / test</w:t>
            </w:r>
          </w:p>
        </w:tc>
        <w:tc>
          <w:tcPr>
            <w:tcW w:w="2620" w:type="dxa"/>
            <w:vAlign w:val="center"/>
          </w:tcPr>
          <w:p>
            <w:pPr>
              <w:pStyle w:val="Normal"/>
              <w:spacing w:lineRule="auto" w:line="270" w:before="0" w:after="0"/>
              <w:jc w:val="center"/>
              <w:widowControl/>
              <w:keepNext w:val="1"/>
              <w:keepLines w:val="0"/>
              <w:ind w:left="0" w:right="0" w:firstLine="0"/>
            </w:pPr>
            <w:r>
              <w:rPr>
                <w:rFonts w:ascii="Times New Roman" w:hAnsi="Times New Roman" w:eastAsia="MingLiU" w:cs="Times New Roman"/>
                <w:color w:val="000000"/>
                <w:sz w:val="16"/>
                <w:szCs w:val="16"/>
              </w:rPr>
              <w:t xml:space="preserve">70 / 15 / 15 percent</w:t>
            </w:r>
          </w:p>
        </w:tc>
      </w:tr>
      <w:tr>
        <w:trPr>
          <w:cantSplit/>
        </w:trPr>
        <w:tc>
          <w:tcPr>
            <w:tcW w:w="1980" w:type="dxa"/>
            <w:vAlign w:val="center"/>
          </w:tcPr>
          <w:p>
            <w:pPr>
              <w:pStyle w:val="Normal"/>
              <w:spacing w:lineRule="auto" w:line="270" w:before="0" w:after="0"/>
              <w:jc w:val="left"/>
              <w:widowControl/>
              <w:keepNext w:val="1"/>
              <w:keepLines w:val="0"/>
              <w:ind w:left="0" w:right="0" w:firstLine="0"/>
            </w:pPr>
            <w:r>
              <w:rPr>
                <w:rFonts w:ascii="Times New Roman" w:hAnsi="Times New Roman" w:eastAsia="MingLiU" w:cs="Times New Roman"/>
                <w:color w:val="000000"/>
                <w:sz w:val="16"/>
                <w:szCs w:val="16"/>
              </w:rPr>
              <w:t xml:space="preserve">Selected random seeds</w:t>
            </w:r>
          </w:p>
        </w:tc>
        <w:tc>
          <w:tcPr>
            <w:tcW w:w="2620" w:type="dxa"/>
            <w:vAlign w:val="center"/>
          </w:tcPr>
          <w:p>
            <w:pPr>
              <w:pStyle w:val="Normal"/>
              <w:spacing w:lineRule="auto" w:line="270" w:before="0" w:after="0"/>
              <w:jc w:val="center"/>
              <w:widowControl/>
              <w:keepNext w:val="1"/>
              <w:keepLines w:val="0"/>
              <w:ind w:left="0" w:right="0" w:firstLine="0"/>
            </w:pPr>
            <w:r>
              <w:rPr>
                <w:rFonts w:ascii="Times New Roman" w:hAnsi="Times New Roman" w:eastAsia="MingLiU" w:cs="Times New Roman"/>
                <w:color w:val="000000"/>
                <w:sz w:val="16"/>
                <w:szCs w:val="16"/>
              </w:rPr>
              <w:t xml:space="preserve">1, 7, 42</w:t>
            </w:r>
          </w:p>
        </w:tc>
      </w:tr>
      <w:tr>
        <w:trPr>
          <w:cantSplit/>
        </w:trPr>
        <w:tc>
          <w:tcPr>
            <w:tcW w:w="1980" w:type="dxa"/>
            <w:vAlign w:val="center"/>
          </w:tcPr>
          <w:p>
            <w:pPr>
              <w:pStyle w:val="Normal"/>
              <w:spacing w:lineRule="auto" w:line="270" w:before="0" w:after="0"/>
              <w:jc w:val="left"/>
              <w:widowControl/>
              <w:keepNext w:val="1"/>
              <w:keepLines w:val="0"/>
              <w:ind w:left="0" w:right="0" w:firstLine="0"/>
            </w:pPr>
            <w:r>
              <w:rPr>
                <w:rFonts w:ascii="Times New Roman" w:hAnsi="Times New Roman" w:eastAsia="MingLiU" w:cs="Times New Roman"/>
                <w:color w:val="000000"/>
                <w:sz w:val="16"/>
                <w:szCs w:val="16"/>
              </w:rPr>
              <w:t xml:space="preserve">Backbone hidden width</w:t>
            </w:r>
          </w:p>
        </w:tc>
        <w:tc>
          <w:tcPr>
            <w:tcW w:w="2620" w:type="dxa"/>
            <w:vAlign w:val="center"/>
          </w:tcPr>
          <w:p>
            <w:pPr>
              <w:pStyle w:val="Normal"/>
              <w:spacing w:lineRule="auto" w:line="270" w:before="0" w:after="0"/>
              <w:jc w:val="center"/>
              <w:widowControl/>
              <w:keepNext w:val="1"/>
              <w:keepLines w:val="0"/>
              <w:ind w:left="0" w:right="0" w:firstLine="0"/>
            </w:pPr>
            <w:r>
              <w:rPr>
                <w:rFonts w:ascii="Times New Roman" w:hAnsi="Times New Roman" w:eastAsia="MingLiU" w:cs="Times New Roman"/>
                <w:color w:val="000000"/>
                <w:sz w:val="16"/>
                <w:szCs w:val="16"/>
              </w:rPr>
              <w:t xml:space="preserve">128</w:t>
            </w:r>
          </w:p>
        </w:tc>
      </w:tr>
      <w:tr>
        <w:trPr>
          <w:cantSplit/>
        </w:trPr>
        <w:tc>
          <w:tcPr>
            <w:tcW w:w="1980" w:type="dxa"/>
            <w:vAlign w:val="center"/>
          </w:tcPr>
          <w:p>
            <w:pPr>
              <w:pStyle w:val="Normal"/>
              <w:spacing w:lineRule="auto" w:line="270" w:before="0" w:after="0"/>
              <w:jc w:val="left"/>
              <w:widowControl/>
              <w:keepNext w:val="1"/>
              <w:keepLines w:val="0"/>
              <w:ind w:left="0" w:right="0" w:firstLine="0"/>
            </w:pPr>
            <w:r>
              <w:rPr>
                <w:rFonts w:ascii="Times New Roman" w:hAnsi="Times New Roman" w:eastAsia="MingLiU" w:cs="Times New Roman"/>
                <w:color w:val="000000"/>
                <w:sz w:val="16"/>
                <w:szCs w:val="16"/>
              </w:rPr>
              <w:t xml:space="preserve">Batch size</w:t>
            </w:r>
          </w:p>
        </w:tc>
        <w:tc>
          <w:tcPr>
            <w:tcW w:w="2620" w:type="dxa"/>
            <w:vAlign w:val="center"/>
          </w:tcPr>
          <w:p>
            <w:pPr>
              <w:pStyle w:val="Normal"/>
              <w:spacing w:lineRule="auto" w:line="270" w:before="0" w:after="0"/>
              <w:jc w:val="center"/>
              <w:widowControl/>
              <w:keepNext w:val="1"/>
              <w:keepLines w:val="0"/>
              <w:ind w:left="0" w:right="0" w:firstLine="0"/>
            </w:pPr>
            <w:r>
              <w:rPr>
                <w:rFonts w:ascii="Times New Roman" w:hAnsi="Times New Roman" w:eastAsia="MingLiU" w:cs="Times New Roman"/>
                <w:color w:val="000000"/>
                <w:sz w:val="16"/>
                <w:szCs w:val="16"/>
              </w:rPr>
              <w:t xml:space="preserve">500</w:t>
            </w:r>
          </w:p>
        </w:tc>
      </w:tr>
      <w:tr>
        <w:trPr>
          <w:cantSplit/>
        </w:trPr>
        <w:tc>
          <w:tcPr>
            <w:tcW w:w="1980" w:type="dxa"/>
            <w:vAlign w:val="center"/>
          </w:tcPr>
          <w:p>
            <w:pPr>
              <w:pStyle w:val="Normal"/>
              <w:spacing w:lineRule="auto" w:line="270" w:before="0" w:after="0"/>
              <w:jc w:val="left"/>
              <w:widowControl/>
              <w:keepNext w:val="1"/>
              <w:keepLines w:val="0"/>
              <w:ind w:left="0" w:right="0" w:firstLine="0"/>
            </w:pPr>
            <w:r>
              <w:rPr>
                <w:rFonts w:ascii="Times New Roman" w:hAnsi="Times New Roman" w:eastAsia="MingLiU" w:cs="Times New Roman"/>
                <w:color w:val="000000"/>
                <w:sz w:val="16"/>
                <w:szCs w:val="16"/>
              </w:rPr>
              <w:t xml:space="preserve">Training epochs</w:t>
            </w:r>
          </w:p>
        </w:tc>
        <w:tc>
          <w:tcPr>
            <w:tcW w:w="2620" w:type="dxa"/>
            <w:vAlign w:val="center"/>
          </w:tcPr>
          <w:p>
            <w:pPr>
              <w:pStyle w:val="Normal"/>
              <w:spacing w:lineRule="auto" w:line="270" w:before="0" w:after="0"/>
              <w:jc w:val="center"/>
              <w:widowControl/>
              <w:keepNext w:val="1"/>
              <w:keepLines w:val="0"/>
              <w:ind w:left="0" w:right="0" w:firstLine="0"/>
            </w:pPr>
            <w:r>
              <w:rPr>
                <w:rFonts w:ascii="Times New Roman" w:hAnsi="Times New Roman" w:eastAsia="MingLiU" w:cs="Times New Roman"/>
                <w:color w:val="000000"/>
                <w:sz w:val="16"/>
                <w:szCs w:val="16"/>
              </w:rPr>
              <w:t xml:space="preserve">20</w:t>
            </w:r>
          </w:p>
        </w:tc>
      </w:tr>
      <w:tr>
        <w:trPr>
          <w:cantSplit/>
        </w:trPr>
        <w:tc>
          <w:tcPr>
            <w:tcW w:w="1980" w:type="dxa"/>
            <w:vAlign w:val="center"/>
          </w:tcPr>
          <w:p>
            <w:pPr>
              <w:pStyle w:val="Normal"/>
              <w:spacing w:lineRule="auto" w:line="270" w:before="0" w:after="0"/>
              <w:jc w:val="left"/>
              <w:widowControl/>
              <w:keepNext w:val="1"/>
              <w:keepLines w:val="0"/>
              <w:ind w:left="0" w:right="0" w:firstLine="0"/>
            </w:pPr>
            <w:r>
              <w:rPr>
                <w:rFonts w:ascii="Times New Roman" w:hAnsi="Times New Roman" w:eastAsia="MingLiU" w:cs="Times New Roman"/>
                <w:color w:val="000000"/>
                <w:sz w:val="16"/>
                <w:szCs w:val="16"/>
              </w:rPr>
              <w:t xml:space="preserve">Probe phase epochs</w:t>
            </w:r>
          </w:p>
        </w:tc>
        <w:tc>
          <w:tcPr>
            <w:tcW w:w="2620" w:type="dxa"/>
            <w:vAlign w:val="center"/>
          </w:tcPr>
          <w:p>
            <w:pPr>
              <w:pStyle w:val="Normal"/>
              <w:spacing w:lineRule="auto" w:line="270" w:before="0" w:after="0"/>
              <w:jc w:val="center"/>
              <w:widowControl/>
              <w:keepNext w:val="1"/>
              <w:keepLines w:val="0"/>
              <w:ind w:left="0" w:right="0" w:firstLine="0"/>
            </w:pPr>
            <w:r>
              <w:rPr>
                <w:rFonts w:ascii="Times New Roman" w:hAnsi="Times New Roman" w:eastAsia="MingLiU" w:cs="Times New Roman"/>
                <w:color w:val="000000"/>
                <w:sz w:val="16"/>
                <w:szCs w:val="16"/>
              </w:rPr>
              <w:t xml:space="preserve">20</w:t>
            </w:r>
          </w:p>
        </w:tc>
      </w:tr>
      <w:tr>
        <w:trPr>
          <w:cantSplit/>
        </w:trPr>
        <w:tc>
          <w:tcPr>
            <w:tcW w:w="1980" w:type="dxa"/>
            <w:vAlign w:val="center"/>
          </w:tcPr>
          <w:p>
            <w:pPr>
              <w:pStyle w:val="Normal"/>
              <w:spacing w:lineRule="auto" w:line="270" w:before="0" w:after="0"/>
              <w:jc w:val="left"/>
              <w:widowControl/>
              <w:keepNext w:val="1"/>
              <w:keepLines w:val="0"/>
              <w:ind w:left="0" w:right="0" w:firstLine="0"/>
            </w:pPr>
            <w:r>
              <w:rPr>
                <w:rFonts w:ascii="Times New Roman" w:hAnsi="Times New Roman" w:eastAsia="MingLiU" w:cs="Times New Roman"/>
                <w:color w:val="000000"/>
                <w:sz w:val="16"/>
                <w:szCs w:val="16"/>
              </w:rPr>
              <w:t xml:space="preserve">Optimizer</w:t>
            </w:r>
          </w:p>
        </w:tc>
        <w:tc>
          <w:tcPr>
            <w:tcW w:w="2620" w:type="dxa"/>
            <w:vAlign w:val="center"/>
          </w:tcPr>
          <w:p>
            <w:pPr>
              <w:pStyle w:val="Normal"/>
              <w:spacing w:lineRule="auto" w:line="270" w:before="0" w:after="0"/>
              <w:jc w:val="center"/>
              <w:widowControl/>
              <w:keepNext w:val="1"/>
              <w:keepLines w:val="0"/>
              <w:ind w:left="0" w:right="0" w:firstLine="0"/>
            </w:pPr>
            <w:r>
              <w:rPr>
                <w:rFonts w:ascii="Times New Roman" w:hAnsi="Times New Roman" w:eastAsia="MingLiU" w:cs="Times New Roman"/>
                <w:color w:val="000000"/>
                <w:sz w:val="16"/>
                <w:szCs w:val="16"/>
              </w:rPr>
              <w:t xml:space="preserve">Adam</w:t>
            </w:r>
          </w:p>
        </w:tc>
      </w:tr>
      <w:tr>
        <w:trPr>
          <w:cantSplit/>
        </w:trPr>
        <w:tc>
          <w:tcPr>
            <w:tcW w:w="1980" w:type="dxa"/>
            <w:vAlign w:val="center"/>
          </w:tcPr>
          <w:p>
            <w:pPr>
              <w:pStyle w:val="Normal"/>
              <w:spacing w:lineRule="auto" w:line="270" w:before="0" w:after="0"/>
              <w:jc w:val="left"/>
              <w:widowControl/>
              <w:keepNext w:val="1"/>
              <w:keepLines w:val="0"/>
              <w:ind w:left="0" w:right="0" w:firstLine="0"/>
            </w:pPr>
            <w:r>
              <w:rPr>
                <w:rFonts w:ascii="Times New Roman" w:hAnsi="Times New Roman" w:eastAsia="MingLiU" w:cs="Times New Roman"/>
                <w:color w:val="000000"/>
                <w:sz w:val="16"/>
                <w:szCs w:val="16"/>
              </w:rPr>
              <w:t xml:space="preserve">Learning rate</w:t>
            </w:r>
          </w:p>
        </w:tc>
        <w:tc>
          <w:tcPr>
            <w:tcW w:w="2620" w:type="dxa"/>
            <w:vAlign w:val="center"/>
          </w:tcPr>
          <w:p>
            <w:pPr>
              <w:pStyle w:val="Normal"/>
              <w:spacing w:lineRule="auto" w:line="270" w:before="0" w:after="0"/>
              <w:jc w:val="center"/>
              <w:widowControl/>
              <w:keepNext w:val="1"/>
              <w:keepLines w:val="0"/>
              <w:ind w:left="0" w:right="0" w:firstLine="0"/>
            </w:pPr>
            <w:r>
              <w:rPr>
                <w:rFonts w:ascii="Times New Roman" w:hAnsi="Times New Roman" w:eastAsia="MingLiU" w:cs="Times New Roman"/>
                <w:color w:val="000000"/>
                <w:sz w:val="16"/>
                <w:szCs w:val="16"/>
              </w:rPr>
              <w:t xml:space="preserve">0.001</w:t>
            </w:r>
          </w:p>
        </w:tc>
      </w:tr>
      <w:tr>
        <w:trPr>
          <w:cantSplit/>
        </w:trPr>
        <w:tc>
          <w:tcPr>
            <w:tcW w:w="1980" w:type="dxa"/>
            <w:vAlign w:val="center"/>
          </w:tcPr>
          <w:p>
            <w:pPr>
              <w:pStyle w:val="Normal"/>
              <w:spacing w:lineRule="auto" w:line="270" w:before="0" w:after="0"/>
              <w:jc w:val="left"/>
              <w:widowControl/>
              <w:keepNext w:val="1"/>
              <w:keepLines w:val="0"/>
              <w:ind w:left="0" w:right="0" w:firstLine="0"/>
            </w:pPr>
            <w:r>
              <w:rPr>
                <w:rFonts w:ascii="Times New Roman" w:hAnsi="Times New Roman" w:eastAsia="MingLiU" w:cs="Times New Roman"/>
                <w:color w:val="000000"/>
                <w:sz w:val="16"/>
                <w:szCs w:val="16"/>
              </w:rPr>
              <w:t xml:space="preserve">Weight decay</w:t>
            </w:r>
          </w:p>
        </w:tc>
        <w:tc>
          <w:tcPr>
            <w:tcW w:w="2620" w:type="dxa"/>
            <w:vAlign w:val="center"/>
          </w:tcPr>
          <w:p>
            <w:pPr>
              <w:pStyle w:val="Normal"/>
              <w:spacing w:lineRule="auto" w:line="270" w:before="0" w:after="0"/>
              <w:jc w:val="center"/>
              <w:widowControl/>
              <w:keepNext w:val="1"/>
              <w:keepLines w:val="0"/>
              <w:ind w:left="0" w:right="0" w:firstLine="0"/>
            </w:pPr>
            <w:r>
              <w:rPr>
                <w:rFonts w:ascii="Times New Roman" w:hAnsi="Times New Roman" w:eastAsia="MingLiU" w:cs="Times New Roman"/>
                <w:color w:val="000000"/>
                <w:sz w:val="16"/>
                <w:szCs w:val="16"/>
              </w:rPr>
              <w:t xml:space="preserve">0.00001</w:t>
            </w:r>
          </w:p>
        </w:tc>
      </w:tr>
      <w:tr>
        <w:trPr>
          <w:cantSplit/>
        </w:trPr>
        <w:tc>
          <w:tcPr>
            <w:tcW w:w="1980" w:type="dxa"/>
            <w:vAlign w:val="center"/>
          </w:tcPr>
          <w:p>
            <w:pPr>
              <w:pStyle w:val="Normal"/>
              <w:spacing w:lineRule="auto" w:line="270" w:before="0" w:after="0"/>
              <w:jc w:val="left"/>
              <w:widowControl/>
              <w:keepNext w:val="0"/>
              <w:keepLines w:val="0"/>
              <w:ind w:left="0" w:right="0" w:firstLine="0"/>
            </w:pPr>
            <w:r>
              <w:rPr>
                <w:rFonts w:ascii="Times New Roman" w:hAnsi="Times New Roman" w:eastAsia="MingLiU" w:cs="Times New Roman"/>
                <w:color w:val="000000"/>
                <w:sz w:val="16"/>
                <w:szCs w:val="16"/>
              </w:rPr>
              <w:t xml:space="preserve">Learning-rate schedule</w:t>
            </w:r>
          </w:p>
        </w:tc>
        <w:tc>
          <w:tcPr>
            <w:tcW w:w="2620" w:type="dxa"/>
            <w:vAlign w:val="center"/>
          </w:tcPr>
          <w:p>
            <w:pPr>
              <w:pStyle w:val="Normal"/>
              <w:spacing w:lineRule="auto" w:line="270" w:before="0" w:after="0"/>
              <w:jc w:val="center"/>
              <w:widowControl/>
              <w:keepNext w:val="0"/>
              <w:keepLines w:val="0"/>
              <w:ind w:left="0" w:right="0" w:firstLine="0"/>
            </w:pPr>
            <w:r>
              <w:rPr>
                <w:rFonts w:ascii="Times New Roman" w:hAnsi="Times New Roman" w:eastAsia="MingLiU" w:cs="Times New Roman"/>
                <w:color w:val="000000"/>
                <w:sz w:val="16"/>
                <w:szCs w:val="16"/>
              </w:rPr>
              <w:t xml:space="preserve">Cosine annealing</w:t>
            </w:r>
          </w:p>
        </w:tc>
      </w:tr>
    </w:tbl>
    <w:p>
      <w:pPr>
        <w:pStyle w:val="Normal"/>
        <w:spacing w:lineRule="exact" w:line="60" w:before="0" w:after="0"/>
        <w:jc w:val="both"/>
        <w:widowControl/>
        <w:keepNext w:val="0"/>
        <w:keepLines w:val="0"/>
        <w:ind w:left="0" w:right="0" w:firstLine="240"/>
      </w:pPr>
      <w:r>
        <w:rPr>
          <w:rFonts w:ascii="Times New Roman" w:hAnsi="Times New Roman" w:eastAsia="MingLiU" w:cs="Times New Roman"/>
          <w:color w:val="000000"/>
          <w:sz w:val="18"/>
          <w:szCs w:val="18"/>
        </w:rPr>
        <w:t xml:space="preserve"/>
      </w:r>
    </w:p>
    <w:p>
      <w:pPr>
        <w:pStyle w:val="Normal"/>
        <w:spacing w:lineRule="auto" w:line="360" w:before="0" w:after="0"/>
        <w:jc w:val="both"/>
        <w:widowControl/>
        <w:keepNext w:val="0"/>
        <w:keepLines w:val="0"/>
        <w:ind w:left="0" w:right="0" w:firstLine="240"/>
      </w:pPr>
      <w:r>
        <w:rPr>
          <w:rFonts w:ascii="Times New Roman" w:hAnsi="Times New Roman" w:eastAsia="MingLiU" w:cs="Times New Roman"/>
          <w:color w:val="000000"/>
          <w:sz w:val="18"/>
          <w:szCs w:val="18"/>
        </w:rPr>
        <w:t xml:space="preserve">The settings in Table 1 are shared unless a phase-specific setting is explicitly listed. The probe phase is additional to pretraining. Kernel warmup is state-neutral: model parameters, optimizer state, random-number state, and temporal stores are restored so that warmup does not add an undocumented training epoch. Checkpoint selection uses validation average precision; test performance is not the selection criterion.</w:t>
      </w:r>
    </w:p>
    <w:p>
      <w:pPr>
        <w:pStyle w:val="Normal"/>
        <w:spacing w:lineRule="auto" w:line="360" w:before="120" w:after="30"/>
        <w:jc w:val="both"/>
        <w:widowControl/>
        <w:keepNext w:val="1"/>
        <w:keepLines w:val="1"/>
        <w:ind w:left="0" w:right="0" w:firstLine="0"/>
      </w:pPr>
      <w:r>
        <w:rPr>
          <w:rFonts w:ascii="Times New Roman" w:hAnsi="Times New Roman" w:eastAsia="MingLiU" w:cs="Times New Roman"/>
          <w:color w:val="000000"/>
          <w:sz w:val="18"/>
          <w:szCs w:val="18"/>
          <w:b/>
        </w:rPr>
        <w:t xml:space="preserve">3. Negative sampling and metric</w:t>
      </w:r>
    </w:p>
    <w:p>
      <w:pPr>
        <w:pStyle w:val="Normal"/>
        <w:spacing w:lineRule="auto" w:line="360" w:before="0" w:after="0"/>
        <w:jc w:val="both"/>
        <w:widowControl/>
        <w:keepNext w:val="0"/>
        <w:keepLines w:val="0"/>
        <w:ind w:left="0" w:right="0" w:firstLine="240"/>
      </w:pPr>
      <w:r>
        <w:rPr>
          <w:rFonts w:ascii="Times New Roman" w:hAnsi="Times New Roman" w:eastAsia="MingLiU" w:cs="Times New Roman"/>
          <w:color w:val="000000"/>
          <w:sz w:val="18"/>
          <w:szCs w:val="18"/>
        </w:rPr>
        <w:t xml:space="preserve">For each evaluated positive, the harness samples a negative destination while retaining the source. During inductive evaluation, the destination's seen or unseen status determines which node pool is used. A sampled destination equal to the positive destination is redrawn. The evaluation random-number generator is reset consistently across the primary arms before the warmup and scoring procedure, supporting matched random draws for the within-protocol comparison.</w:t>
      </w:r>
    </w:p>
    <w:p>
      <w:pPr>
        <w:pStyle w:val="Normal"/>
        <w:spacing w:lineRule="auto" w:line="360" w:before="0" w:after="0"/>
        <w:jc w:val="both"/>
        <w:widowControl/>
        <w:keepNext w:val="0"/>
        <w:keepLines w:val="0"/>
        <w:ind w:left="0" w:right="0" w:firstLine="240"/>
      </w:pPr>
      <w:r>
        <w:rPr>
          <w:rFonts w:ascii="Times New Roman" w:hAnsi="Times New Roman" w:eastAsia="MingLiU" w:cs="Times New Roman"/>
          <w:color w:val="000000"/>
          <w:sz w:val="18"/>
          <w:szCs w:val="18"/>
        </w:rPr>
        <w:t xml:space="preserve">The actual sampler is narrower than a general guarantee of valid absent edges. Its pools are constructed from node sets, and are not explicitly restricted to the destination partition in the bipartite corpora. The random branch rejects the current destination but does not check every other positive pair at the same timestamp. This implementation detail limits the interpretation of the absolute scores and motivates destination-type and contemporaneous-positive filtering in a future protocol. It does not change which current results are reported.</w:t>
      </w:r>
    </w:p>
    <w:p>
      <w:pPr>
        <w:pStyle w:val="Normal"/>
        <w:spacing w:lineRule="auto" w:line="360" w:before="0" w:after="0"/>
        <w:jc w:val="both"/>
        <w:widowControl/>
        <w:keepNext w:val="0"/>
        <w:keepLines w:val="0"/>
        <w:ind w:left="0" w:right="0" w:firstLine="240"/>
      </w:pPr>
      <w:r>
        <w:rPr>
          <w:rFonts w:ascii="Times New Roman" w:hAnsi="Times New Roman" w:eastAsia="MingLiU" w:cs="Times New Roman"/>
          <w:color w:val="000000"/>
          <w:sz w:val="18"/>
          <w:szCs w:val="18"/>
        </w:rPr>
        <w:t xml:space="preserve">Average precision is computed from pooled positive and negative scores for the evaluated split using the shared metric implementation. We summarize selected runs by their arithmetic mean and sample standard deviation. The latter uses the sample correction and characterizes variation across the selected seeds; it is neither a confidence interval for a deployment population nor an estimate of uncertainty across possible graph datasets. No hypothesis-test significance claim is made.</w:t>
      </w:r>
    </w:p>
    <w:p>
      <w:pPr>
        <w:pStyle w:val="Normal"/>
        <w:spacing w:lineRule="auto" w:line="360" w:before="120" w:after="30"/>
        <w:jc w:val="both"/>
        <w:widowControl/>
        <w:keepNext w:val="1"/>
        <w:keepLines w:val="1"/>
        <w:ind w:left="0" w:right="0" w:firstLine="0"/>
      </w:pPr>
      <w:r>
        <w:rPr>
          <w:rFonts w:ascii="Times New Roman" w:hAnsi="Times New Roman" w:eastAsia="MingLiU" w:cs="Times New Roman"/>
          <w:color w:val="000000"/>
          <w:sz w:val="18"/>
          <w:szCs w:val="18"/>
          <w:b/>
        </w:rPr>
        <w:t xml:space="preserve">4. Execution and evidence selection</w:t>
      </w:r>
    </w:p>
    <w:p>
      <w:pPr>
        <w:pStyle w:val="Normal"/>
        <w:spacing w:lineRule="auto" w:line="360" w:before="0" w:after="0"/>
        <w:jc w:val="both"/>
        <w:widowControl/>
        <w:keepNext w:val="0"/>
        <w:keepLines w:val="0"/>
        <w:ind w:left="0" w:right="0" w:firstLine="240"/>
      </w:pPr>
      <w:r>
        <w:rPr>
          <w:rFonts w:ascii="Times New Roman" w:hAnsi="Times New Roman" w:eastAsia="MingLiU" w:cs="Times New Roman"/>
          <w:color w:val="000000"/>
          <w:sz w:val="18"/>
          <w:szCs w:val="18"/>
        </w:rPr>
        <w:t xml:space="preserve">The reported values come from the frozen release identified in the repository, with the scientific matrix, attempt ledger, resolved protocol, dataset identities, and execution records bound by checksums [3]. The completed matrix includes the registered training arms and corpora at the selected seeds. Failed, cancelled, and superseded attempts remain recorded in the execution history and are excluded from the selected aggregates.</w:t>
      </w:r>
    </w:p>
    <w:p>
      <w:pPr>
        <w:pStyle w:val="Normal"/>
        <w:spacing w:lineRule="auto" w:line="360" w:before="0" w:after="0"/>
        <w:jc w:val="both"/>
        <w:widowControl/>
        <w:keepNext w:val="0"/>
        <w:keepLines w:val="0"/>
        <w:ind w:left="0" w:right="0" w:firstLine="240"/>
      </w:pPr>
      <w:r>
        <w:rPr>
          <w:rFonts w:ascii="Times New Roman" w:hAnsi="Times New Roman" w:eastAsia="MingLiU" w:cs="Times New Roman"/>
          <w:color w:val="000000"/>
          <w:sz w:val="18"/>
          <w:szCs w:val="18"/>
        </w:rPr>
        <w:t xml:space="preserve">This distinction between a task and an attempt matters for reproducibility. Rerunning a failed task does not create an additional independent seed, and selecting a corrected attempt does not justify averaging outputs from different protocol revisions. We retain the selected seed denominator for each cell and report only the current admitted inductive average-precision endpoint. The manuscript does not add a new training campaign.</w:t>
      </w:r>
    </w:p>
    <w:p>
      <w:pPr>
        <w:pStyle w:val="Normal"/>
        <w:spacing w:lineRule="auto" w:line="360" w:before="180" w:after="90"/>
        <w:jc w:val="center"/>
        <w:widowControl/>
        <w:keepNext w:val="1"/>
        <w:keepLines w:val="1"/>
        <w:ind w:left="0" w:right="0" w:firstLine="0"/>
      </w:pPr>
      <w:r>
        <w:rPr>
          <w:rFonts w:ascii="Times New Roman" w:hAnsi="Times New Roman" w:eastAsia="MingLiU" w:cs="Times New Roman"/>
          <w:color w:val="000000"/>
          <w:sz w:val="22"/>
          <w:szCs w:val="22"/>
          <w:b/>
        </w:rPr>
        <w:t xml:space="preserve">V. Results</w:t>
      </w:r>
    </w:p>
    <w:p>
      <w:pPr>
        <w:pStyle w:val="Normal"/>
        <w:spacing w:lineRule="auto" w:line="360" w:before="120" w:after="30"/>
        <w:jc w:val="both"/>
        <w:widowControl/>
        <w:keepNext w:val="1"/>
        <w:keepLines w:val="1"/>
        <w:ind w:left="0" w:right="0" w:firstLine="0"/>
      </w:pPr>
      <w:r>
        <w:rPr>
          <w:rFonts w:ascii="Times New Roman" w:hAnsi="Times New Roman" w:eastAsia="MingLiU" w:cs="Times New Roman"/>
          <w:color w:val="000000"/>
          <w:sz w:val="18"/>
          <w:szCs w:val="18"/>
          <w:b/>
        </w:rPr>
        <w:t xml:space="preserve">1. Primary within-protocol comparison</w:t>
      </w:r>
    </w:p>
    <w:p>
      <w:pPr>
        <w:pStyle w:val="Normal"/>
        <w:spacing w:lineRule="auto" w:line="360" w:before="0" w:after="0"/>
        <w:jc w:val="both"/>
        <w:widowControl/>
        <w:keepNext w:val="0"/>
        <w:keepLines w:val="0"/>
        <w:ind w:left="0" w:right="0" w:firstLine="240"/>
      </w:pPr>
      <w:r>
        <w:rPr>
          <w:rFonts w:ascii="Times New Roman" w:hAnsi="Times New Roman" w:eastAsia="MingLiU" w:cs="Times New Roman"/>
          <w:color w:val="000000"/>
          <w:sz w:val="18"/>
          <w:szCs w:val="18"/>
        </w:rPr>
        <w:t xml:space="preserve">Table 2 gives the observed inductive average precision. Every cell is summarized over n = 3 selected seeds. The values are rounded from the checksum-bound scientific matrix using decimal round-half-even. The decoupled arm has higher mean inductive average precision than the coupled end-to-end arm on CoEdit, MOOC, and Wikipedia. This is the admitted comparison under the registered current-corpus protocol.</w:t>
      </w:r>
    </w:p>
    <w:p>
      <w:pPr>
        <w:pStyle w:val="Normal"/>
        <w:spacing w:lineRule="auto" w:line="360" w:before="100" w:after="60"/>
        <w:jc w:val="center"/>
        <w:widowControl/>
        <w:keepNext w:val="1"/>
        <w:keepLines w:val="1"/>
        <w:ind w:left="0" w:right="0" w:firstLine="0"/>
      </w:pPr>
      <w:r>
        <w:rPr>
          <w:rFonts w:ascii="Times New Roman" w:hAnsi="Times New Roman" w:eastAsia="MingLiU" w:cs="Times New Roman"/>
          <w:color w:val="000000"/>
          <w:sz w:val="18"/>
          <w:szCs w:val="18"/>
          <w:b/>
        </w:rPr>
        <w:t xml:space="preserve">Table 2. Inductive AP as mean ± sample SD</w:t>
      </w:r>
    </w:p>
    <w:tbl>
      <w:tblPr>
        <w:tblW w:w="4600" w:type="dxa"/>
        <w:jc w:val="center"/>
        <w:tblLayout w:type="fixed"/>
        <w:tblBorders>
          <w:top w:val="single" w:sz="4" w:color="000000"/>
          <w:left w:val="single" w:sz="4" w:color="000000"/>
          <w:bottom w:val="single" w:sz="4" w:color="000000"/>
          <w:right w:val="single" w:sz="4" w:color="000000"/>
          <w:insideH w:val="single" w:sz="4" w:color="000000"/>
          <w:insideV w:val="single" w:sz="4" w:color="000000"/>
        </w:tblBorders>
        <w:tblCellMar>
          <w:top w:w="55" w:type="dxa"/>
          <w:bottom w:w="55" w:type="dxa"/>
          <w:left w:w="55" w:type="dxa"/>
          <w:right w:w="55" w:type="dxa"/>
        </w:tblCellMar>
      </w:tblPr>
      <w:tblGrid>
        <w:gridCol w:w="1150"/>
        <w:gridCol w:w="1680"/>
        <w:gridCol w:w="1770"/>
      </w:tblGrid>
      <w:tr>
        <w:trPr>
          <w:cantSplit/>
          <w:tblHeader/>
        </w:trPr>
        <w:tc>
          <w:tcPr>
            <w:tcW w:w="1150" w:type="dxa"/>
            <w:vAlign w:val="center"/>
          </w:tcPr>
          <w:p>
            <w:pPr>
              <w:pStyle w:val="Normal"/>
              <w:spacing w:lineRule="auto" w:line="270" w:before="0" w:after="0"/>
              <w:jc w:val="left"/>
              <w:widowControl/>
              <w:keepNext w:val="1"/>
              <w:keepLines w:val="0"/>
              <w:ind w:left="0" w:right="0" w:firstLine="0"/>
            </w:pPr>
            <w:r>
              <w:rPr>
                <w:rFonts w:ascii="Times New Roman" w:hAnsi="Times New Roman" w:eastAsia="MingLiU" w:cs="Times New Roman"/>
                <w:color w:val="000000"/>
                <w:sz w:val="16"/>
                <w:szCs w:val="16"/>
                <w:b/>
              </w:rPr>
              <w:t xml:space="preserve">Corpus</w:t>
            </w:r>
          </w:p>
        </w:tc>
        <w:tc>
          <w:tcPr>
            <w:tcW w:w="1680" w:type="dxa"/>
            <w:vAlign w:val="center"/>
          </w:tcPr>
          <w:p>
            <w:pPr>
              <w:pStyle w:val="Normal"/>
              <w:spacing w:lineRule="auto" w:line="270" w:before="0" w:after="0"/>
              <w:jc w:val="left"/>
              <w:widowControl/>
              <w:keepNext w:val="1"/>
              <w:keepLines w:val="0"/>
              <w:ind w:left="0" w:right="0" w:firstLine="0"/>
            </w:pPr>
            <w:r>
              <w:rPr>
                <w:rFonts w:ascii="Times New Roman" w:hAnsi="Times New Roman" w:eastAsia="MingLiU" w:cs="Times New Roman"/>
                <w:color w:val="000000"/>
                <w:sz w:val="16"/>
                <w:szCs w:val="16"/>
                <w:b/>
              </w:rPr>
              <w:t xml:space="preserve">Training arm</w:t>
            </w:r>
          </w:p>
        </w:tc>
        <w:tc>
          <w:tcPr>
            <w:tcW w:w="1770" w:type="dxa"/>
            <w:vAlign w:val="center"/>
          </w:tcPr>
          <w:p>
            <w:pPr>
              <w:pStyle w:val="Normal"/>
              <w:spacing w:lineRule="auto" w:line="270" w:before="0" w:after="0"/>
              <w:jc w:val="center"/>
              <w:widowControl/>
              <w:keepNext w:val="1"/>
              <w:keepLines w:val="0"/>
              <w:ind w:left="0" w:right="0" w:firstLine="0"/>
            </w:pPr>
            <w:r>
              <w:rPr>
                <w:rFonts w:ascii="Times New Roman" w:hAnsi="Times New Roman" w:eastAsia="MingLiU" w:cs="Times New Roman"/>
                <w:color w:val="000000"/>
                <w:sz w:val="16"/>
                <w:szCs w:val="16"/>
                <w:b/>
              </w:rPr>
              <w:t xml:space="preserve">Mean ± SD</w:t>
            </w:r>
          </w:p>
        </w:tc>
      </w:tr>
      <w:tr>
        <w:trPr>
          <w:cantSplit/>
        </w:trPr>
        <w:tc>
          <w:tcPr>
            <w:tcW w:w="1150" w:type="dxa"/>
            <w:vAlign w:val="center"/>
          </w:tcPr>
          <w:p>
            <w:pPr>
              <w:pStyle w:val="Normal"/>
              <w:spacing w:lineRule="auto" w:line="270" w:before="0" w:after="0"/>
              <w:jc w:val="left"/>
              <w:widowControl/>
              <w:keepNext w:val="1"/>
              <w:keepLines w:val="0"/>
              <w:ind w:left="0" w:right="0" w:firstLine="0"/>
            </w:pPr>
            <w:r>
              <w:rPr>
                <w:rFonts w:ascii="Times New Roman" w:hAnsi="Times New Roman" w:eastAsia="MingLiU" w:cs="Times New Roman"/>
                <w:color w:val="000000"/>
                <w:sz w:val="16"/>
                <w:szCs w:val="16"/>
              </w:rPr>
              <w:t xml:space="preserve">CoEdit</w:t>
            </w:r>
          </w:p>
        </w:tc>
        <w:tc>
          <w:tcPr>
            <w:tcW w:w="1680" w:type="dxa"/>
            <w:vAlign w:val="center"/>
          </w:tcPr>
          <w:p>
            <w:pPr>
              <w:pStyle w:val="Normal"/>
              <w:spacing w:lineRule="auto" w:line="270" w:before="0" w:after="0"/>
              <w:jc w:val="left"/>
              <w:widowControl/>
              <w:keepNext w:val="1"/>
              <w:keepLines w:val="0"/>
              <w:ind w:left="0" w:right="0" w:firstLine="0"/>
            </w:pPr>
            <w:r>
              <w:rPr>
                <w:rFonts w:ascii="Times New Roman" w:hAnsi="Times New Roman" w:eastAsia="MingLiU" w:cs="Times New Roman"/>
                <w:color w:val="000000"/>
                <w:sz w:val="16"/>
                <w:szCs w:val="16"/>
              </w:rPr>
              <w:t xml:space="preserve">Coupled</w:t>
            </w:r>
          </w:p>
        </w:tc>
        <w:tc>
          <w:tcPr>
            <w:tcW w:w="1770" w:type="dxa"/>
            <w:vAlign w:val="center"/>
          </w:tcPr>
          <w:p>
            <w:pPr>
              <w:pStyle w:val="Normal"/>
              <w:spacing w:lineRule="auto" w:line="270" w:before="0" w:after="0"/>
              <w:jc w:val="center"/>
              <w:widowControl/>
              <w:keepNext w:val="1"/>
              <w:keepLines w:val="0"/>
              <w:ind w:left="0" w:right="0" w:firstLine="0"/>
            </w:pPr>
            <w:r>
              <w:rPr>
                <w:rFonts w:ascii="Times New Roman" w:hAnsi="Times New Roman" w:eastAsia="MingLiU" w:cs="Times New Roman"/>
                <w:color w:val="000000"/>
                <w:sz w:val="16"/>
                <w:szCs w:val="16"/>
              </w:rPr>
              <w:t xml:space="preserve">0.9787 ± 0.0021</w:t>
            </w:r>
          </w:p>
        </w:tc>
      </w:tr>
      <w:tr>
        <w:trPr>
          <w:cantSplit/>
        </w:trPr>
        <w:tc>
          <w:tcPr>
            <w:tcW w:w="1150" w:type="dxa"/>
            <w:vAlign w:val="center"/>
          </w:tcPr>
          <w:p>
            <w:pPr>
              <w:pStyle w:val="Normal"/>
              <w:spacing w:lineRule="auto" w:line="270" w:before="0" w:after="0"/>
              <w:jc w:val="left"/>
              <w:widowControl/>
              <w:keepNext w:val="1"/>
              <w:keepLines w:val="0"/>
              <w:ind w:left="0" w:right="0" w:firstLine="0"/>
            </w:pPr>
            <w:r>
              <w:rPr>
                <w:rFonts w:ascii="Times New Roman" w:hAnsi="Times New Roman" w:eastAsia="MingLiU" w:cs="Times New Roman"/>
                <w:color w:val="000000"/>
                <w:sz w:val="16"/>
                <w:szCs w:val="16"/>
              </w:rPr>
              <w:t xml:space="preserve">CoEdit</w:t>
            </w:r>
          </w:p>
        </w:tc>
        <w:tc>
          <w:tcPr>
            <w:tcW w:w="1680" w:type="dxa"/>
            <w:vAlign w:val="center"/>
          </w:tcPr>
          <w:p>
            <w:pPr>
              <w:pStyle w:val="Normal"/>
              <w:spacing w:lineRule="auto" w:line="270" w:before="0" w:after="0"/>
              <w:jc w:val="left"/>
              <w:widowControl/>
              <w:keepNext w:val="1"/>
              <w:keepLines w:val="0"/>
              <w:ind w:left="0" w:right="0" w:firstLine="0"/>
            </w:pPr>
            <w:r>
              <w:rPr>
                <w:rFonts w:ascii="Times New Roman" w:hAnsi="Times New Roman" w:eastAsia="MingLiU" w:cs="Times New Roman"/>
                <w:color w:val="000000"/>
                <w:sz w:val="16"/>
                <w:szCs w:val="16"/>
              </w:rPr>
              <w:t xml:space="preserve">Decoupled</w:t>
            </w:r>
          </w:p>
        </w:tc>
        <w:tc>
          <w:tcPr>
            <w:tcW w:w="1770" w:type="dxa"/>
            <w:vAlign w:val="center"/>
          </w:tcPr>
          <w:p>
            <w:pPr>
              <w:pStyle w:val="Normal"/>
              <w:spacing w:lineRule="auto" w:line="270" w:before="0" w:after="0"/>
              <w:jc w:val="center"/>
              <w:widowControl/>
              <w:keepNext w:val="1"/>
              <w:keepLines w:val="0"/>
              <w:ind w:left="0" w:right="0" w:firstLine="0"/>
            </w:pPr>
            <w:r>
              <w:rPr>
                <w:rFonts w:ascii="Times New Roman" w:hAnsi="Times New Roman" w:eastAsia="MingLiU" w:cs="Times New Roman"/>
                <w:color w:val="000000"/>
                <w:sz w:val="16"/>
                <w:szCs w:val="16"/>
              </w:rPr>
              <w:t xml:space="preserve">0.9891 ± 0.0016</w:t>
            </w:r>
          </w:p>
        </w:tc>
      </w:tr>
      <w:tr>
        <w:trPr>
          <w:cantSplit/>
        </w:trPr>
        <w:tc>
          <w:tcPr>
            <w:tcW w:w="1150" w:type="dxa"/>
            <w:vAlign w:val="center"/>
          </w:tcPr>
          <w:p>
            <w:pPr>
              <w:pStyle w:val="Normal"/>
              <w:spacing w:lineRule="auto" w:line="270" w:before="0" w:after="0"/>
              <w:jc w:val="left"/>
              <w:widowControl/>
              <w:keepNext w:val="1"/>
              <w:keepLines w:val="0"/>
              <w:ind w:left="0" w:right="0" w:firstLine="0"/>
            </w:pPr>
            <w:r>
              <w:rPr>
                <w:rFonts w:ascii="Times New Roman" w:hAnsi="Times New Roman" w:eastAsia="MingLiU" w:cs="Times New Roman"/>
                <w:color w:val="000000"/>
                <w:sz w:val="16"/>
                <w:szCs w:val="16"/>
              </w:rPr>
              <w:t xml:space="preserve">CoEdit</w:t>
            </w:r>
          </w:p>
        </w:tc>
        <w:tc>
          <w:tcPr>
            <w:tcW w:w="1680" w:type="dxa"/>
            <w:vAlign w:val="center"/>
          </w:tcPr>
          <w:p>
            <w:pPr>
              <w:pStyle w:val="Normal"/>
              <w:spacing w:lineRule="auto" w:line="270" w:before="0" w:after="0"/>
              <w:jc w:val="left"/>
              <w:widowControl/>
              <w:keepNext w:val="1"/>
              <w:keepLines w:val="0"/>
              <w:ind w:left="0" w:right="0" w:firstLine="0"/>
            </w:pPr>
            <w:r>
              <w:rPr>
                <w:rFonts w:ascii="Times New Roman" w:hAnsi="Times New Roman" w:eastAsia="MingLiU" w:cs="Times New Roman"/>
                <w:color w:val="000000"/>
                <w:sz w:val="16"/>
                <w:szCs w:val="16"/>
              </w:rPr>
              <w:t xml:space="preserve">Freeze then probe</w:t>
            </w:r>
          </w:p>
        </w:tc>
        <w:tc>
          <w:tcPr>
            <w:tcW w:w="1770" w:type="dxa"/>
            <w:vAlign w:val="center"/>
          </w:tcPr>
          <w:p>
            <w:pPr>
              <w:pStyle w:val="Normal"/>
              <w:spacing w:lineRule="auto" w:line="270" w:before="0" w:after="0"/>
              <w:jc w:val="center"/>
              <w:widowControl/>
              <w:keepNext w:val="1"/>
              <w:keepLines w:val="0"/>
              <w:ind w:left="0" w:right="0" w:firstLine="0"/>
            </w:pPr>
            <w:r>
              <w:rPr>
                <w:rFonts w:ascii="Times New Roman" w:hAnsi="Times New Roman" w:eastAsia="MingLiU" w:cs="Times New Roman"/>
                <w:color w:val="000000"/>
                <w:sz w:val="16"/>
                <w:szCs w:val="16"/>
              </w:rPr>
              <w:t xml:space="preserve">0.8381 ± 0.0484</w:t>
            </w:r>
          </w:p>
        </w:tc>
      </w:tr>
      <w:tr>
        <w:trPr>
          <w:cantSplit/>
        </w:trPr>
        <w:tc>
          <w:tcPr>
            <w:tcW w:w="1150" w:type="dxa"/>
            <w:vAlign w:val="center"/>
          </w:tcPr>
          <w:p>
            <w:pPr>
              <w:pStyle w:val="Normal"/>
              <w:spacing w:lineRule="auto" w:line="270" w:before="0" w:after="0"/>
              <w:jc w:val="left"/>
              <w:widowControl/>
              <w:keepNext w:val="1"/>
              <w:keepLines w:val="0"/>
              <w:ind w:left="0" w:right="0" w:firstLine="0"/>
            </w:pPr>
            <w:r>
              <w:rPr>
                <w:rFonts w:ascii="Times New Roman" w:hAnsi="Times New Roman" w:eastAsia="MingLiU" w:cs="Times New Roman"/>
                <w:color w:val="000000"/>
                <w:sz w:val="16"/>
                <w:szCs w:val="16"/>
              </w:rPr>
              <w:t xml:space="preserve">MOOC</w:t>
            </w:r>
          </w:p>
        </w:tc>
        <w:tc>
          <w:tcPr>
            <w:tcW w:w="1680" w:type="dxa"/>
            <w:vAlign w:val="center"/>
          </w:tcPr>
          <w:p>
            <w:pPr>
              <w:pStyle w:val="Normal"/>
              <w:spacing w:lineRule="auto" w:line="270" w:before="0" w:after="0"/>
              <w:jc w:val="left"/>
              <w:widowControl/>
              <w:keepNext w:val="1"/>
              <w:keepLines w:val="0"/>
              <w:ind w:left="0" w:right="0" w:firstLine="0"/>
            </w:pPr>
            <w:r>
              <w:rPr>
                <w:rFonts w:ascii="Times New Roman" w:hAnsi="Times New Roman" w:eastAsia="MingLiU" w:cs="Times New Roman"/>
                <w:color w:val="000000"/>
                <w:sz w:val="16"/>
                <w:szCs w:val="16"/>
              </w:rPr>
              <w:t xml:space="preserve">Coupled</w:t>
            </w:r>
          </w:p>
        </w:tc>
        <w:tc>
          <w:tcPr>
            <w:tcW w:w="1770" w:type="dxa"/>
            <w:vAlign w:val="center"/>
          </w:tcPr>
          <w:p>
            <w:pPr>
              <w:pStyle w:val="Normal"/>
              <w:spacing w:lineRule="auto" w:line="270" w:before="0" w:after="0"/>
              <w:jc w:val="center"/>
              <w:widowControl/>
              <w:keepNext w:val="1"/>
              <w:keepLines w:val="0"/>
              <w:ind w:left="0" w:right="0" w:firstLine="0"/>
            </w:pPr>
            <w:r>
              <w:rPr>
                <w:rFonts w:ascii="Times New Roman" w:hAnsi="Times New Roman" w:eastAsia="MingLiU" w:cs="Times New Roman"/>
                <w:color w:val="000000"/>
                <w:sz w:val="16"/>
                <w:szCs w:val="16"/>
              </w:rPr>
              <w:t xml:space="preserve">0.9910 ± 0.0047</w:t>
            </w:r>
          </w:p>
        </w:tc>
      </w:tr>
      <w:tr>
        <w:trPr>
          <w:cantSplit/>
        </w:trPr>
        <w:tc>
          <w:tcPr>
            <w:tcW w:w="1150" w:type="dxa"/>
            <w:vAlign w:val="center"/>
          </w:tcPr>
          <w:p>
            <w:pPr>
              <w:pStyle w:val="Normal"/>
              <w:spacing w:lineRule="auto" w:line="270" w:before="0" w:after="0"/>
              <w:jc w:val="left"/>
              <w:widowControl/>
              <w:keepNext w:val="1"/>
              <w:keepLines w:val="0"/>
              <w:ind w:left="0" w:right="0" w:firstLine="0"/>
            </w:pPr>
            <w:r>
              <w:rPr>
                <w:rFonts w:ascii="Times New Roman" w:hAnsi="Times New Roman" w:eastAsia="MingLiU" w:cs="Times New Roman"/>
                <w:color w:val="000000"/>
                <w:sz w:val="16"/>
                <w:szCs w:val="16"/>
              </w:rPr>
              <w:t xml:space="preserve">MOOC</w:t>
            </w:r>
          </w:p>
        </w:tc>
        <w:tc>
          <w:tcPr>
            <w:tcW w:w="1680" w:type="dxa"/>
            <w:vAlign w:val="center"/>
          </w:tcPr>
          <w:p>
            <w:pPr>
              <w:pStyle w:val="Normal"/>
              <w:spacing w:lineRule="auto" w:line="270" w:before="0" w:after="0"/>
              <w:jc w:val="left"/>
              <w:widowControl/>
              <w:keepNext w:val="1"/>
              <w:keepLines w:val="0"/>
              <w:ind w:left="0" w:right="0" w:firstLine="0"/>
            </w:pPr>
            <w:r>
              <w:rPr>
                <w:rFonts w:ascii="Times New Roman" w:hAnsi="Times New Roman" w:eastAsia="MingLiU" w:cs="Times New Roman"/>
                <w:color w:val="000000"/>
                <w:sz w:val="16"/>
                <w:szCs w:val="16"/>
              </w:rPr>
              <w:t xml:space="preserve">Decoupled</w:t>
            </w:r>
          </w:p>
        </w:tc>
        <w:tc>
          <w:tcPr>
            <w:tcW w:w="1770" w:type="dxa"/>
            <w:vAlign w:val="center"/>
          </w:tcPr>
          <w:p>
            <w:pPr>
              <w:pStyle w:val="Normal"/>
              <w:spacing w:lineRule="auto" w:line="270" w:before="0" w:after="0"/>
              <w:jc w:val="center"/>
              <w:widowControl/>
              <w:keepNext w:val="1"/>
              <w:keepLines w:val="0"/>
              <w:ind w:left="0" w:right="0" w:firstLine="0"/>
            </w:pPr>
            <w:r>
              <w:rPr>
                <w:rFonts w:ascii="Times New Roman" w:hAnsi="Times New Roman" w:eastAsia="MingLiU" w:cs="Times New Roman"/>
                <w:color w:val="000000"/>
                <w:sz w:val="16"/>
                <w:szCs w:val="16"/>
              </w:rPr>
              <w:t xml:space="preserve">0.9947 ± 0.0007</w:t>
            </w:r>
          </w:p>
        </w:tc>
      </w:tr>
      <w:tr>
        <w:trPr>
          <w:cantSplit/>
        </w:trPr>
        <w:tc>
          <w:tcPr>
            <w:tcW w:w="1150" w:type="dxa"/>
            <w:vAlign w:val="center"/>
          </w:tcPr>
          <w:p>
            <w:pPr>
              <w:pStyle w:val="Normal"/>
              <w:spacing w:lineRule="auto" w:line="270" w:before="0" w:after="0"/>
              <w:jc w:val="left"/>
              <w:widowControl/>
              <w:keepNext w:val="1"/>
              <w:keepLines w:val="0"/>
              <w:ind w:left="0" w:right="0" w:firstLine="0"/>
            </w:pPr>
            <w:r>
              <w:rPr>
                <w:rFonts w:ascii="Times New Roman" w:hAnsi="Times New Roman" w:eastAsia="MingLiU" w:cs="Times New Roman"/>
                <w:color w:val="000000"/>
                <w:sz w:val="16"/>
                <w:szCs w:val="16"/>
              </w:rPr>
              <w:t xml:space="preserve">MOOC</w:t>
            </w:r>
          </w:p>
        </w:tc>
        <w:tc>
          <w:tcPr>
            <w:tcW w:w="1680" w:type="dxa"/>
            <w:vAlign w:val="center"/>
          </w:tcPr>
          <w:p>
            <w:pPr>
              <w:pStyle w:val="Normal"/>
              <w:spacing w:lineRule="auto" w:line="270" w:before="0" w:after="0"/>
              <w:jc w:val="left"/>
              <w:widowControl/>
              <w:keepNext w:val="1"/>
              <w:keepLines w:val="0"/>
              <w:ind w:left="0" w:right="0" w:firstLine="0"/>
            </w:pPr>
            <w:r>
              <w:rPr>
                <w:rFonts w:ascii="Times New Roman" w:hAnsi="Times New Roman" w:eastAsia="MingLiU" w:cs="Times New Roman"/>
                <w:color w:val="000000"/>
                <w:sz w:val="16"/>
                <w:szCs w:val="16"/>
              </w:rPr>
              <w:t xml:space="preserve">Freeze then probe</w:t>
            </w:r>
          </w:p>
        </w:tc>
        <w:tc>
          <w:tcPr>
            <w:tcW w:w="1770" w:type="dxa"/>
            <w:vAlign w:val="center"/>
          </w:tcPr>
          <w:p>
            <w:pPr>
              <w:pStyle w:val="Normal"/>
              <w:spacing w:lineRule="auto" w:line="270" w:before="0" w:after="0"/>
              <w:jc w:val="center"/>
              <w:widowControl/>
              <w:keepNext w:val="1"/>
              <w:keepLines w:val="0"/>
              <w:ind w:left="0" w:right="0" w:firstLine="0"/>
            </w:pPr>
            <w:r>
              <w:rPr>
                <w:rFonts w:ascii="Times New Roman" w:hAnsi="Times New Roman" w:eastAsia="MingLiU" w:cs="Times New Roman"/>
                <w:color w:val="000000"/>
                <w:sz w:val="16"/>
                <w:szCs w:val="16"/>
              </w:rPr>
              <w:t xml:space="preserve">0.9862 ± 0.0009</w:t>
            </w:r>
          </w:p>
        </w:tc>
      </w:tr>
      <w:tr>
        <w:trPr>
          <w:cantSplit/>
        </w:trPr>
        <w:tc>
          <w:tcPr>
            <w:tcW w:w="1150" w:type="dxa"/>
            <w:vAlign w:val="center"/>
          </w:tcPr>
          <w:p>
            <w:pPr>
              <w:pStyle w:val="Normal"/>
              <w:spacing w:lineRule="auto" w:line="270" w:before="0" w:after="0"/>
              <w:jc w:val="left"/>
              <w:widowControl/>
              <w:keepNext w:val="1"/>
              <w:keepLines w:val="0"/>
              <w:ind w:left="0" w:right="0" w:firstLine="0"/>
            </w:pPr>
            <w:r>
              <w:rPr>
                <w:rFonts w:ascii="Times New Roman" w:hAnsi="Times New Roman" w:eastAsia="MingLiU" w:cs="Times New Roman"/>
                <w:color w:val="000000"/>
                <w:sz w:val="16"/>
                <w:szCs w:val="16"/>
              </w:rPr>
              <w:t xml:space="preserve">Wikipedia</w:t>
            </w:r>
          </w:p>
        </w:tc>
        <w:tc>
          <w:tcPr>
            <w:tcW w:w="1680" w:type="dxa"/>
            <w:vAlign w:val="center"/>
          </w:tcPr>
          <w:p>
            <w:pPr>
              <w:pStyle w:val="Normal"/>
              <w:spacing w:lineRule="auto" w:line="270" w:before="0" w:after="0"/>
              <w:jc w:val="left"/>
              <w:widowControl/>
              <w:keepNext w:val="1"/>
              <w:keepLines w:val="0"/>
              <w:ind w:left="0" w:right="0" w:firstLine="0"/>
            </w:pPr>
            <w:r>
              <w:rPr>
                <w:rFonts w:ascii="Times New Roman" w:hAnsi="Times New Roman" w:eastAsia="MingLiU" w:cs="Times New Roman"/>
                <w:color w:val="000000"/>
                <w:sz w:val="16"/>
                <w:szCs w:val="16"/>
              </w:rPr>
              <w:t xml:space="preserve">Coupled</w:t>
            </w:r>
          </w:p>
        </w:tc>
        <w:tc>
          <w:tcPr>
            <w:tcW w:w="1770" w:type="dxa"/>
            <w:vAlign w:val="center"/>
          </w:tcPr>
          <w:p>
            <w:pPr>
              <w:pStyle w:val="Normal"/>
              <w:spacing w:lineRule="auto" w:line="270" w:before="0" w:after="0"/>
              <w:jc w:val="center"/>
              <w:widowControl/>
              <w:keepNext w:val="1"/>
              <w:keepLines w:val="0"/>
              <w:ind w:left="0" w:right="0" w:firstLine="0"/>
            </w:pPr>
            <w:r>
              <w:rPr>
                <w:rFonts w:ascii="Times New Roman" w:hAnsi="Times New Roman" w:eastAsia="MingLiU" w:cs="Times New Roman"/>
                <w:color w:val="000000"/>
                <w:sz w:val="16"/>
                <w:szCs w:val="16"/>
              </w:rPr>
              <w:t xml:space="preserve">0.9967 ± 0.0003</w:t>
            </w:r>
          </w:p>
        </w:tc>
      </w:tr>
      <w:tr>
        <w:trPr>
          <w:cantSplit/>
        </w:trPr>
        <w:tc>
          <w:tcPr>
            <w:tcW w:w="1150" w:type="dxa"/>
            <w:vAlign w:val="center"/>
          </w:tcPr>
          <w:p>
            <w:pPr>
              <w:pStyle w:val="Normal"/>
              <w:spacing w:lineRule="auto" w:line="270" w:before="0" w:after="0"/>
              <w:jc w:val="left"/>
              <w:widowControl/>
              <w:keepNext w:val="1"/>
              <w:keepLines w:val="0"/>
              <w:ind w:left="0" w:right="0" w:firstLine="0"/>
            </w:pPr>
            <w:r>
              <w:rPr>
                <w:rFonts w:ascii="Times New Roman" w:hAnsi="Times New Roman" w:eastAsia="MingLiU" w:cs="Times New Roman"/>
                <w:color w:val="000000"/>
                <w:sz w:val="16"/>
                <w:szCs w:val="16"/>
              </w:rPr>
              <w:t xml:space="preserve">Wikipedia</w:t>
            </w:r>
          </w:p>
        </w:tc>
        <w:tc>
          <w:tcPr>
            <w:tcW w:w="1680" w:type="dxa"/>
            <w:vAlign w:val="center"/>
          </w:tcPr>
          <w:p>
            <w:pPr>
              <w:pStyle w:val="Normal"/>
              <w:spacing w:lineRule="auto" w:line="270" w:before="0" w:after="0"/>
              <w:jc w:val="left"/>
              <w:widowControl/>
              <w:keepNext w:val="1"/>
              <w:keepLines w:val="0"/>
              <w:ind w:left="0" w:right="0" w:firstLine="0"/>
            </w:pPr>
            <w:r>
              <w:rPr>
                <w:rFonts w:ascii="Times New Roman" w:hAnsi="Times New Roman" w:eastAsia="MingLiU" w:cs="Times New Roman"/>
                <w:color w:val="000000"/>
                <w:sz w:val="16"/>
                <w:szCs w:val="16"/>
              </w:rPr>
              <w:t xml:space="preserve">Decoupled</w:t>
            </w:r>
          </w:p>
        </w:tc>
        <w:tc>
          <w:tcPr>
            <w:tcW w:w="1770" w:type="dxa"/>
            <w:vAlign w:val="center"/>
          </w:tcPr>
          <w:p>
            <w:pPr>
              <w:pStyle w:val="Normal"/>
              <w:spacing w:lineRule="auto" w:line="270" w:before="0" w:after="0"/>
              <w:jc w:val="center"/>
              <w:widowControl/>
              <w:keepNext w:val="1"/>
              <w:keepLines w:val="0"/>
              <w:ind w:left="0" w:right="0" w:firstLine="0"/>
            </w:pPr>
            <w:r>
              <w:rPr>
                <w:rFonts w:ascii="Times New Roman" w:hAnsi="Times New Roman" w:eastAsia="MingLiU" w:cs="Times New Roman"/>
                <w:color w:val="000000"/>
                <w:sz w:val="16"/>
                <w:szCs w:val="16"/>
              </w:rPr>
              <w:t xml:space="preserve">0.9983 ± 0.0003</w:t>
            </w:r>
          </w:p>
        </w:tc>
      </w:tr>
      <w:tr>
        <w:trPr>
          <w:cantSplit/>
        </w:trPr>
        <w:tc>
          <w:tcPr>
            <w:tcW w:w="1150" w:type="dxa"/>
            <w:vAlign w:val="center"/>
          </w:tcPr>
          <w:p>
            <w:pPr>
              <w:pStyle w:val="Normal"/>
              <w:spacing w:lineRule="auto" w:line="270" w:before="0" w:after="0"/>
              <w:jc w:val="left"/>
              <w:widowControl/>
              <w:keepNext w:val="0"/>
              <w:keepLines w:val="0"/>
              <w:ind w:left="0" w:right="0" w:firstLine="0"/>
            </w:pPr>
            <w:r>
              <w:rPr>
                <w:rFonts w:ascii="Times New Roman" w:hAnsi="Times New Roman" w:eastAsia="MingLiU" w:cs="Times New Roman"/>
                <w:color w:val="000000"/>
                <w:sz w:val="16"/>
                <w:szCs w:val="16"/>
              </w:rPr>
              <w:t xml:space="preserve">Wikipedia</w:t>
            </w:r>
          </w:p>
        </w:tc>
        <w:tc>
          <w:tcPr>
            <w:tcW w:w="1680" w:type="dxa"/>
            <w:vAlign w:val="center"/>
          </w:tcPr>
          <w:p>
            <w:pPr>
              <w:pStyle w:val="Normal"/>
              <w:spacing w:lineRule="auto" w:line="270" w:before="0" w:after="0"/>
              <w:jc w:val="left"/>
              <w:widowControl/>
              <w:keepNext w:val="0"/>
              <w:keepLines w:val="0"/>
              <w:ind w:left="0" w:right="0" w:firstLine="0"/>
            </w:pPr>
            <w:r>
              <w:rPr>
                <w:rFonts w:ascii="Times New Roman" w:hAnsi="Times New Roman" w:eastAsia="MingLiU" w:cs="Times New Roman"/>
                <w:color w:val="000000"/>
                <w:sz w:val="16"/>
                <w:szCs w:val="16"/>
              </w:rPr>
              <w:t xml:space="preserve">Freeze then probe</w:t>
            </w:r>
          </w:p>
        </w:tc>
        <w:tc>
          <w:tcPr>
            <w:tcW w:w="1770" w:type="dxa"/>
            <w:vAlign w:val="center"/>
          </w:tcPr>
          <w:p>
            <w:pPr>
              <w:pStyle w:val="Normal"/>
              <w:spacing w:lineRule="auto" w:line="270" w:before="0" w:after="0"/>
              <w:jc w:val="center"/>
              <w:widowControl/>
              <w:keepNext w:val="0"/>
              <w:keepLines w:val="0"/>
              <w:ind w:left="0" w:right="0" w:firstLine="0"/>
            </w:pPr>
            <w:r>
              <w:rPr>
                <w:rFonts w:ascii="Times New Roman" w:hAnsi="Times New Roman" w:eastAsia="MingLiU" w:cs="Times New Roman"/>
                <w:color w:val="000000"/>
                <w:sz w:val="16"/>
                <w:szCs w:val="16"/>
              </w:rPr>
              <w:t xml:space="preserve">0.9623 ± 0.0128</w:t>
            </w:r>
          </w:p>
        </w:tc>
      </w:tr>
    </w:tbl>
    <w:p>
      <w:pPr>
        <w:pStyle w:val="Normal"/>
        <w:spacing w:lineRule="exact" w:line="60" w:before="0" w:after="0"/>
        <w:jc w:val="both"/>
        <w:widowControl/>
        <w:keepNext w:val="0"/>
        <w:keepLines w:val="0"/>
        <w:ind w:left="0" w:right="0" w:firstLine="240"/>
      </w:pPr>
      <w:r>
        <w:rPr>
          <w:rFonts w:ascii="Times New Roman" w:hAnsi="Times New Roman" w:eastAsia="MingLiU" w:cs="Times New Roman"/>
          <w:color w:val="000000"/>
          <w:sz w:val="18"/>
          <w:szCs w:val="18"/>
        </w:rPr>
        <w:t xml:space="preserve"/>
      </w:r>
    </w:p>
    <w:p>
      <w:pPr>
        <w:pStyle w:val="Normal"/>
        <w:spacing w:lineRule="auto" w:line="360" w:before="0" w:after="0"/>
        <w:jc w:val="both"/>
        <w:widowControl/>
        <w:keepNext w:val="0"/>
        <w:keepLines w:val="0"/>
        <w:ind w:left="0" w:right="0" w:firstLine="240"/>
      </w:pPr>
      <w:r>
        <w:rPr>
          <w:rFonts w:ascii="Times New Roman" w:hAnsi="Times New Roman" w:eastAsia="MingLiU" w:cs="Times New Roman"/>
          <w:color w:val="000000"/>
          <w:sz w:val="18"/>
          <w:szCs w:val="18"/>
        </w:rPr>
        <w:t xml:space="preserve">The aggregate ordering is the central result. It should not be strengthened into a statement that every individual seed favors decoupling, that a paired significance threshold has been passed, or that the ordering will persist under another evaluation population. Those propositions require evidence beyond the reported mean-and-standard-deviation comparison.</w:t>
      </w:r>
    </w:p>
    <w:p>
      <w:pPr>
        <w:pStyle w:val="Normal"/>
        <w:spacing w:lineRule="auto" w:line="360" w:before="0" w:after="0"/>
        <w:jc w:val="both"/>
        <w:widowControl/>
        <w:keepNext w:val="0"/>
        <w:keepLines w:val="0"/>
        <w:ind w:left="0" w:right="0" w:firstLine="240"/>
      </w:pPr>
      <w:r>
        <w:rPr>
          <w:rFonts w:ascii="Times New Roman" w:hAnsi="Times New Roman" w:eastAsia="MingLiU" w:cs="Times New Roman"/>
          <w:color w:val="000000"/>
          <w:sz w:val="18"/>
          <w:szCs w:val="18"/>
        </w:rPr>
        <w:t xml:space="preserve">The scores also lie in a high-average-precision regime for the primary arms. This makes the exact candidate construction particularly relevant. A favorable ordering under a shared sampler remains informative about the specified training choice, while near-ceiling absolute performance should not be interpreted as solving temporal link prediction generally. Hard-negative and destination-type-constrained evaluations remain separate experiments.</w:t>
      </w:r>
    </w:p>
    <w:p>
      <w:pPr>
        <w:pStyle w:val="Normal"/>
        <w:spacing w:lineRule="auto" w:line="360" w:before="120" w:after="30"/>
        <w:jc w:val="both"/>
        <w:widowControl/>
        <w:keepNext w:val="1"/>
        <w:keepLines w:val="1"/>
        <w:ind w:left="0" w:right="0" w:firstLine="0"/>
      </w:pPr>
      <w:r>
        <w:rPr>
          <w:rFonts w:ascii="Times New Roman" w:hAnsi="Times New Roman" w:eastAsia="MingLiU" w:cs="Times New Roman"/>
          <w:color w:val="000000"/>
          <w:sz w:val="18"/>
          <w:szCs w:val="18"/>
          <w:b/>
        </w:rPr>
        <w:t xml:space="preserve">2. Observed freeze-then-probe arm</w:t>
      </w:r>
    </w:p>
    <w:p>
      <w:pPr>
        <w:pStyle w:val="Normal"/>
        <w:spacing w:lineRule="auto" w:line="360" w:before="0" w:after="0"/>
        <w:jc w:val="both"/>
        <w:widowControl/>
        <w:keepNext w:val="0"/>
        <w:keepLines w:val="0"/>
        <w:ind w:left="0" w:right="0" w:firstLine="240"/>
      </w:pPr>
      <w:r>
        <w:rPr>
          <w:rFonts w:ascii="Times New Roman" w:hAnsi="Times New Roman" w:eastAsia="MingLiU" w:cs="Times New Roman"/>
          <w:color w:val="000000"/>
          <w:sz w:val="18"/>
          <w:szCs w:val="18"/>
        </w:rPr>
        <w:t xml:space="preserve">The freeze-then-probe rows provide the measured endpoint of the additional training procedure. They preserve the same reporting convention as the primary rows. The observed results do not support a claim that freezing a previously trained backbone is equivalent to preventing the scored gradient from reaching it during initial training.</w:t>
      </w:r>
    </w:p>
    <w:p>
      <w:pPr>
        <w:pStyle w:val="Normal"/>
        <w:spacing w:lineRule="auto" w:line="360" w:before="0" w:after="0"/>
        <w:jc w:val="both"/>
        <w:widowControl/>
        <w:keepNext w:val="0"/>
        <w:keepLines w:val="0"/>
        <w:ind w:left="0" w:right="0" w:firstLine="240"/>
      </w:pPr>
      <w:r>
        <w:rPr>
          <w:rFonts w:ascii="Times New Roman" w:hAnsi="Times New Roman" w:eastAsia="MingLiU" w:cs="Times New Roman"/>
          <w:color w:val="000000"/>
          <w:sz w:val="18"/>
          <w:szCs w:val="18"/>
        </w:rPr>
        <w:t xml:space="preserve">They also do not establish the opposite universal claim that prior coupling irreversibly damages a representation. The probe head, training phases, and optimization trajectory differ from the primary comparison. A stronger interpretation would require controls that vary these factors, together with a defined recovery criterion. We retain these measurements as a protocol arm and leave the proposed irreversibility explanation unresolved.</w:t>
      </w:r>
    </w:p>
    <w:p>
      <w:pPr>
        <w:pStyle w:val="Normal"/>
        <w:spacing w:lineRule="auto" w:line="360" w:before="120" w:after="30"/>
        <w:jc w:val="both"/>
        <w:widowControl/>
        <w:keepNext w:val="1"/>
        <w:keepLines w:val="1"/>
        <w:ind w:left="0" w:right="0" w:firstLine="0"/>
      </w:pPr>
      <w:r>
        <w:rPr>
          <w:rFonts w:ascii="Times New Roman" w:hAnsi="Times New Roman" w:eastAsia="MingLiU" w:cs="Times New Roman"/>
          <w:color w:val="000000"/>
          <w:sz w:val="18"/>
          <w:szCs w:val="18"/>
          <w:b/>
        </w:rPr>
        <w:t xml:space="preserve">3. Scope of the evidence</w:t>
      </w:r>
    </w:p>
    <w:p>
      <w:pPr>
        <w:pStyle w:val="Normal"/>
        <w:spacing w:lineRule="auto" w:line="360" w:before="0" w:after="0"/>
        <w:jc w:val="both"/>
        <w:widowControl/>
        <w:keepNext w:val="0"/>
        <w:keepLines w:val="0"/>
        <w:ind w:left="0" w:right="0" w:firstLine="240"/>
      </w:pPr>
      <w:r>
        <w:rPr>
          <w:rFonts w:ascii="Times New Roman" w:hAnsi="Times New Roman" w:eastAsia="MingLiU" w:cs="Times New Roman"/>
          <w:color w:val="000000"/>
          <w:sz w:val="18"/>
          <w:szCs w:val="18"/>
        </w:rPr>
        <w:t xml:space="preserve">There is no admitted faithful external temporal baseline in the current result matrix. Accordingly, no improvement over TGAT, TGN, DyGFormer, or another published model is reported. Nor do we import earlier hard-negative tables or transductive-versus-inductive gap arguments. Keeping these boundaries explicit permits the current comparison to be assessed on its own data and execution record.</w:t>
      </w:r>
    </w:p>
    <w:p>
      <w:pPr>
        <w:pStyle w:val="Normal"/>
        <w:spacing w:lineRule="auto" w:line="360" w:before="180" w:after="90"/>
        <w:jc w:val="center"/>
        <w:widowControl/>
        <w:keepNext w:val="1"/>
        <w:keepLines w:val="1"/>
        <w:ind w:left="0" w:right="0" w:firstLine="0"/>
      </w:pPr>
      <w:r>
        <w:rPr>
          <w:rFonts w:ascii="Times New Roman" w:hAnsi="Times New Roman" w:eastAsia="MingLiU" w:cs="Times New Roman"/>
          <w:color w:val="000000"/>
          <w:sz w:val="22"/>
          <w:szCs w:val="22"/>
          <w:b/>
        </w:rPr>
        <w:t xml:space="preserve">VI. Discussion and Limitations</w:t>
      </w:r>
    </w:p>
    <w:p>
      <w:pPr>
        <w:pStyle w:val="Normal"/>
        <w:spacing w:lineRule="auto" w:line="360" w:before="120" w:after="30"/>
        <w:jc w:val="both"/>
        <w:widowControl/>
        <w:keepNext w:val="1"/>
        <w:keepLines w:val="1"/>
        <w:ind w:left="0" w:right="0" w:firstLine="0"/>
      </w:pPr>
      <w:r>
        <w:rPr>
          <w:rFonts w:ascii="Times New Roman" w:hAnsi="Times New Roman" w:eastAsia="MingLiU" w:cs="Times New Roman"/>
          <w:color w:val="000000"/>
          <w:sz w:val="18"/>
          <w:szCs w:val="18"/>
          <w:b/>
        </w:rPr>
        <w:t xml:space="preserve">1. What gradient decoupling changes</w:t>
      </w:r>
    </w:p>
    <w:p>
      <w:pPr>
        <w:pStyle w:val="Normal"/>
        <w:spacing w:lineRule="auto" w:line="360" w:before="0" w:after="0"/>
        <w:jc w:val="both"/>
        <w:widowControl/>
        <w:keepNext w:val="0"/>
        <w:keepLines w:val="0"/>
        <w:ind w:left="0" w:right="0" w:firstLine="240"/>
      </w:pPr>
      <w:r>
        <w:rPr>
          <w:rFonts w:ascii="Times New Roman" w:hAnsi="Times New Roman" w:eastAsia="MingLiU" w:cs="Times New Roman"/>
          <w:color w:val="000000"/>
          <w:sz w:val="18"/>
          <w:szCs w:val="18"/>
        </w:rPr>
        <w:t xml:space="preserve">The primary contrast shows that the choice of gradient routing can matter even when the forward readout configuration is retained. A plausible interpretation is that restricting task-driven representation updates changes which features are retained for inductive scoring. However, the average-precision comparison alone does not reveal which information is encoded in the backbone. It cannot distinguish an identity-related shortcut from optimization effects or interactions with deterministic pair-history signals.</w:t>
      </w:r>
    </w:p>
    <w:p>
      <w:pPr>
        <w:pStyle w:val="Normal"/>
        <w:spacing w:lineRule="auto" w:line="360" w:before="0" w:after="0"/>
        <w:jc w:val="both"/>
        <w:widowControl/>
        <w:keepNext w:val="0"/>
        <w:keepLines w:val="0"/>
        <w:ind w:left="0" w:right="0" w:firstLine="240"/>
      </w:pPr>
      <w:r>
        <w:rPr>
          <w:rFonts w:ascii="Times New Roman" w:hAnsi="Times New Roman" w:eastAsia="MingLiU" w:cs="Times New Roman"/>
          <w:color w:val="000000"/>
          <w:sz w:val="18"/>
          <w:szCs w:val="18"/>
        </w:rPr>
        <w:t xml:space="preserve">A useful follow-up would therefore measure representation properties directly and test the same routing change in faithful alternative backbones. Such experiments would need to preserve candidate sampling and temporal replay semantics while adding a justified probe or intervention. The current paper supplies the bounded observation that motivates those tests, not their outcome.</w:t>
      </w:r>
    </w:p>
    <w:p>
      <w:pPr>
        <w:pStyle w:val="Normal"/>
        <w:spacing w:lineRule="auto" w:line="360" w:before="120" w:after="30"/>
        <w:jc w:val="both"/>
        <w:widowControl/>
        <w:keepNext w:val="1"/>
        <w:keepLines w:val="1"/>
        <w:ind w:left="0" w:right="0" w:firstLine="0"/>
      </w:pPr>
      <w:r>
        <w:rPr>
          <w:rFonts w:ascii="Times New Roman" w:hAnsi="Times New Roman" w:eastAsia="MingLiU" w:cs="Times New Roman"/>
          <w:color w:val="000000"/>
          <w:sz w:val="18"/>
          <w:szCs w:val="18"/>
          <w:b/>
        </w:rPr>
        <w:t xml:space="preserve">2. Candidate population and feature availability</w:t>
      </w:r>
    </w:p>
    <w:p>
      <w:pPr>
        <w:pStyle w:val="Normal"/>
        <w:spacing w:lineRule="auto" w:line="360" w:before="0" w:after="0"/>
        <w:jc w:val="both"/>
        <w:widowControl/>
        <w:keepNext w:val="0"/>
        <w:keepLines w:val="0"/>
        <w:ind w:left="0" w:right="0" w:firstLine="240"/>
      </w:pPr>
      <w:r>
        <w:rPr>
          <w:rFonts w:ascii="Times New Roman" w:hAnsi="Times New Roman" w:eastAsia="MingLiU" w:cs="Times New Roman"/>
          <w:color w:val="000000"/>
          <w:sz w:val="18"/>
          <w:szCs w:val="18"/>
        </w:rPr>
        <w:t xml:space="preserve">The registered negative regime is a material limitation. Matching random draws across arms reduces one source of comparison variability, but leaves the realism of the shared candidate population unresolved. In particular, partition validity and exclusion of contemporaneous positive pairs deserve explicit treatment before deployment conclusions are drawn. Improving those rules would define a new protocol and require new measurements; the existing table should not be silently relabeled as if those checks had already been applied.</w:t>
      </w:r>
    </w:p>
    <w:p>
      <w:pPr>
        <w:pStyle w:val="Normal"/>
        <w:spacing w:lineRule="auto" w:line="360" w:before="0" w:after="0"/>
        <w:jc w:val="both"/>
        <w:widowControl/>
        <w:keepNext w:val="0"/>
        <w:keepLines w:val="0"/>
        <w:ind w:left="0" w:right="0" w:firstLine="240"/>
      </w:pPr>
      <w:r>
        <w:rPr>
          <w:rFonts w:ascii="Times New Roman" w:hAnsi="Times New Roman" w:eastAsia="MingLiU" w:cs="Times New Roman"/>
          <w:color w:val="000000"/>
          <w:sz w:val="18"/>
          <w:szCs w:val="18"/>
        </w:rPr>
        <w:t xml:space="preserve">The event-feature input convention likewise needs to match the intended application. Attributes available only when an interaction occurs cannot automatically be assumed known for prospective candidate ranking. The same caution applies to state replay: an evaluator that scores only filtered inductive events has a different information history from a system that processes every observed event before selecting a reporting subset. These distinctions constrain transfer of the reported scores.</w:t>
      </w:r>
    </w:p>
    <w:p>
      <w:pPr>
        <w:pStyle w:val="Normal"/>
        <w:spacing w:lineRule="auto" w:line="360" w:before="120" w:after="30"/>
        <w:jc w:val="both"/>
        <w:widowControl/>
        <w:keepNext w:val="1"/>
        <w:keepLines w:val="1"/>
        <w:ind w:left="0" w:right="0" w:firstLine="0"/>
      </w:pPr>
      <w:r>
        <w:rPr>
          <w:rFonts w:ascii="Times New Roman" w:hAnsi="Times New Roman" w:eastAsia="MingLiU" w:cs="Times New Roman"/>
          <w:color w:val="000000"/>
          <w:sz w:val="18"/>
          <w:szCs w:val="18"/>
          <w:b/>
        </w:rPr>
        <w:t xml:space="preserve">3. Statistical and corpus scope</w:t>
      </w:r>
    </w:p>
    <w:p>
      <w:pPr>
        <w:pStyle w:val="Normal"/>
        <w:spacing w:lineRule="auto" w:line="360" w:before="0" w:after="0"/>
        <w:jc w:val="both"/>
        <w:widowControl/>
        <w:keepNext w:val="0"/>
        <w:keepLines w:val="0"/>
        <w:ind w:left="0" w:right="0" w:firstLine="240"/>
      </w:pPr>
      <w:r>
        <w:rPr>
          <w:rFonts w:ascii="Times New Roman" w:hAnsi="Times New Roman" w:eastAsia="MingLiU" w:cs="Times New Roman"/>
          <w:color w:val="000000"/>
          <w:sz w:val="18"/>
          <w:szCs w:val="18"/>
        </w:rPr>
        <w:t xml:space="preserve">The selected seeds quantify stochastic training variation within a fixed setup. They do not sample alternative time windows, preprocessing choices, graph populations, or negative-sampling regimes. The reported sample standard deviations should therefore be read together with the limited seed population and the dependent temporal observations. An uncertainty analysis for deployment would require a separately defined sampling unit and additional data.</w:t>
      </w:r>
    </w:p>
    <w:p>
      <w:pPr>
        <w:pStyle w:val="Normal"/>
        <w:spacing w:lineRule="auto" w:line="360" w:before="0" w:after="0"/>
        <w:jc w:val="both"/>
        <w:widowControl/>
        <w:keepNext w:val="0"/>
        <w:keepLines w:val="0"/>
        <w:ind w:left="0" w:right="0" w:firstLine="240"/>
      </w:pPr>
      <w:r>
        <w:rPr>
          <w:rFonts w:ascii="Times New Roman" w:hAnsi="Times New Roman" w:eastAsia="MingLiU" w:cs="Times New Roman"/>
          <w:color w:val="000000"/>
          <w:sz w:val="18"/>
          <w:szCs w:val="18"/>
        </w:rPr>
        <w:t xml:space="preserve">The shared origin of CoEdit and Wikipedia further limits claims of independent replication. CoEdit changes the entity relation from user-to-item interaction to contributor co-editing, but that transformation does not create an unrelated source population. More independent corpora, including settings with different recurrence patterns and node-arrival behavior, would be needed to assess broader robustness.</w:t>
      </w:r>
    </w:p>
    <w:p>
      <w:pPr>
        <w:pStyle w:val="Normal"/>
        <w:spacing w:lineRule="auto" w:line="360" w:before="120" w:after="30"/>
        <w:jc w:val="both"/>
        <w:widowControl/>
        <w:keepNext w:val="1"/>
        <w:keepLines w:val="1"/>
        <w:ind w:left="0" w:right="0" w:firstLine="0"/>
      </w:pPr>
      <w:r>
        <w:rPr>
          <w:rFonts w:ascii="Times New Roman" w:hAnsi="Times New Roman" w:eastAsia="MingLiU" w:cs="Times New Roman"/>
          <w:color w:val="000000"/>
          <w:sz w:val="18"/>
          <w:szCs w:val="18"/>
          <w:b/>
        </w:rPr>
        <w:t xml:space="preserve">4. Model and computation scope</w:t>
      </w:r>
    </w:p>
    <w:p>
      <w:pPr>
        <w:pStyle w:val="Normal"/>
        <w:spacing w:lineRule="auto" w:line="360" w:before="0" w:after="0"/>
        <w:jc w:val="both"/>
        <w:widowControl/>
        <w:keepNext w:val="0"/>
        <w:keepLines w:val="0"/>
        <w:ind w:left="0" w:right="0" w:firstLine="240"/>
      </w:pPr>
      <w:r>
        <w:rPr>
          <w:rFonts w:ascii="Times New Roman" w:hAnsi="Times New Roman" w:eastAsia="MingLiU" w:cs="Times New Roman"/>
          <w:color w:val="000000"/>
          <w:sz w:val="18"/>
          <w:szCs w:val="18"/>
        </w:rPr>
        <w:t xml:space="preserve">All admitted performance conclusions concern the registered SR-GNN instance and its training profiles. The results do not establish architecture-general behavior, faithful baseline parity, or a state-of-the-art ranking. The freeze-then-probe procedure is also not an exhaustive search over recovery methods. These limitations are substantive limits on the claim rather than predictions that another experiment must confirm.</w:t>
      </w:r>
    </w:p>
    <w:p>
      <w:pPr>
        <w:pStyle w:val="Normal"/>
        <w:spacing w:lineRule="auto" w:line="360" w:before="0" w:after="0"/>
        <w:jc w:val="both"/>
        <w:widowControl/>
        <w:keepNext w:val="0"/>
        <w:keepLines w:val="0"/>
        <w:ind w:left="0" w:right="0" w:firstLine="240"/>
      </w:pPr>
      <w:r>
        <w:rPr>
          <w:rFonts w:ascii="Times New Roman" w:hAnsi="Times New Roman" w:eastAsia="MingLiU" w:cs="Times New Roman"/>
          <w:color w:val="000000"/>
          <w:sz w:val="18"/>
          <w:szCs w:val="18"/>
        </w:rPr>
        <w:t xml:space="preserve">The stateful implementation adds a second boundary. Its deterministic pair updates and batch-snapshot node-memory semantics improve the precision of the execution description, but do not demonstrate physical causality or fidelity to a fully sequential deployment. The term causal-batch is an implementation setting, not a claim that a causal mechanism has been identified.</w:t>
      </w:r>
    </w:p>
    <w:p>
      <w:pPr>
        <w:pStyle w:val="Normal"/>
        <w:spacing w:lineRule="auto" w:line="360" w:before="120" w:after="30"/>
        <w:jc w:val="both"/>
        <w:widowControl/>
        <w:keepNext w:val="1"/>
        <w:keepLines w:val="1"/>
        <w:ind w:left="0" w:right="0" w:firstLine="0"/>
      </w:pPr>
      <w:r>
        <w:rPr>
          <w:rFonts w:ascii="Times New Roman" w:hAnsi="Times New Roman" w:eastAsia="MingLiU" w:cs="Times New Roman"/>
          <w:color w:val="000000"/>
          <w:sz w:val="18"/>
          <w:szCs w:val="18"/>
          <w:b/>
        </w:rPr>
        <w:t xml:space="preserve">5. Reproducibility and access</w:t>
      </w:r>
    </w:p>
    <w:p>
      <w:pPr>
        <w:pStyle w:val="Normal"/>
        <w:spacing w:lineRule="auto" w:line="360" w:before="0" w:after="0"/>
        <w:jc w:val="both"/>
        <w:widowControl/>
        <w:keepNext w:val="0"/>
        <w:keepLines w:val="0"/>
        <w:ind w:left="0" w:right="0" w:firstLine="240"/>
      </w:pPr>
      <w:r>
        <w:rPr>
          <w:rFonts w:ascii="Times New Roman" w:hAnsi="Times New Roman" w:eastAsia="MingLiU" w:cs="Times New Roman"/>
          <w:color w:val="000000"/>
          <w:sz w:val="18"/>
          <w:szCs w:val="18"/>
        </w:rPr>
        <w:t xml:space="preserve">The public repository supplies the canonical method and claim records, deterministic dataset builders, protocol configuration, source code, and frozen aggregate evidence [3]. Raw and processed dataset bytes are acquired or rebuilt from the registered upstream sources rather than redistributed by this project. The release records provide the identities needed to distinguish the current corpora from superseded versions.</w:t>
      </w:r>
    </w:p>
    <w:p>
      <w:pPr>
        <w:pStyle w:val="Normal"/>
        <w:spacing w:lineRule="auto" w:line="360" w:before="0" w:after="0"/>
        <w:jc w:val="both"/>
        <w:widowControl/>
        <w:keepNext w:val="0"/>
        <w:keepLines w:val="0"/>
        <w:ind w:left="0" w:right="0" w:firstLine="240"/>
      </w:pPr>
      <w:r>
        <w:rPr>
          <w:rFonts w:ascii="Times New Roman" w:hAnsi="Times New Roman" w:eastAsia="MingLiU" w:cs="Times New Roman"/>
          <w:color w:val="000000"/>
          <w:sz w:val="18"/>
          <w:szCs w:val="18"/>
        </w:rPr>
        <w:t xml:space="preserve">Reconstructing an aggregate from retained results is different from rerunning the scientific jobs. A complete independent reproduction also requires the registered data bytes, the compatible dependency environment, and the specified execution procedure. The present article reports the existing frozen evidence; it does not claim that new training was performed during manuscript preparation.</w:t>
      </w:r>
    </w:p>
    <w:p>
      <w:pPr>
        <w:pStyle w:val="Normal"/>
        <w:spacing w:lineRule="auto" w:line="360" w:before="180" w:after="90"/>
        <w:jc w:val="center"/>
        <w:widowControl/>
        <w:keepNext w:val="1"/>
        <w:keepLines w:val="1"/>
        <w:ind w:left="0" w:right="0" w:firstLine="0"/>
      </w:pPr>
      <w:r>
        <w:rPr>
          <w:rFonts w:ascii="Times New Roman" w:hAnsi="Times New Roman" w:eastAsia="MingLiU" w:cs="Times New Roman"/>
          <w:color w:val="000000"/>
          <w:sz w:val="22"/>
          <w:szCs w:val="22"/>
          <w:b/>
        </w:rPr>
        <w:t xml:space="preserve">VII. Conclusion</w:t>
      </w:r>
    </w:p>
    <w:p>
      <w:pPr>
        <w:pStyle w:val="Normal"/>
        <w:spacing w:lineRule="auto" w:line="360" w:before="0" w:after="0"/>
        <w:jc w:val="both"/>
        <w:widowControl/>
        <w:keepNext w:val="0"/>
        <w:keepLines w:val="0"/>
        <w:ind w:left="0" w:right="0" w:firstLine="240"/>
      </w:pPr>
      <w:r>
        <w:rPr>
          <w:rFonts w:ascii="Times New Roman" w:hAnsi="Times New Roman" w:eastAsia="MingLiU" w:cs="Times New Roman"/>
          <w:color w:val="000000"/>
          <w:sz w:val="18"/>
          <w:szCs w:val="18"/>
        </w:rPr>
        <w:t xml:space="preserve">This study compares coupled and decoupled gradient routing for inductive temporal link prediction within a registered SR-GNN protocol. The observed decoupled arm has higher mean inductive average precision than the coupled arm on each registered current corpus. The reported means and sample standard deviations are bound to the selected runs in the frozen evidence release.</w:t>
      </w:r>
    </w:p>
    <w:p>
      <w:pPr>
        <w:pStyle w:val="Normal"/>
        <w:spacing w:lineRule="auto" w:line="360" w:before="0" w:after="0"/>
        <w:jc w:val="both"/>
        <w:widowControl/>
        <w:keepNext w:val="0"/>
        <w:keepLines w:val="0"/>
        <w:ind w:left="0" w:right="0" w:firstLine="240"/>
      </w:pPr>
      <w:r>
        <w:rPr>
          <w:rFonts w:ascii="Times New Roman" w:hAnsi="Times New Roman" w:eastAsia="MingLiU" w:cs="Times New Roman"/>
          <w:color w:val="000000"/>
          <w:sz w:val="18"/>
          <w:szCs w:val="18"/>
        </w:rPr>
        <w:t xml:space="preserve">The practical implication is to test the gradient boundary as an explicit design choice in this setting. The measurements do not establish superiority to faithful external baselines, robustness to hard negatives, irreversible representation damage, or a causal mechanism. Future experiments should examine destination-valid candidate pools, feature availability, fully specified temporal replay, independent corpora, and alternative backbones before extending the conclusion.</w:t>
      </w:r>
    </w:p>
    <w:p>
      <w:pPr>
        <w:pStyle w:val="Normal"/>
        <w:spacing w:lineRule="auto" w:line="360" w:before="180" w:after="90"/>
        <w:jc w:val="center"/>
        <w:widowControl/>
        <w:keepNext w:val="1"/>
        <w:keepLines w:val="1"/>
        <w:ind w:left="0" w:right="0" w:firstLine="0"/>
      </w:pPr>
      <w:r>
        <w:rPr>
          <w:rFonts w:ascii="Times New Roman" w:hAnsi="Times New Roman" w:eastAsia="MingLiU" w:cs="Times New Roman"/>
          <w:color w:val="000000"/>
          <w:sz w:val="22"/>
          <w:szCs w:val="22"/>
          <w:b/>
        </w:rPr>
        <w:t xml:space="preserve">References Cited</w:t>
      </w:r>
    </w:p>
    <w:p>
      <w:pPr>
        <w:pStyle w:val="Normal"/>
        <w:spacing w:lineRule="auto" w:line="360" w:before="0" w:after="40"/>
        <w:jc w:val="both"/>
        <w:widowControl/>
        <w:keepNext w:val="0"/>
        <w:keepLines w:val="1"/>
        <w:ind w:left="240" w:hanging="240"/>
      </w:pPr>
      <w:r>
        <w:rPr>
          <w:rFonts w:ascii="Times New Roman" w:hAnsi="Times New Roman" w:eastAsia="MingLiU" w:cs="Times New Roman"/>
          <w:color w:val="000000"/>
          <w:sz w:val="18"/>
          <w:szCs w:val="18"/>
        </w:rPr>
        <w:t xml:space="preserve">1. Alain, G. and Y. Bengio (2016) Understanding intermediate layers using linear classifier probes. arXiv:1610.01644. https://arxiv.org/abs/1610.01644</w:t>
      </w:r>
    </w:p>
    <w:p>
      <w:pPr>
        <w:pStyle w:val="Normal"/>
        <w:spacing w:lineRule="auto" w:line="360" w:before="0" w:after="40"/>
        <w:jc w:val="both"/>
        <w:widowControl/>
        <w:keepNext w:val="0"/>
        <w:keepLines w:val="1"/>
        <w:ind w:left="240" w:hanging="240"/>
      </w:pPr>
      <w:r>
        <w:rPr>
          <w:rFonts w:ascii="Times New Roman" w:hAnsi="Times New Roman" w:eastAsia="MingLiU" w:cs="Times New Roman"/>
          <w:color w:val="000000"/>
          <w:sz w:val="18"/>
          <w:szCs w:val="18"/>
        </w:rPr>
        <w:t xml:space="preserve">2. Chen, X. and K. He (2021) Exploring simple Siamese representation learning. Proceedings of the IEEE/CVF Conference on Computer Vision and Pattern Recognition, 15750-15758. https://doi.org/10.1109/CVPR46437.2021.01549</w:t>
      </w:r>
    </w:p>
    <w:p>
      <w:pPr>
        <w:pStyle w:val="Normal"/>
        <w:spacing w:lineRule="auto" w:line="360" w:before="0" w:after="40"/>
        <w:jc w:val="both"/>
        <w:widowControl/>
        <w:keepNext w:val="0"/>
        <w:keepLines w:val="1"/>
        <w:ind w:left="240" w:hanging="240"/>
      </w:pPr>
      <w:r>
        <w:rPr>
          <w:rFonts w:ascii="Times New Roman" w:hAnsi="Times New Roman" w:eastAsia="MingLiU" w:cs="Times New Roman"/>
          <w:color w:val="000000"/>
          <w:sz w:val="18"/>
          <w:szCs w:val="18"/>
        </w:rPr>
        <w:t xml:space="preserve">3. Duong, V. H. and L.-M. Shih (2026) Temporal link decoupling research repository. Canonical wiki, registered protocol, and frozen evidence release. https://github.com/hoangduong6210/temporal-link-decoupling</w:t>
      </w:r>
    </w:p>
    <w:p>
      <w:pPr>
        <w:pStyle w:val="Normal"/>
        <w:spacing w:lineRule="auto" w:line="360" w:before="0" w:after="40"/>
        <w:jc w:val="both"/>
        <w:widowControl/>
        <w:keepNext w:val="0"/>
        <w:keepLines w:val="1"/>
        <w:ind w:left="240" w:hanging="240"/>
      </w:pPr>
      <w:r>
        <w:rPr>
          <w:rFonts w:ascii="Times New Roman" w:hAnsi="Times New Roman" w:eastAsia="MingLiU" w:cs="Times New Roman"/>
          <w:color w:val="000000"/>
          <w:sz w:val="18"/>
          <w:szCs w:val="18"/>
        </w:rPr>
        <w:t xml:space="preserve">4. Kumar, A., A. Raghunathan, R. Jones, T. Ma and P. Liang (2022) Fine-tuning can distort pretrained features and underperform out-of-distribution. International Conference on Learning Representations. https://arxiv.org/abs/2202.10054</w:t>
      </w:r>
    </w:p>
    <w:p>
      <w:pPr>
        <w:pStyle w:val="Normal"/>
        <w:spacing w:lineRule="auto" w:line="360" w:before="0" w:after="40"/>
        <w:jc w:val="both"/>
        <w:widowControl/>
        <w:keepNext w:val="0"/>
        <w:keepLines w:val="1"/>
        <w:ind w:left="240" w:hanging="240"/>
      </w:pPr>
      <w:r>
        <w:rPr>
          <w:rFonts w:ascii="Times New Roman" w:hAnsi="Times New Roman" w:eastAsia="MingLiU" w:cs="Times New Roman"/>
          <w:color w:val="000000"/>
          <w:sz w:val="18"/>
          <w:szCs w:val="18"/>
        </w:rPr>
        <w:t xml:space="preserve">5. Kumar, S., X. Zhang and J. Leskovec (2019) Predicting dynamic embedding trajectory in temporal interaction networks. Proceedings of the ACM SIGKDD International Conference on Knowledge Discovery and Data Mining, 1269-1278. https://doi.org/10.1145/3292500.3330895</w:t>
      </w:r>
    </w:p>
    <w:p>
      <w:pPr>
        <w:pStyle w:val="Normal"/>
        <w:spacing w:lineRule="auto" w:line="360" w:before="0" w:after="40"/>
        <w:jc w:val="both"/>
        <w:widowControl/>
        <w:keepNext w:val="0"/>
        <w:keepLines w:val="1"/>
        <w:ind w:left="240" w:hanging="240"/>
      </w:pPr>
      <w:r>
        <w:rPr>
          <w:rFonts w:ascii="Times New Roman" w:hAnsi="Times New Roman" w:eastAsia="MingLiU" w:cs="Times New Roman"/>
          <w:color w:val="000000"/>
          <w:sz w:val="18"/>
          <w:szCs w:val="18"/>
        </w:rPr>
        <w:t xml:space="preserve">6. Poursafaei, F., S. Huang, K. Pelrine and R. Rabbany (2022) Towards better evaluation for dynamic link prediction. Advances in Neural Information Processing Systems, 35. https://arxiv.org/abs/2207.10128</w:t>
      </w:r>
    </w:p>
    <w:p>
      <w:pPr>
        <w:pStyle w:val="Normal"/>
        <w:spacing w:lineRule="auto" w:line="360" w:before="0" w:after="40"/>
        <w:jc w:val="both"/>
        <w:widowControl/>
        <w:keepNext w:val="0"/>
        <w:keepLines w:val="1"/>
        <w:ind w:left="240" w:hanging="240"/>
      </w:pPr>
      <w:r>
        <w:rPr>
          <w:rFonts w:ascii="Times New Roman" w:hAnsi="Times New Roman" w:eastAsia="MingLiU" w:cs="Times New Roman"/>
          <w:color w:val="000000"/>
          <w:sz w:val="18"/>
          <w:szCs w:val="18"/>
        </w:rPr>
        <w:t xml:space="preserve">7. Rossi, E., B. Chamberlain, F. Frasca, D. Eynard, F. Monti and M. Bronstein (2020) Temporal graph networks for deep learning on dynamic graphs. arXiv:2006.10637. https://arxiv.org/abs/2006.10637</w:t>
      </w:r>
    </w:p>
    <w:p>
      <w:pPr>
        <w:pStyle w:val="Normal"/>
        <w:spacing w:lineRule="auto" w:line="360" w:before="0" w:after="40"/>
        <w:jc w:val="both"/>
        <w:widowControl/>
        <w:keepNext w:val="0"/>
        <w:keepLines w:val="1"/>
        <w:ind w:left="240" w:hanging="240"/>
      </w:pPr>
      <w:r>
        <w:rPr>
          <w:rFonts w:ascii="Times New Roman" w:hAnsi="Times New Roman" w:eastAsia="MingLiU" w:cs="Times New Roman"/>
          <w:color w:val="000000"/>
          <w:sz w:val="18"/>
          <w:szCs w:val="18"/>
        </w:rPr>
        <w:t xml:space="preserve">8. Xu, D., C. Ruan, E. Korpeoglu, S. Kumar and K. Achan (2020) Inductive representation learning on temporal graphs. International Conference on Learning Representations. https://arxiv.org/abs/2002.07962</w:t>
      </w:r>
    </w:p>
    <w:p>
      <w:pPr>
        <w:pStyle w:val="Normal"/>
        <w:spacing w:lineRule="auto" w:line="360" w:before="0" w:after="40"/>
        <w:jc w:val="both"/>
        <w:widowControl/>
        <w:keepNext w:val="0"/>
        <w:keepLines w:val="1"/>
        <w:ind w:left="240" w:hanging="240"/>
      </w:pPr>
      <w:r>
        <w:rPr>
          <w:rFonts w:ascii="Times New Roman" w:hAnsi="Times New Roman" w:eastAsia="MingLiU" w:cs="Times New Roman"/>
          <w:color w:val="000000"/>
          <w:sz w:val="18"/>
          <w:szCs w:val="18"/>
        </w:rPr>
        <w:t xml:space="preserve">9. Yu, L., L. Sun, B. Du and W. Lv (2023) Towards better dynamic graph learning: New architecture and unified library. Advances in Neural Information Processing Systems, 36. https://arxiv.org/abs/2303.13047</w:t>
      </w:r>
    </w:p>
    <w:p>
      <w:pPr>
        <w:spacing w:before="0" w:after="0" w:line="20" w:lineRule="exact"/>
        <w:sectPr>
          <w:type w:val="nextPage"/>
          <w:pgSz w:w="11906" w:h="16838"/>
          <w:pgMar w:left="1134" w:right="1134" w:gutter="0" w:header="851" w:top="1985" w:footer="992" w:bottom="1134"/>
          <w:cols w:num="2" w:space="424" w:equalWidth="true" w:sep="false"/>
          <w:formProt w:val="false"/>
          <w:textDirection w:val="lrTb"/>
          <w:docGrid w:type="default" w:linePitch="360" w:charSpace="0"/>
        </w:sectPr>
      </w:pPr>
    </w:p>
    <w:p>
      <w:pPr>
        <w:pStyle w:val="Title"/>
        <w:spacing w:lineRule="auto" w:line="360" w:before="0" w:after="180"/>
        <w:jc w:val="center"/>
        <w:widowControl/>
        <w:keepNext w:val="1"/>
        <w:keepLines w:val="1"/>
        <w:ind w:left="0" w:right="0" w:firstLine="0"/>
      </w:pPr>
      <w:r>
        <w:rPr>
          <w:rFonts w:ascii="Times New Roman" w:hAnsi="Times New Roman" w:eastAsia="MingLiU" w:cs="Times New Roman"/>
          <w:color w:val="000000"/>
          <w:sz w:val="36"/>
          <w:szCs w:val="36"/>
          <w:b/>
        </w:rPr>
        <w:t xml:space="preserve">歸納式時序連結預測中梯度解耦的受控比較</w:t>
      </w:r>
    </w:p>
    <w:p>
      <w:pPr>
        <w:pStyle w:val="Normal"/>
        <w:spacing w:lineRule="auto" w:line="360" w:before="0" w:after="0"/>
        <w:jc w:val="center"/>
        <w:widowControl/>
        <w:keepNext w:val="1"/>
        <w:keepLines w:val="1"/>
        <w:ind w:left="0" w:right="0" w:firstLine="0"/>
      </w:pPr>
      <w:r>
        <w:rPr>
          <w:rFonts w:ascii="Times New Roman" w:hAnsi="Times New Roman" w:eastAsia="MingLiU" w:cs="Times New Roman"/>
          <w:color w:val="000000"/>
          <w:sz w:val="20"/>
          <w:szCs w:val="20"/>
        </w:rPr>
        <w:t xml:space="preserve">Duong Viet Hoangᵃ*, Duong Viet Huyᵇ, Lun-Min Shihᵃ</w:t>
      </w:r>
    </w:p>
    <w:p>
      <w:pPr>
        <w:pStyle w:val="Normal"/>
        <w:spacing w:lineRule="auto" w:line="360" w:before="0" w:after="0"/>
        <w:jc w:val="center"/>
        <w:widowControl/>
        <w:keepNext w:val="1"/>
        <w:keepLines w:val="1"/>
        <w:ind w:left="0" w:right="0" w:firstLine="0"/>
      </w:pPr>
      <w:r>
        <w:rPr>
          <w:rFonts w:ascii="Times New Roman" w:hAnsi="Times New Roman" w:eastAsia="MingLiU" w:cs="Times New Roman"/>
          <w:color w:val="000000"/>
          <w:sz w:val="18"/>
          <w:szCs w:val="18"/>
        </w:rPr>
        <w:t xml:space="preserve">ᵃ 大葉大學計算機科學系，臺灣彰化；ᵇ 肯特州立大學計算機科學系，美國俄亥俄州</w:t>
      </w:r>
    </w:p>
    <w:p>
      <w:pPr>
        <w:pStyle w:val="Normal"/>
        <w:spacing w:lineRule="auto" w:line="360" w:before="0" w:after="0"/>
        <w:jc w:val="center"/>
        <w:widowControl/>
        <w:keepNext w:val="1"/>
        <w:keepLines w:val="1"/>
        <w:ind w:left="0" w:right="0" w:firstLine="0"/>
      </w:pPr>
      <w:r>
        <w:rPr>
          <w:rFonts w:ascii="Times New Roman" w:hAnsi="Times New Roman" w:eastAsia="MingLiU" w:cs="Times New Roman"/>
          <w:color w:val="000000"/>
          <w:sz w:val="18"/>
          <w:szCs w:val="18"/>
          <w:i/>
        </w:rPr>
        <w:t xml:space="preserve">* Corresponding author: Hoangduong4316@icloud.com</w:t>
      </w:r>
    </w:p>
    <w:p>
      <w:pPr>
        <w:pStyle w:val="Normal"/>
        <w:spacing w:lineRule="auto" w:line="360" w:before="180" w:after="100"/>
        <w:jc w:val="center"/>
        <w:widowControl/>
        <w:keepNext w:val="1"/>
        <w:keepLines w:val="1"/>
        <w:ind w:left="0" w:right="0" w:firstLine="0"/>
      </w:pPr>
      <w:r>
        <w:rPr>
          <w:rFonts w:ascii="Times New Roman" w:hAnsi="Times New Roman" w:eastAsia="MingLiU" w:cs="Times New Roman"/>
          <w:color w:val="000000"/>
          <w:sz w:val="22"/>
          <w:szCs w:val="22"/>
          <w:b/>
        </w:rPr>
        <w:t xml:space="preserve">摘　要</w:t>
      </w:r>
    </w:p>
    <w:p>
      <w:pPr>
        <w:pStyle w:val="Normal"/>
        <w:spacing w:lineRule="auto" w:line="360" w:before="0" w:after="0"/>
        <w:ind w:start="1134" w:end="1134" w:left="1134" w:right="1134" w:firstLine="0"/>
        <w:widowControl/>
        <w:keepNext w:val="0"/>
        <w:keepLines w:val="1"/>
      </w:pPr>
      <w:r>
        <w:rPr>
          <w:rFonts w:ascii="Times New Roman" w:hAnsi="Times New Roman" w:eastAsia="MingLiU" w:cs="Times New Roman"/>
          <w:color w:val="000000"/>
          <w:sz w:val="18"/>
          <w:szCs w:val="18"/>
        </w:rPr>
        <w:t xml:space="preserve">歸納式時序連結預測需要處理訓練期間未出現的節點。本研究比較連結損失是否經由評分路徑更新時序骨幹，並以已註冊的 SR-GNN 協定評估耦合式端到端訓練、從建構時即採用梯度解耦，以及先訓練再凍結並重新訓練預測頭的方法。研究採用 CoEdit、Wikipedia 與 MOOC 語料，依時間切分資料，並在相同負樣本評估設定下報告跨隨機種子的歸納式平均精確率及樣本標準差。已封存且具校驗碼的結果顯示，解耦組在各註冊語料上的平均精確率均高於耦合組。先凍結再探測的結果僅描述該特定訓練流程，不能證明表徵損害不可逆。CoEdit 源自 Wikipedia，因此跨語料比較不代表完全獨立的資料來源。本研究支持在此協定內將梯度路由視為需實測的設計選項；尚未建立相對外部基準的優勢、困難負樣本下的穩健性、因果機制或跨架構的一般性結論。</w:t>
      </w:r>
    </w:p>
    <w:p>
      <w:pPr>
        <w:pStyle w:val="Normal"/>
        <w:spacing w:lineRule="auto" w:line="360" w:before="0" w:after="0"/>
        <w:ind w:start="1134" w:end="1134" w:left="1134" w:right="1134" w:firstLine="0"/>
        <w:widowControl/>
        <w:keepNext w:val="0"/>
        <w:keepLines w:val="1"/>
      </w:pPr>
      <w:r>
        <w:rPr>
          <w:rFonts w:ascii="Times New Roman" w:hAnsi="Times New Roman" w:eastAsia="MingLiU" w:cs="Times New Roman"/>
          <w:color w:val="000000"/>
          <w:sz w:val="18"/>
          <w:szCs w:val="18"/>
        </w:rPr>
        <w:t xml:space="preserve">關鍵詞：時序圖，歸納式連結預測，梯度解耦，凍結探測，可重現評估</w:t>
      </w:r>
    </w:p>
    <w:sectPr>
      <w:type w:val="nextPage"/>
      <w:pgSz w:w="11906" w:h="16838"/>
      <w:pgMar w:left="1134" w:right="1134" w:gutter="0" w:header="851" w:top="1985" w:footer="992" w:bottom="1134"/>
      <w:cols w:num="1" w:space="424"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細明體">
    <w:altName w:val="MingLiU"/>
    <w:charset w:val="88"/>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360" w:before="0" w:after="0"/>
      <w:jc w:val="left"/>
      <w:widowControl/>
      <w:keepNext w:val="0"/>
      <w:keepLines w:val="0"/>
      <w:ind w:left="0" w:right="0" w:firstLine="0"/>
      <w:tabs>
        <w:tab w:val="right" w:pos="9638"/>
      </w:tabs>
    </w:pPr>
    <w:r>
      <w:rPr>
        <w:rFonts w:ascii="Times New Roman" w:hAnsi="Times New Roman" w:eastAsia="MingLiU" w:cs="Times New Roman"/>
        <w:color w:val="000000"/>
        <w:sz w:val="16"/>
        <w:szCs w:val="16"/>
      </w:rPr>
      <w:t xml:space="preserve">Gradient Decoupling for Inductive Temporal Link Prediction</w:t>
    </w:r>
    <w:r>
      <w:tab/>
    </w:r>
    <w:fldSimple w:instr=" PAGE ">
      <w:r>
        <w:t>1</w:t>
      </w:r>
    </w:fldSimple>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360" w:before="0" w:after="0"/>
      <w:jc w:val="left"/>
      <w:widowControl/>
      <w:keepNext w:val="0"/>
      <w:keepLines w:val="0"/>
      <w:ind w:left="0" w:right="0" w:firstLine="0"/>
      <w:tabs>
        <w:tab w:val="right" w:pos="9638"/>
      </w:tabs>
    </w:pPr>
    <w:r>
      <w:rPr>
        <w:rFonts w:ascii="Times New Roman" w:hAnsi="Times New Roman" w:eastAsia="MingLiU" w:cs="Times New Roman"/>
        <w:color w:val="000000"/>
        <w:sz w:val="16"/>
        <w:szCs w:val="16"/>
      </w:rPr>
      <w:t xml:space="preserve">Gradient Decoupling for Inductive Temporal Link Prediction</w:t>
    </w:r>
    <w:r>
      <w:tab/>
    </w:r>
    <w:fldSimple w:instr=" PAGE ">
      <w:r>
        <w:t>1</w:t>
      </w:r>
    </w:fldSimple>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360" w:before="0" w:after="0"/>
      <w:jc w:val="left"/>
      <w:widowControl/>
      <w:keepNext w:val="0"/>
      <w:keepLines w:val="0"/>
      <w:ind w:left="0" w:right="0" w:firstLine="0"/>
      <w:tabs>
        <w:tab w:val="right" w:pos="9638"/>
      </w:tabs>
    </w:pPr>
    <w:r>
      <w:rPr>
        <w:rFonts w:ascii="Times New Roman" w:hAnsi="Times New Roman" w:eastAsia="MingLiU" w:cs="Times New Roman"/>
        <w:color w:val="000000"/>
        <w:sz w:val="16"/>
        <w:szCs w:val="16"/>
      </w:rPr>
      <w:t xml:space="preserve">Gradient Decoupling for Inductive Temporal Link Prediction</w:t>
    </w:r>
    <w:r>
      <w:tab/>
    </w:r>
    <w:fldSimple w:instr=" PAGE ">
      <w:r>
        <w:t>1</w:t>
      </w:r>
    </w:fldSimple>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340"/>
        </w:tabs>
        <w:ind w:start="340" w:hanging="34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09"/>
  <w:autoHyphenation w:val="true"/>
  <w:hyphenationZone w:val="0"/>
  <w:evenAndOddHeaders/>
  <w:compat>
    <w:doNotExpandShiftReturn/>
    <w:adjustLineHeightInTable/>
    <w:compatSetting w:name="compatibilityMode" w:uri="http://schemas.microsoft.com/office/word" w:val="11"/>
  </w:compat>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vi-VN" w:eastAsia="zh-CN" w:bidi="hi-IN"/>
      </w:rPr>
    </w:rPrDefault>
    <w:pPrDefault>
      <w:pPr>
        <w:suppressAutoHyphens w:val="true"/>
      </w:pPr>
    </w:pPrDefault>
  </w:docDefaults>
  <w:style w:type="paragraph" w:styleId="Normal">
    <w:name w:val="Normal"/>
    <w:qFormat/>
    <w:pPr>
      <w:widowControl w:val="false"/>
      <w:bidi w:val="0"/>
    </w:pPr>
    <w:rPr>
      <w:rFonts w:ascii="Times New Roman" w:hAnsi="Times New Roman" w:eastAsia="新細明體;PMingLiU" w:cs="Times New Roman"/>
      <w:color w:val="auto"/>
      <w:kern w:val="2"/>
      <w:sz w:val="24"/>
      <w:szCs w:val="24"/>
      <w:lang w:val="en-US" w:eastAsia="zh-TW" w:bidi="ar-SA"/>
    </w:rPr>
  </w:style>
  <w:style w:type="character" w:styleId="WW8Num1z0">
    <w:name w:val="WW8Num1z0"/>
    <w:qFormat/>
    <w:rPr/>
  </w:style>
  <w:style w:type="character" w:styleId="WW8Num2z0">
    <w:name w:val="WW8Num2z0"/>
    <w:qFormat/>
    <w:rPr/>
  </w:style>
  <w:style w:type="character" w:styleId="Style14">
    <w:name w:val="預設段落字型"/>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HeaderandFooter">
    <w:name w:val="Header and Footer"/>
    <w:basedOn w:val="Normal"/>
    <w:qFormat/>
    <w:pPr>
      <w:suppressLineNumbers/>
      <w:tabs>
        <w:tab w:val="clear" w:pos="480"/>
        <w:tab w:val="center" w:pos="4819" w:leader="none"/>
        <w:tab w:val="right" w:pos="9638" w:leader="none"/>
      </w:tabs>
    </w:pPr>
    <w:rPr/>
  </w:style>
  <w:style w:type="paragraph" w:styleId="Header">
    <w:name w:val="header"/>
    <w:basedOn w:val="Normal"/>
    <w:pPr>
      <w:tabs>
        <w:tab w:val="clear" w:pos="480"/>
        <w:tab w:val="center" w:pos="4153" w:leader="none"/>
        <w:tab w:val="right" w:pos="8306" w:leader="none"/>
      </w:tabs>
      <w:snapToGrid w:val="false"/>
    </w:pPr>
    <w:rPr>
      <w:sz w:val="20"/>
      <w:szCs w:val="20"/>
    </w:rPr>
  </w:style>
  <w:style w:type="paragraph" w:styleId="Footer">
    <w:name w:val="footer"/>
    <w:basedOn w:val="Normal"/>
    <w:pPr>
      <w:tabs>
        <w:tab w:val="clear" w:pos="480"/>
        <w:tab w:val="center" w:pos="4153" w:leader="none"/>
        <w:tab w:val="right" w:pos="8306" w:leader="none"/>
      </w:tabs>
      <w:snapToGrid w:val="false"/>
    </w:pPr>
    <w:rPr>
      <w:sz w:val="20"/>
      <w:szCs w:val="20"/>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paragraph" w:styleId="Title">
    <w:name w:val="Title"/>
    <w:basedOn w:val="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gif"/><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85</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Controlled Comparison of Gradient Decoupling for Inductive Temporal Link Prediction</dc:title>
  <dc:creator>Duong Viet Hoang; Duong Viet Huy; Lun-Min Shih</dc:creator>
</cp:coreProperties>
</file>